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sz w:val="32"/>
          <w:szCs w:val="32"/>
          <w:lang w:eastAsia="zh-CN"/>
        </w:rPr>
      </w:pPr>
      <w:r>
        <w:rPr>
          <w:rFonts w:hint="eastAsia" w:ascii="方正仿宋_GBK" w:eastAsia="方正仿宋_GBK"/>
          <w:b/>
          <w:sz w:val="32"/>
          <w:szCs w:val="32"/>
        </w:rPr>
        <w:t>附件</w:t>
      </w:r>
      <w:r>
        <w:rPr>
          <w:rFonts w:hint="eastAsia" w:ascii="方正仿宋_GBK" w:eastAsia="方正仿宋_GBK"/>
          <w:b/>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部分</w:t>
      </w:r>
      <w:r>
        <w:rPr>
          <w:rFonts w:hint="eastAsia" w:ascii="方正小标宋简体" w:hAnsi="方正小标宋简体" w:eastAsia="方正小标宋简体" w:cs="方正小标宋简体"/>
          <w:color w:val="000000"/>
          <w:sz w:val="44"/>
          <w:szCs w:val="44"/>
          <w:lang w:eastAsia="zh-CN"/>
        </w:rPr>
        <w:t>不合格</w:t>
      </w:r>
      <w:r>
        <w:rPr>
          <w:rFonts w:hint="eastAsia" w:ascii="方正小标宋简体" w:hAnsi="方正小标宋简体" w:eastAsia="方正小标宋简体" w:cs="方正小标宋简体"/>
          <w:color w:val="000000"/>
          <w:sz w:val="44"/>
          <w:szCs w:val="44"/>
        </w:rPr>
        <w:t>项目的</w:t>
      </w:r>
      <w:r>
        <w:rPr>
          <w:rFonts w:hint="eastAsia" w:ascii="方正小标宋简体" w:hAnsi="方正小标宋简体" w:eastAsia="方正小标宋简体" w:cs="方正小标宋简体"/>
          <w:color w:val="000000"/>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rPr>
      </w:pPr>
    </w:p>
    <w:p>
      <w:pPr>
        <w:spacing w:line="600" w:lineRule="exact"/>
        <w:ind w:firstLine="640" w:firstLineChars="200"/>
        <w:rPr>
          <w:rFonts w:ascii="黑体" w:hAnsi="黑体" w:eastAsia="黑体"/>
          <w:sz w:val="32"/>
          <w:szCs w:val="32"/>
        </w:rPr>
      </w:pPr>
      <w:r>
        <w:rPr>
          <w:rFonts w:hint="eastAsia" w:ascii="黑体" w:hAnsi="黑体" w:eastAsia="黑体"/>
          <w:color w:val="auto"/>
          <w:sz w:val="32"/>
          <w:szCs w:val="32"/>
          <w:lang w:val="en-US" w:eastAsia="zh-CN"/>
        </w:rPr>
        <w:t>一、</w:t>
      </w:r>
      <w:r>
        <w:rPr>
          <w:rFonts w:hint="eastAsia" w:ascii="黑体" w:hAnsi="黑体" w:eastAsia="黑体"/>
          <w:sz w:val="32"/>
          <w:szCs w:val="32"/>
        </w:rPr>
        <w:t>过氧化值</w:t>
      </w:r>
    </w:p>
    <w:p>
      <w:pPr>
        <w:spacing w:line="600" w:lineRule="exact"/>
        <w:ind w:firstLine="640" w:firstLineChars="200"/>
        <w:rPr>
          <w:rFonts w:ascii="仿宋_GB2312" w:eastAsia="仿宋_GB2312"/>
          <w:sz w:val="32"/>
          <w:szCs w:val="32"/>
        </w:rPr>
      </w:pPr>
      <w:r>
        <w:rPr>
          <w:rFonts w:ascii="仿宋_GB2312" w:hAnsi="宋体" w:eastAsia="仿宋_GB2312"/>
          <w:kern w:val="0"/>
          <w:sz w:val="32"/>
          <w:szCs w:val="32"/>
        </w:rPr>
        <w:t>过氧化值主要反映</w:t>
      </w:r>
      <w:r>
        <w:rPr>
          <w:rFonts w:hint="eastAsia" w:ascii="仿宋_GB2312" w:hAnsi="宋体" w:eastAsia="仿宋_GB2312"/>
          <w:kern w:val="0"/>
          <w:sz w:val="32"/>
          <w:szCs w:val="32"/>
        </w:rPr>
        <w:t>食品中</w:t>
      </w:r>
      <w:r>
        <w:rPr>
          <w:rFonts w:ascii="仿宋_GB2312" w:hAnsi="宋体" w:eastAsia="仿宋_GB2312"/>
          <w:kern w:val="0"/>
          <w:sz w:val="32"/>
          <w:szCs w:val="32"/>
        </w:rPr>
        <w:t>油脂是否氧化变质</w:t>
      </w:r>
      <w:r>
        <w:rPr>
          <w:rFonts w:hint="eastAsia" w:ascii="仿宋_GB2312" w:hAnsi="宋体" w:eastAsia="仿宋_GB2312"/>
          <w:kern w:val="0"/>
          <w:sz w:val="32"/>
          <w:szCs w:val="32"/>
        </w:rPr>
        <w:t>，</w:t>
      </w:r>
      <w:r>
        <w:rPr>
          <w:rFonts w:ascii="仿宋_GB2312" w:hAnsi="宋体" w:eastAsia="仿宋_GB2312"/>
          <w:kern w:val="0"/>
          <w:sz w:val="32"/>
          <w:szCs w:val="32"/>
        </w:rPr>
        <w:t>随着油脂氧化，过氧化值会逐步升高</w:t>
      </w:r>
      <w:r>
        <w:rPr>
          <w:rFonts w:hint="eastAsia" w:ascii="仿宋_GB2312" w:hAnsi="宋体" w:eastAsia="仿宋_GB2312"/>
          <w:kern w:val="0"/>
          <w:sz w:val="32"/>
          <w:szCs w:val="32"/>
        </w:rPr>
        <w:t>。</w:t>
      </w:r>
      <w:r>
        <w:rPr>
          <w:rFonts w:ascii="仿宋_GB2312" w:eastAsia="仿宋_GB2312"/>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r>
        <w:rPr>
          <w:rFonts w:ascii="仿宋_GB2312" w:hAnsi="宋体" w:eastAsia="仿宋_GB2312"/>
          <w:kern w:val="0"/>
          <w:sz w:val="32"/>
          <w:szCs w:val="32"/>
        </w:rPr>
        <w:t>过氧化值一般不会对人体的健康产生损害，但严重时会导致肠胃不适、腹泻等症状。</w:t>
      </w:r>
    </w:p>
    <w:p>
      <w:pPr>
        <w:ind w:firstLine="640" w:firstLineChars="200"/>
        <w:rPr>
          <w:rFonts w:hint="eastAsia" w:ascii="黑体" w:hAnsi="黑体" w:eastAsia="黑体"/>
          <w:kern w:val="0"/>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kern w:val="0"/>
          <w:sz w:val="32"/>
          <w:szCs w:val="32"/>
        </w:rPr>
        <w:t>菌落总数</w:t>
      </w:r>
    </w:p>
    <w:p>
      <w:pPr>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pStyle w:val="18"/>
        <w:keepNext w:val="0"/>
        <w:keepLines w:val="0"/>
        <w:pageBreakBefore w:val="0"/>
        <w:kinsoku/>
        <w:wordWrap/>
        <w:overflowPunct/>
        <w:topLinePunct w:val="0"/>
        <w:autoSpaceDE/>
        <w:autoSpaceDN/>
        <w:bidi w:val="0"/>
        <w:spacing w:line="590" w:lineRule="exact"/>
        <w:ind w:left="420" w:firstLine="320" w:firstLineChars="1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三、防腐剂混合使用时各自用量占其最大使用量的比例之和</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仿宋_GB2312" w:hAnsi="ˎ̥" w:eastAsia="仿宋_GB2312" w:cs="Arial"/>
          <w:b/>
          <w:bCs/>
          <w:sz w:val="32"/>
          <w:szCs w:val="32"/>
        </w:rPr>
      </w:pPr>
      <w:r>
        <w:rPr>
          <w:rFonts w:hint="eastAsia" w:ascii="仿宋_GB2312" w:eastAsia="仿宋_GB2312" w:hAnsiTheme="minorHAnsi" w:cstheme="minorBidi"/>
          <w:kern w:val="2"/>
          <w:sz w:val="32"/>
          <w:szCs w:val="32"/>
          <w:lang w:val="en-US" w:eastAsia="zh-CN" w:bidi="ar-SA"/>
        </w:rPr>
        <w:t>防腐剂是以保持食品原有品质和营养价值为目的的食品添加剂，它能抑制微生物的生长繁殖，防止食品腐败变质从而延长保质期。《食品安全国家标准 食品添加剂使用标准》（GB 2760—2014）中不仅规定了我国在食品中允许添加的某一添加剂的种类、使用量或残留量，而且规定了同一功能的防腐剂在混合使用时，各自用量占其最大使用量的比例之和不应超过1。</w:t>
      </w:r>
    </w:p>
    <w:p>
      <w:pPr>
        <w:pStyle w:val="18"/>
        <w:keepNext w:val="0"/>
        <w:keepLines w:val="0"/>
        <w:pageBreakBefore w:val="0"/>
        <w:kinsoku/>
        <w:wordWrap/>
        <w:overflowPunct/>
        <w:topLinePunct w:val="0"/>
        <w:autoSpaceDE/>
        <w:autoSpaceDN/>
        <w:bidi w:val="0"/>
        <w:spacing w:line="590" w:lineRule="exact"/>
        <w:ind w:left="420" w:firstLine="296" w:firstLineChars="100"/>
        <w:textAlignment w:val="auto"/>
        <w:rPr>
          <w:rFonts w:hint="default" w:eastAsia="黑体"/>
          <w:color w:val="auto"/>
          <w:spacing w:val="-12"/>
          <w:sz w:val="32"/>
          <w:szCs w:val="32"/>
          <w:lang w:val="en-US" w:eastAsia="zh-CN"/>
        </w:rPr>
      </w:pPr>
      <w:r>
        <w:rPr>
          <w:rFonts w:hint="eastAsia" w:eastAsia="黑体"/>
          <w:color w:val="auto"/>
          <w:spacing w:val="-12"/>
          <w:sz w:val="32"/>
          <w:szCs w:val="32"/>
          <w:lang w:val="en-US" w:eastAsia="zh-CN"/>
        </w:rPr>
        <w:t>四、脱氢乙酸及其钠盐（以脱氢乙酸计）</w:t>
      </w:r>
    </w:p>
    <w:p>
      <w:pPr>
        <w:numPr>
          <w:ilvl w:val="0"/>
          <w:numId w:val="0"/>
        </w:numPr>
        <w:spacing w:line="600" w:lineRule="exact"/>
        <w:ind w:firstLine="640" w:firstLineChars="200"/>
        <w:rPr>
          <w:rFonts w:hint="eastAsia" w:ascii="仿宋_GB2312" w:hAnsi="ˎ̥" w:eastAsia="仿宋_GB2312" w:cs="Arial"/>
          <w:sz w:val="32"/>
          <w:szCs w:val="32"/>
          <w:lang w:val="en-US" w:eastAsia="zh-CN"/>
        </w:rPr>
      </w:pPr>
      <w:r>
        <w:rPr>
          <w:rFonts w:hint="eastAsia" w:ascii="仿宋_GB2312" w:hAnsi="ˎ̥" w:eastAsia="仿宋_GB2312" w:cs="Arial"/>
          <w:sz w:val="32"/>
          <w:szCs w:val="32"/>
        </w:rPr>
        <w:t>脱氢乙酸及其钠盐作为食品添加剂，广泛用作防腐剂，对霉菌具有较强的抑制作用。《食品安全国家标准 食品添加剂使用标准》（GB 2760—2014）中规定</w:t>
      </w:r>
      <w:r>
        <w:rPr>
          <w:rFonts w:hint="eastAsia" w:ascii="仿宋_GB2312" w:hAnsi="ˎ̥" w:eastAsia="仿宋_GB2312" w:cs="Arial"/>
          <w:sz w:val="32"/>
          <w:szCs w:val="32"/>
          <w:lang w:eastAsia="zh-CN"/>
        </w:rPr>
        <w:t>糕点</w:t>
      </w:r>
      <w:r>
        <w:rPr>
          <w:rFonts w:hint="eastAsia" w:ascii="仿宋_GB2312" w:hAnsi="ˎ̥" w:eastAsia="仿宋_GB2312" w:cs="Arial"/>
          <w:sz w:val="32"/>
          <w:szCs w:val="32"/>
        </w:rPr>
        <w:t>中脱氢乙酸及其钠盐</w:t>
      </w:r>
      <w:r>
        <w:rPr>
          <w:rFonts w:hint="eastAsia" w:ascii="仿宋_GB2312" w:hAnsi="ˎ̥" w:eastAsia="仿宋_GB2312" w:cs="Arial"/>
          <w:sz w:val="32"/>
          <w:szCs w:val="32"/>
          <w:lang w:eastAsia="zh-CN"/>
        </w:rPr>
        <w:t>不超过0.5g/kg</w:t>
      </w:r>
      <w:r>
        <w:rPr>
          <w:rFonts w:hint="eastAsia" w:ascii="仿宋_GB2312" w:hAnsi="ˎ̥" w:eastAsia="仿宋_GB2312" w:cs="Arial"/>
          <w:sz w:val="32"/>
          <w:szCs w:val="32"/>
        </w:rPr>
        <w:t>。长期大量食用脱氢乙酸及其钠盐超标</w:t>
      </w:r>
      <w:r>
        <w:rPr>
          <w:rFonts w:hint="eastAsia" w:ascii="仿宋_GB2312" w:hAnsi="ˎ̥" w:eastAsia="仿宋_GB2312" w:cs="Arial"/>
          <w:sz w:val="32"/>
          <w:szCs w:val="32"/>
          <w:lang w:val="en-US" w:eastAsia="zh-CN"/>
        </w:rPr>
        <w:t>产品，可能对人体健康产生一定影响。</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sz w:val="32"/>
          <w:szCs w:val="32"/>
          <w:lang w:eastAsia="zh-CN"/>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酒精度</w:t>
      </w:r>
    </w:p>
    <w:p>
      <w:pPr>
        <w:spacing w:line="64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olor w:val="auto"/>
          <w:sz w:val="32"/>
          <w:szCs w:val="32"/>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w:t>
      </w:r>
    </w:p>
    <w:p>
      <w:pPr>
        <w:adjustRightInd w:val="0"/>
        <w:snapToGrid w:val="0"/>
        <w:spacing w:line="594"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六、</w:t>
      </w:r>
      <w:r>
        <w:rPr>
          <w:rFonts w:ascii="Times New Roman" w:hAnsi="Times New Roman" w:eastAsia="黑体" w:cs="Times New Roman"/>
          <w:bCs/>
          <w:sz w:val="32"/>
          <w:szCs w:val="32"/>
        </w:rPr>
        <w:t>铝的残留量</w:t>
      </w:r>
      <w:r>
        <w:rPr>
          <w:rFonts w:hint="eastAsia" w:ascii="Times New Roman" w:hAnsi="Times New Roman" w:eastAsia="黑体" w:cs="Times New Roman"/>
          <w:bCs/>
          <w:sz w:val="32"/>
          <w:szCs w:val="32"/>
        </w:rPr>
        <w:t>（干样品，以Al计）</w:t>
      </w:r>
    </w:p>
    <w:p>
      <w:pPr>
        <w:adjustRightInd w:val="0"/>
        <w:snapToGrid w:val="0"/>
        <w:spacing w:line="594"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shd w:val="clear" w:color="auto" w:fill="FFFFFF"/>
        </w:rPr>
        <w:t>硫酸铝钾（又名钾明矾）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硫酸铝铵（又名铵明矶）是食品加工中常用的膨松剂和稳定剂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使用后</w:t>
      </w:r>
      <w:r>
        <w:rPr>
          <w:rFonts w:hint="eastAsia" w:ascii="Times New Roman" w:hAnsi="Times New Roman" w:eastAsia="仿宋_GB2312" w:cs="Times New Roman"/>
          <w:sz w:val="32"/>
          <w:szCs w:val="32"/>
          <w:shd w:val="clear" w:color="auto" w:fill="FFFFFF"/>
        </w:rPr>
        <w:t>会</w:t>
      </w:r>
      <w:r>
        <w:rPr>
          <w:rFonts w:ascii="Times New Roman" w:hAnsi="Times New Roman" w:eastAsia="仿宋_GB2312" w:cs="Times New Roman"/>
          <w:sz w:val="32"/>
          <w:szCs w:val="32"/>
          <w:shd w:val="clear" w:color="auto" w:fill="FFFFFF"/>
        </w:rPr>
        <w:t>产生铝残留。</w:t>
      </w:r>
      <w:r>
        <w:rPr>
          <w:rFonts w:hint="eastAsia" w:ascii="Times New Roman" w:hAnsi="Times New Roman" w:eastAsia="仿宋_GB2312" w:cs="Times New Roman"/>
          <w:sz w:val="32"/>
          <w:szCs w:val="32"/>
          <w:shd w:val="clear" w:color="auto" w:fill="FFFFFF"/>
          <w:lang w:val="en-US" w:eastAsia="zh-CN"/>
        </w:rPr>
        <w:t>豆制品中</w:t>
      </w:r>
      <w:r>
        <w:rPr>
          <w:rFonts w:ascii="Times New Roman" w:hAnsi="Times New Roman" w:eastAsia="仿宋_GB2312" w:cs="Times New Roman"/>
          <w:sz w:val="32"/>
          <w:szCs w:val="32"/>
          <w:shd w:val="clear" w:color="auto" w:fill="FFFFFF"/>
        </w:rPr>
        <w:t>铝的残留量</w:t>
      </w:r>
      <w:r>
        <w:rPr>
          <w:rFonts w:hint="eastAsia" w:ascii="Times New Roman" w:hAnsi="Times New Roman" w:eastAsia="仿宋_GB2312" w:cs="Times New Roman"/>
          <w:sz w:val="32"/>
          <w:szCs w:val="32"/>
          <w:shd w:val="clear" w:color="auto" w:fill="FFFFFF"/>
        </w:rPr>
        <w:t>超标</w:t>
      </w:r>
      <w:r>
        <w:rPr>
          <w:rFonts w:ascii="Times New Roman" w:hAnsi="Times New Roman" w:eastAsia="仿宋_GB2312" w:cs="Times New Roman"/>
          <w:sz w:val="32"/>
          <w:szCs w:val="32"/>
          <w:shd w:val="clear" w:color="auto" w:fill="FFFFFF"/>
        </w:rPr>
        <w:t>的原因</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可能是商家过量使用</w:t>
      </w:r>
      <w:r>
        <w:rPr>
          <w:rFonts w:hint="eastAsia" w:ascii="Times New Roman" w:hAnsi="Times New Roman" w:eastAsia="仿宋_GB2312" w:cs="Times New Roman"/>
          <w:sz w:val="32"/>
          <w:szCs w:val="32"/>
          <w:shd w:val="clear" w:color="auto" w:fill="FFFFFF"/>
        </w:rPr>
        <w:t>相关食品添加剂。</w:t>
      </w:r>
      <w:r>
        <w:rPr>
          <w:rFonts w:ascii="Times New Roman" w:hAnsi="Times New Roman" w:eastAsia="仿宋_GB2312" w:cs="Times New Roman"/>
          <w:sz w:val="32"/>
          <w:szCs w:val="32"/>
          <w:shd w:val="clear" w:color="auto" w:fill="FFFFFF"/>
        </w:rPr>
        <w:t>长期摄入</w:t>
      </w:r>
      <w:r>
        <w:rPr>
          <w:rFonts w:hint="eastAsia" w:ascii="Times New Roman" w:hAnsi="Times New Roman" w:eastAsia="仿宋_GB2312" w:cs="Times New Roman"/>
          <w:sz w:val="32"/>
          <w:szCs w:val="32"/>
          <w:shd w:val="clear" w:color="auto" w:fill="FFFFFF"/>
        </w:rPr>
        <w:t>铝残留超标的食品，可能</w:t>
      </w:r>
      <w:r>
        <w:rPr>
          <w:rFonts w:ascii="Times New Roman" w:hAnsi="Times New Roman" w:eastAsia="仿宋_GB2312" w:cs="Times New Roman"/>
          <w:sz w:val="32"/>
          <w:szCs w:val="32"/>
          <w:shd w:val="clear" w:color="auto" w:fill="FFFFFF"/>
        </w:rPr>
        <w:t>影响人体对铁、钙等</w:t>
      </w:r>
      <w:r>
        <w:rPr>
          <w:rFonts w:hint="eastAsia" w:ascii="Times New Roman" w:hAnsi="Times New Roman" w:eastAsia="仿宋_GB2312" w:cs="Times New Roman"/>
          <w:sz w:val="32"/>
          <w:szCs w:val="32"/>
          <w:shd w:val="clear" w:color="auto" w:fill="FFFFFF"/>
        </w:rPr>
        <w:t>营养元素</w:t>
      </w:r>
      <w:r>
        <w:rPr>
          <w:rFonts w:ascii="Times New Roman" w:hAnsi="Times New Roman" w:eastAsia="仿宋_GB2312" w:cs="Times New Roman"/>
          <w:sz w:val="32"/>
          <w:szCs w:val="32"/>
          <w:shd w:val="clear" w:color="auto" w:fill="FFFFFF"/>
        </w:rPr>
        <w:t>的吸收</w:t>
      </w:r>
      <w:r>
        <w:rPr>
          <w:rFonts w:hint="eastAsia" w:ascii="Times New Roman" w:hAnsi="Times New Roman" w:eastAsia="仿宋_GB2312" w:cs="Times New Roman"/>
          <w:sz w:val="32"/>
          <w:szCs w:val="32"/>
          <w:shd w:val="clear" w:color="auto" w:fill="FFFFFF"/>
        </w:rPr>
        <w:t>，从而</w:t>
      </w:r>
      <w:r>
        <w:rPr>
          <w:rFonts w:ascii="Times New Roman" w:hAnsi="Times New Roman" w:eastAsia="仿宋_GB2312" w:cs="Times New Roman"/>
          <w:sz w:val="32"/>
          <w:szCs w:val="32"/>
          <w:shd w:val="clear" w:color="auto" w:fill="FFFFFF"/>
        </w:rPr>
        <w:t>导致骨质疏松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贫血</w:t>
      </w:r>
      <w:r>
        <w:rPr>
          <w:rFonts w:hint="eastAsia" w:ascii="Times New Roman" w:hAnsi="Times New Roman" w:eastAsia="仿宋_GB2312" w:cs="Times New Roman"/>
          <w:sz w:val="32"/>
          <w:szCs w:val="32"/>
          <w:shd w:val="clear" w:color="auto" w:fill="FFFFFF"/>
        </w:rPr>
        <w:t>等，</w:t>
      </w:r>
      <w:r>
        <w:rPr>
          <w:rFonts w:ascii="Times New Roman" w:hAnsi="Times New Roman" w:eastAsia="仿宋_GB2312" w:cs="Times New Roman"/>
          <w:sz w:val="32"/>
          <w:szCs w:val="32"/>
          <w:shd w:val="clear" w:color="auto" w:fill="FFFFFF"/>
        </w:rPr>
        <w:t>甚至影响神经细胞的发育。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0B1D8D"/>
    <w:rsid w:val="0C705556"/>
    <w:rsid w:val="0CCE6341"/>
    <w:rsid w:val="0D4279C5"/>
    <w:rsid w:val="0D852F3F"/>
    <w:rsid w:val="0DE12CCF"/>
    <w:rsid w:val="0E284B04"/>
    <w:rsid w:val="0EC12409"/>
    <w:rsid w:val="0F8E03D8"/>
    <w:rsid w:val="0FC01C62"/>
    <w:rsid w:val="1034205B"/>
    <w:rsid w:val="104362FC"/>
    <w:rsid w:val="107C1AA5"/>
    <w:rsid w:val="11F95E33"/>
    <w:rsid w:val="12F708C4"/>
    <w:rsid w:val="14FB2159"/>
    <w:rsid w:val="153E37EC"/>
    <w:rsid w:val="155E31D5"/>
    <w:rsid w:val="15F30177"/>
    <w:rsid w:val="164271B3"/>
    <w:rsid w:val="16C74C86"/>
    <w:rsid w:val="16E15A77"/>
    <w:rsid w:val="172A0F96"/>
    <w:rsid w:val="17BC2306"/>
    <w:rsid w:val="18165D76"/>
    <w:rsid w:val="187D413F"/>
    <w:rsid w:val="18B93A69"/>
    <w:rsid w:val="18CE1A06"/>
    <w:rsid w:val="19D1085A"/>
    <w:rsid w:val="1A6251F7"/>
    <w:rsid w:val="1ACE2642"/>
    <w:rsid w:val="1BAD4A7C"/>
    <w:rsid w:val="1C1845BD"/>
    <w:rsid w:val="1CB27E9B"/>
    <w:rsid w:val="1DAD3FFF"/>
    <w:rsid w:val="1DFF41B9"/>
    <w:rsid w:val="207F2166"/>
    <w:rsid w:val="209E7837"/>
    <w:rsid w:val="20DD5D1B"/>
    <w:rsid w:val="21EF72E6"/>
    <w:rsid w:val="224D6ADB"/>
    <w:rsid w:val="227B2998"/>
    <w:rsid w:val="22A141AA"/>
    <w:rsid w:val="22BF0461"/>
    <w:rsid w:val="22DF1FFB"/>
    <w:rsid w:val="239D0E6B"/>
    <w:rsid w:val="24B573DE"/>
    <w:rsid w:val="25481A61"/>
    <w:rsid w:val="25915938"/>
    <w:rsid w:val="25A92365"/>
    <w:rsid w:val="261F7110"/>
    <w:rsid w:val="268C2746"/>
    <w:rsid w:val="26A0668D"/>
    <w:rsid w:val="26AB6C21"/>
    <w:rsid w:val="26DF3697"/>
    <w:rsid w:val="27332D86"/>
    <w:rsid w:val="27727CA4"/>
    <w:rsid w:val="27F74C72"/>
    <w:rsid w:val="28600ED5"/>
    <w:rsid w:val="28B77FCD"/>
    <w:rsid w:val="28E51ADB"/>
    <w:rsid w:val="290E4770"/>
    <w:rsid w:val="2A066B4A"/>
    <w:rsid w:val="2A0F4184"/>
    <w:rsid w:val="2A14107F"/>
    <w:rsid w:val="2AB22B74"/>
    <w:rsid w:val="2B1206C2"/>
    <w:rsid w:val="2D7D65C0"/>
    <w:rsid w:val="2EE02088"/>
    <w:rsid w:val="2EEE4150"/>
    <w:rsid w:val="2F192827"/>
    <w:rsid w:val="2F9200D3"/>
    <w:rsid w:val="3036111F"/>
    <w:rsid w:val="30C52F74"/>
    <w:rsid w:val="31390AFB"/>
    <w:rsid w:val="31727237"/>
    <w:rsid w:val="31E4442C"/>
    <w:rsid w:val="31F75EEE"/>
    <w:rsid w:val="320944EF"/>
    <w:rsid w:val="32671426"/>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A937552"/>
    <w:rsid w:val="3AA9213C"/>
    <w:rsid w:val="3B6949B8"/>
    <w:rsid w:val="3B932D55"/>
    <w:rsid w:val="3C52405A"/>
    <w:rsid w:val="3C87360C"/>
    <w:rsid w:val="3D625FAB"/>
    <w:rsid w:val="3D8F3232"/>
    <w:rsid w:val="3E3A3BD1"/>
    <w:rsid w:val="3E793D02"/>
    <w:rsid w:val="3E974FD9"/>
    <w:rsid w:val="3F944EF2"/>
    <w:rsid w:val="40787187"/>
    <w:rsid w:val="40B86FDC"/>
    <w:rsid w:val="40F91F4F"/>
    <w:rsid w:val="420E6C2D"/>
    <w:rsid w:val="42400E64"/>
    <w:rsid w:val="425665EF"/>
    <w:rsid w:val="426A0D65"/>
    <w:rsid w:val="43842684"/>
    <w:rsid w:val="44F63D12"/>
    <w:rsid w:val="45B97969"/>
    <w:rsid w:val="47492C28"/>
    <w:rsid w:val="494214A7"/>
    <w:rsid w:val="49697DDF"/>
    <w:rsid w:val="4B5049B4"/>
    <w:rsid w:val="4BC137FA"/>
    <w:rsid w:val="4C297156"/>
    <w:rsid w:val="4C36294C"/>
    <w:rsid w:val="4CCB074B"/>
    <w:rsid w:val="4D8A2EE5"/>
    <w:rsid w:val="4D9B4661"/>
    <w:rsid w:val="4E0B1BC2"/>
    <w:rsid w:val="4EC26E4B"/>
    <w:rsid w:val="4EED2BC8"/>
    <w:rsid w:val="4F932387"/>
    <w:rsid w:val="4FAB5F46"/>
    <w:rsid w:val="50163F73"/>
    <w:rsid w:val="50C17233"/>
    <w:rsid w:val="51896A13"/>
    <w:rsid w:val="52941F38"/>
    <w:rsid w:val="52A6769D"/>
    <w:rsid w:val="53DD4918"/>
    <w:rsid w:val="5473169E"/>
    <w:rsid w:val="554D75AB"/>
    <w:rsid w:val="55515C48"/>
    <w:rsid w:val="55BE0029"/>
    <w:rsid w:val="566F178F"/>
    <w:rsid w:val="583D6A55"/>
    <w:rsid w:val="58C52A1E"/>
    <w:rsid w:val="5900754B"/>
    <w:rsid w:val="591702CA"/>
    <w:rsid w:val="59203A01"/>
    <w:rsid w:val="5AF17BBB"/>
    <w:rsid w:val="5B7936AC"/>
    <w:rsid w:val="5BDC6E44"/>
    <w:rsid w:val="5C6258A4"/>
    <w:rsid w:val="5E3C6DCB"/>
    <w:rsid w:val="5E82604C"/>
    <w:rsid w:val="5E9F7D04"/>
    <w:rsid w:val="5EB3567B"/>
    <w:rsid w:val="5FB4017C"/>
    <w:rsid w:val="5FF86B48"/>
    <w:rsid w:val="616D5BEF"/>
    <w:rsid w:val="62106968"/>
    <w:rsid w:val="62733EE5"/>
    <w:rsid w:val="62A23EF9"/>
    <w:rsid w:val="62E64A8D"/>
    <w:rsid w:val="637B6589"/>
    <w:rsid w:val="63E519B6"/>
    <w:rsid w:val="63E60C8E"/>
    <w:rsid w:val="645F7C77"/>
    <w:rsid w:val="6655217A"/>
    <w:rsid w:val="66F73F16"/>
    <w:rsid w:val="67734C92"/>
    <w:rsid w:val="67C1146A"/>
    <w:rsid w:val="67DF1954"/>
    <w:rsid w:val="67E22ABE"/>
    <w:rsid w:val="681044FB"/>
    <w:rsid w:val="681A5C55"/>
    <w:rsid w:val="686B67ED"/>
    <w:rsid w:val="6B0A631F"/>
    <w:rsid w:val="6B2F57E8"/>
    <w:rsid w:val="6B3B7A45"/>
    <w:rsid w:val="6C2A5933"/>
    <w:rsid w:val="6C532497"/>
    <w:rsid w:val="6C6A3D48"/>
    <w:rsid w:val="70433045"/>
    <w:rsid w:val="71236AF0"/>
    <w:rsid w:val="72050BDB"/>
    <w:rsid w:val="72C44654"/>
    <w:rsid w:val="731C59A6"/>
    <w:rsid w:val="740B7597"/>
    <w:rsid w:val="75A57FA1"/>
    <w:rsid w:val="76077A0F"/>
    <w:rsid w:val="76C43BAF"/>
    <w:rsid w:val="77450FC0"/>
    <w:rsid w:val="7802718C"/>
    <w:rsid w:val="78516857"/>
    <w:rsid w:val="787917F5"/>
    <w:rsid w:val="79425C88"/>
    <w:rsid w:val="79E41CD7"/>
    <w:rsid w:val="7A27777B"/>
    <w:rsid w:val="7B5D2F26"/>
    <w:rsid w:val="7B7721FC"/>
    <w:rsid w:val="7C83397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0</TotalTime>
  <ScaleCrop>false</ScaleCrop>
  <LinksUpToDate>false</LinksUpToDate>
  <CharactersWithSpaces>1054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zwq</cp:lastModifiedBy>
  <cp:lastPrinted>2019-01-28T02:50:00Z</cp:lastPrinted>
  <dcterms:modified xsi:type="dcterms:W3CDTF">2019-12-31T01:39:52Z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