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Arial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简体"/>
          <w:color w:val="000000" w:themeColor="text1"/>
          <w:spacing w:val="-12"/>
          <w:sz w:val="44"/>
          <w:szCs w:val="44"/>
        </w:rPr>
      </w:pPr>
      <w:r>
        <w:rPr>
          <w:rFonts w:hint="eastAsia" w:eastAsia="方正小标宋简体"/>
          <w:color w:val="000000" w:themeColor="text1"/>
          <w:spacing w:val="-12"/>
          <w:sz w:val="44"/>
          <w:szCs w:val="44"/>
        </w:rPr>
        <w:t>部分不合格项目小知识</w:t>
      </w:r>
    </w:p>
    <w:p>
      <w:pPr>
        <w:spacing w:line="560" w:lineRule="exact"/>
        <w:ind w:firstLine="643" w:firstLineChars="200"/>
        <w:rPr>
          <w:rFonts w:ascii="黑体" w:hAnsi="黑体" w:eastAsia="黑体" w:cs="仿宋_GB2312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</w:rPr>
        <w:t>一、不合格项目小知识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color w:val="000000" w:themeColor="text1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 w:themeColor="text1"/>
          <w:sz w:val="32"/>
          <w:szCs w:val="32"/>
        </w:rPr>
        <w:t>（一）</w:t>
      </w:r>
      <w:r>
        <w:rPr>
          <w:rFonts w:ascii="楷体" w:hAnsi="楷体" w:eastAsia="楷体"/>
          <w:b/>
          <w:color w:val="000000" w:themeColor="text1"/>
          <w:sz w:val="32"/>
          <w:szCs w:val="32"/>
        </w:rPr>
        <w:t>菌落总数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菌落总数是指示性微生物指标，并非致病菌指标，主要用来评价食品清洁度，反映食品在生产过程中是否符合卫生要求，一定程度上标志着食品卫生质量的优劣。</w:t>
      </w:r>
      <w:r>
        <w:rPr>
          <w:rFonts w:ascii="仿宋" w:hAnsi="仿宋" w:eastAsia="仿宋"/>
          <w:sz w:val="32"/>
          <w:szCs w:val="32"/>
        </w:rPr>
        <w:t>《鸡精调味料》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SB/T 10371-2003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中规定</w:t>
      </w:r>
      <w:r>
        <w:rPr>
          <w:rFonts w:ascii="仿宋" w:hAnsi="仿宋" w:eastAsia="仿宋"/>
          <w:color w:val="000000" w:themeColor="text1"/>
          <w:sz w:val="32"/>
          <w:szCs w:val="32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鸡精调味料中的</w:t>
      </w:r>
      <w:r>
        <w:rPr>
          <w:rFonts w:ascii="仿宋" w:hAnsi="仿宋" w:eastAsia="仿宋"/>
          <w:color w:val="000000" w:themeColor="text1"/>
          <w:sz w:val="32"/>
          <w:szCs w:val="32"/>
        </w:rPr>
        <w:t>菌落总数应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≤10000cfu/g；</w:t>
      </w:r>
      <w:r>
        <w:rPr>
          <w:rFonts w:ascii="仿宋" w:hAnsi="仿宋" w:eastAsia="仿宋"/>
          <w:sz w:val="32"/>
          <w:szCs w:val="32"/>
        </w:rPr>
        <w:t>《食品安全国家标准 藻类及其制品》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GB 19643-2016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中规定</w:t>
      </w:r>
      <w:r>
        <w:rPr>
          <w:rFonts w:ascii="仿宋" w:hAnsi="仿宋" w:eastAsia="仿宋"/>
          <w:color w:val="000000" w:themeColor="text1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从一批产品中</w:t>
      </w:r>
      <w:r>
        <w:rPr>
          <w:rFonts w:ascii="仿宋" w:hAnsi="仿宋" w:eastAsia="仿宋"/>
          <w:sz w:val="32"/>
          <w:szCs w:val="32"/>
        </w:rPr>
        <w:t>采集</w:t>
      </w:r>
      <w:r>
        <w:rPr>
          <w:rFonts w:hint="eastAsia" w:ascii="仿宋" w:hAnsi="仿宋" w:eastAsia="仿宋"/>
          <w:sz w:val="32"/>
          <w:szCs w:val="32"/>
        </w:rPr>
        <w:t>5个样品</w:t>
      </w:r>
      <w:r>
        <w:rPr>
          <w:rFonts w:ascii="仿宋" w:hAnsi="仿宋" w:eastAsia="仿宋"/>
          <w:sz w:val="32"/>
          <w:szCs w:val="32"/>
        </w:rPr>
        <w:t>，若</w:t>
      </w:r>
      <w:r>
        <w:rPr>
          <w:rFonts w:hint="eastAsia" w:ascii="仿宋" w:hAnsi="仿宋" w:eastAsia="仿宋"/>
          <w:sz w:val="32"/>
          <w:szCs w:val="32"/>
        </w:rPr>
        <w:t>5个样品</w:t>
      </w:r>
      <w:r>
        <w:rPr>
          <w:rFonts w:ascii="仿宋" w:hAnsi="仿宋" w:eastAsia="仿宋"/>
          <w:sz w:val="32"/>
          <w:szCs w:val="32"/>
        </w:rPr>
        <w:t>的检验结果均小于或等于</w:t>
      </w:r>
      <w:r>
        <w:rPr>
          <w:rFonts w:hint="eastAsia" w:ascii="仿宋" w:hAnsi="仿宋" w:eastAsia="仿宋"/>
          <w:sz w:val="32"/>
          <w:szCs w:val="32"/>
        </w:rPr>
        <w:t>m值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≤</w:t>
      </w:r>
      <w:r>
        <w:rPr>
          <w:rFonts w:ascii="仿宋" w:hAnsi="仿宋" w:eastAsia="仿宋"/>
          <w:color w:val="000000"/>
          <w:sz w:val="32"/>
          <w:szCs w:val="32"/>
        </w:rPr>
        <w:t>3×10</w:t>
      </w:r>
      <w:r>
        <w:rPr>
          <w:rFonts w:hint="eastAsia" w:ascii="仿宋" w:hAnsi="仿宋" w:eastAsia="仿宋" w:cs="微软雅黑"/>
          <w:color w:val="000000"/>
          <w:sz w:val="32"/>
          <w:szCs w:val="32"/>
          <w:vertAlign w:val="superscript"/>
        </w:rPr>
        <w:t>4</w:t>
      </w:r>
      <w:r>
        <w:rPr>
          <w:rFonts w:ascii="仿宋" w:hAnsi="仿宋" w:eastAsia="仿宋"/>
          <w:sz w:val="32"/>
          <w:szCs w:val="32"/>
        </w:rPr>
        <w:t>CFU/g）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则这种情况是允许的；</w:t>
      </w:r>
      <w:r>
        <w:rPr>
          <w:rFonts w:hint="eastAsia" w:ascii="仿宋" w:hAnsi="仿宋" w:eastAsia="仿宋"/>
          <w:sz w:val="32"/>
          <w:szCs w:val="32"/>
        </w:rPr>
        <w:t>若≤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ascii="仿宋" w:hAnsi="仿宋" w:eastAsia="仿宋"/>
          <w:sz w:val="32"/>
          <w:szCs w:val="32"/>
        </w:rPr>
        <w:t>样品的结果</w:t>
      </w:r>
      <w:r>
        <w:rPr>
          <w:rFonts w:hint="eastAsia" w:ascii="仿宋" w:hAnsi="仿宋" w:eastAsia="仿宋"/>
          <w:sz w:val="32"/>
          <w:szCs w:val="32"/>
        </w:rPr>
        <w:t>（X）位于m值</w:t>
      </w:r>
      <w:r>
        <w:rPr>
          <w:rFonts w:ascii="仿宋" w:hAnsi="仿宋" w:eastAsia="仿宋"/>
          <w:sz w:val="32"/>
          <w:szCs w:val="32"/>
        </w:rPr>
        <w:t>和</w:t>
      </w:r>
      <w:r>
        <w:rPr>
          <w:rFonts w:hint="eastAsia" w:ascii="仿宋" w:hAnsi="仿宋" w:eastAsia="仿宋"/>
          <w:sz w:val="32"/>
          <w:szCs w:val="32"/>
        </w:rPr>
        <w:t>M值</w:t>
      </w:r>
      <w:r>
        <w:rPr>
          <w:rFonts w:ascii="仿宋" w:hAnsi="仿宋" w:eastAsia="仿宋"/>
          <w:sz w:val="32"/>
          <w:szCs w:val="32"/>
        </w:rPr>
        <w:t>之间（</w:t>
      </w:r>
      <w:r>
        <w:rPr>
          <w:rFonts w:ascii="仿宋" w:hAnsi="仿宋" w:eastAsia="仿宋"/>
          <w:color w:val="000000"/>
          <w:sz w:val="32"/>
          <w:szCs w:val="32"/>
        </w:rPr>
        <w:t>3×10</w:t>
      </w:r>
      <w:r>
        <w:rPr>
          <w:rFonts w:hint="eastAsia" w:ascii="仿宋" w:hAnsi="仿宋" w:eastAsia="仿宋" w:cs="微软雅黑"/>
          <w:color w:val="000000"/>
          <w:sz w:val="32"/>
          <w:szCs w:val="32"/>
          <w:vertAlign w:val="superscript"/>
        </w:rPr>
        <w:t>4</w:t>
      </w:r>
      <w:r>
        <w:rPr>
          <w:rFonts w:hint="eastAsia" w:ascii="仿宋" w:hAnsi="仿宋" w:eastAsia="仿宋"/>
          <w:sz w:val="32"/>
          <w:szCs w:val="32"/>
        </w:rPr>
        <w:t>CFU/g</w:t>
      </w:r>
      <w:r>
        <w:rPr>
          <w:rFonts w:hint="eastAsia" w:ascii="仿宋" w:hAnsi="仿宋" w:eastAsia="仿宋"/>
          <w:color w:val="FF0000"/>
          <w:sz w:val="32"/>
          <w:szCs w:val="32"/>
        </w:rPr>
        <w:t>＜</w:t>
      </w:r>
      <w:r>
        <w:rPr>
          <w:rFonts w:hint="eastAsia" w:ascii="仿宋" w:hAnsi="仿宋" w:eastAsia="仿宋"/>
          <w:sz w:val="32"/>
          <w:szCs w:val="32"/>
        </w:rPr>
        <w:t>X≤</w:t>
      </w: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ascii="仿宋" w:hAnsi="仿宋" w:eastAsia="仿宋"/>
          <w:color w:val="000000"/>
          <w:sz w:val="32"/>
          <w:szCs w:val="32"/>
          <w:vertAlign w:val="superscript"/>
        </w:rPr>
        <w:t>5</w:t>
      </w:r>
      <w:r>
        <w:rPr>
          <w:rFonts w:hint="eastAsia" w:ascii="仿宋" w:hAnsi="仿宋" w:eastAsia="仿宋"/>
          <w:sz w:val="32"/>
          <w:szCs w:val="32"/>
        </w:rPr>
        <w:t>CFU/g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,则</w:t>
      </w:r>
      <w:r>
        <w:rPr>
          <w:rFonts w:ascii="仿宋" w:hAnsi="仿宋" w:eastAsia="仿宋"/>
          <w:sz w:val="32"/>
          <w:szCs w:val="32"/>
        </w:rPr>
        <w:t>这种情况也是允许的；若有3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ascii="仿宋" w:hAnsi="仿宋" w:eastAsia="仿宋"/>
          <w:sz w:val="32"/>
          <w:szCs w:val="32"/>
        </w:rPr>
        <w:t>及以上的样品检验</w:t>
      </w:r>
      <w:r>
        <w:rPr>
          <w:rFonts w:hint="eastAsia" w:ascii="仿宋" w:hAnsi="仿宋" w:eastAsia="仿宋"/>
          <w:sz w:val="32"/>
          <w:szCs w:val="32"/>
        </w:rPr>
        <w:t>结果</w:t>
      </w:r>
      <w:r>
        <w:rPr>
          <w:rFonts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</w:rPr>
        <w:t>m值</w:t>
      </w:r>
      <w:r>
        <w:rPr>
          <w:rFonts w:ascii="仿宋" w:hAnsi="仿宋" w:eastAsia="仿宋"/>
          <w:sz w:val="32"/>
          <w:szCs w:val="32"/>
        </w:rPr>
        <w:t>和</w:t>
      </w:r>
      <w:r>
        <w:rPr>
          <w:rFonts w:hint="eastAsia" w:ascii="仿宋" w:hAnsi="仿宋" w:eastAsia="仿宋"/>
          <w:sz w:val="32"/>
          <w:szCs w:val="32"/>
        </w:rPr>
        <w:t>M值</w:t>
      </w:r>
      <w:r>
        <w:rPr>
          <w:rFonts w:ascii="仿宋" w:hAnsi="仿宋" w:eastAsia="仿宋"/>
          <w:sz w:val="32"/>
          <w:szCs w:val="32"/>
        </w:rPr>
        <w:t>之间，则这种情况</w:t>
      </w:r>
      <w:r>
        <w:rPr>
          <w:rFonts w:hint="eastAsia" w:ascii="仿宋" w:hAnsi="仿宋" w:eastAsia="仿宋"/>
          <w:sz w:val="32"/>
          <w:szCs w:val="32"/>
        </w:rPr>
        <w:t>是不允许的</w:t>
      </w:r>
      <w:r>
        <w:rPr>
          <w:rFonts w:ascii="仿宋" w:hAnsi="仿宋" w:eastAsia="仿宋"/>
          <w:sz w:val="32"/>
          <w:szCs w:val="32"/>
        </w:rPr>
        <w:t>；若有</w:t>
      </w:r>
      <w:r>
        <w:rPr>
          <w:rFonts w:hint="eastAsia" w:ascii="仿宋" w:hAnsi="仿宋" w:eastAsia="仿宋"/>
          <w:sz w:val="32"/>
          <w:szCs w:val="32"/>
        </w:rPr>
        <w:t>任</w:t>
      </w:r>
      <w:r>
        <w:rPr>
          <w:rFonts w:ascii="仿宋" w:hAnsi="仿宋" w:eastAsia="仿宋"/>
          <w:sz w:val="32"/>
          <w:szCs w:val="32"/>
        </w:rPr>
        <w:t>一样品的检验结果大于</w:t>
      </w:r>
      <w:r>
        <w:rPr>
          <w:rFonts w:hint="eastAsia" w:ascii="仿宋" w:hAnsi="仿宋" w:eastAsia="仿宋"/>
          <w:sz w:val="32"/>
          <w:szCs w:val="32"/>
        </w:rPr>
        <w:t>M值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</w:rPr>
        <w:t>＞</w:t>
      </w: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ascii="仿宋" w:hAnsi="仿宋" w:eastAsia="仿宋"/>
          <w:color w:val="000000"/>
          <w:sz w:val="32"/>
          <w:szCs w:val="32"/>
          <w:vertAlign w:val="superscript"/>
        </w:rPr>
        <w:t>5</w:t>
      </w:r>
      <w:r>
        <w:rPr>
          <w:rFonts w:hint="eastAsia" w:ascii="仿宋" w:hAnsi="仿宋" w:eastAsia="仿宋"/>
          <w:sz w:val="32"/>
          <w:szCs w:val="32"/>
        </w:rPr>
        <w:t>CFU/g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则这种情况也是不允许的。</w:t>
      </w:r>
      <w:r>
        <w:rPr>
          <w:rFonts w:ascii="仿宋" w:hAnsi="仿宋" w:eastAsia="仿宋"/>
          <w:color w:val="000000" w:themeColor="text1"/>
          <w:sz w:val="32"/>
          <w:szCs w:val="32"/>
        </w:rPr>
        <w:t>食品的菌落总数严重超标，说明其产品的卫生状况达不到基本的卫生要求，将会破坏食品的营养成分，加速食品的腐败变质，使食品失去食用价值。消费者食用微生物超标严重的食品，容易患痢疾等肠道疾病，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会</w:t>
      </w:r>
      <w:r>
        <w:rPr>
          <w:rFonts w:ascii="仿宋" w:hAnsi="仿宋" w:eastAsia="仿宋"/>
          <w:color w:val="000000" w:themeColor="text1"/>
          <w:sz w:val="32"/>
          <w:szCs w:val="32"/>
        </w:rPr>
        <w:t>引起呕吐、腹泻等症状。</w:t>
      </w:r>
    </w:p>
    <w:p>
      <w:pPr>
        <w:spacing w:line="560" w:lineRule="exact"/>
        <w:ind w:firstLine="643" w:firstLineChars="200"/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 w:themeColor="text1"/>
          <w:sz w:val="32"/>
          <w:szCs w:val="32"/>
        </w:rPr>
        <w:t>（二）</w:t>
      </w:r>
      <w:r>
        <w:rPr>
          <w:rFonts w:hint="eastAsia" w:ascii="楷体" w:hAnsi="楷体" w:eastAsia="楷体" w:cs="宋体"/>
          <w:b/>
          <w:color w:val="000000" w:themeColor="text1"/>
          <w:kern w:val="0"/>
          <w:sz w:val="32"/>
          <w:szCs w:val="32"/>
        </w:rPr>
        <w:t>苯甲酸及其钠盐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苯甲酸及其钠盐是食品工业中常见的一种防腐保鲜剂，对霉菌、酵母和细菌有较好的抑制作用。《食品安全国家标准 食品添加剂使用标准》（</w:t>
      </w:r>
      <w:r>
        <w:rPr>
          <w:rFonts w:ascii="仿宋" w:hAnsi="仿宋" w:eastAsia="仿宋" w:cs="Times New Roman"/>
          <w:sz w:val="32"/>
          <w:szCs w:val="32"/>
        </w:rPr>
        <w:t>GB 2760</w:t>
      </w:r>
      <w:r>
        <w:rPr>
          <w:rFonts w:hint="eastAsia" w:ascii="仿宋" w:hAnsi="仿宋" w:eastAsia="仿宋" w:cs="Times New Roman"/>
          <w:sz w:val="32"/>
          <w:szCs w:val="32"/>
        </w:rPr>
        <w:t>-</w:t>
      </w:r>
      <w:r>
        <w:rPr>
          <w:rFonts w:ascii="仿宋" w:hAnsi="仿宋" w:eastAsia="仿宋" w:cs="Times New Roman"/>
          <w:sz w:val="32"/>
          <w:szCs w:val="32"/>
        </w:rPr>
        <w:t>2014</w:t>
      </w:r>
      <w:r>
        <w:rPr>
          <w:rFonts w:hint="eastAsia" w:ascii="仿宋" w:hAnsi="仿宋" w:eastAsia="仿宋" w:cs="Times New Roman"/>
          <w:sz w:val="32"/>
          <w:szCs w:val="32"/>
        </w:rPr>
        <w:t>）中规定，饼干中不得使用苯甲酸及其钠盐（以苯甲酸计）。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食用</w:t>
      </w:r>
      <w:r>
        <w:rPr>
          <w:rFonts w:hint="eastAsia" w:ascii="仿宋" w:hAnsi="仿宋" w:eastAsia="仿宋" w:cs="Times New Roman"/>
          <w:sz w:val="32"/>
          <w:szCs w:val="32"/>
        </w:rPr>
        <w:t>苯甲酸及其钠盐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超标的食品，会对肝脏造成一定的伤害，特别是老年人、儿童及低免疫力人群。消费者要树立科学、健康的饮食观，在选购食品时切忌盲目追求产品卖相，注意荤素合理搭配、营养均衡。</w:t>
      </w:r>
    </w:p>
    <w:p>
      <w:pPr>
        <w:spacing w:line="560" w:lineRule="exact"/>
        <w:ind w:firstLine="643" w:firstLineChars="200"/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 w:themeColor="text1"/>
          <w:sz w:val="32"/>
          <w:szCs w:val="32"/>
        </w:rPr>
        <w:t>（三）</w:t>
      </w:r>
      <w:r>
        <w:rPr>
          <w:rFonts w:hint="eastAsia" w:ascii="楷体" w:hAnsi="楷体" w:eastAsia="楷体" w:cs="宋体"/>
          <w:b/>
          <w:color w:val="000000" w:themeColor="text1"/>
          <w:kern w:val="0"/>
          <w:sz w:val="32"/>
          <w:szCs w:val="32"/>
        </w:rPr>
        <w:t>山梨酸及其钾盐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山梨酸及山梨酸钾是食品防腐保鲜剂，具有广泛的抑菌效果和防霉性能。《食品安全国家标准 食品添加剂使用标准》（</w:t>
      </w:r>
      <w:r>
        <w:rPr>
          <w:rFonts w:ascii="仿宋" w:hAnsi="仿宋" w:eastAsia="仿宋"/>
          <w:sz w:val="32"/>
          <w:szCs w:val="32"/>
        </w:rPr>
        <w:t>GB 2760-2014</w:t>
      </w:r>
      <w:r>
        <w:rPr>
          <w:rFonts w:hint="eastAsia" w:ascii="仿宋" w:hAnsi="仿宋" w:eastAsia="仿宋"/>
          <w:sz w:val="32"/>
          <w:szCs w:val="32"/>
        </w:rPr>
        <w:t>）中规定，发酵面制品中</w:t>
      </w:r>
      <w:r>
        <w:rPr>
          <w:rFonts w:ascii="仿宋" w:hAnsi="仿宋" w:eastAsia="仿宋"/>
          <w:sz w:val="32"/>
          <w:szCs w:val="32"/>
        </w:rPr>
        <w:t>不得使用</w:t>
      </w:r>
      <w:r>
        <w:rPr>
          <w:rFonts w:hint="eastAsia" w:ascii="仿宋" w:hAnsi="仿宋" w:eastAsia="仿宋"/>
          <w:sz w:val="32"/>
          <w:szCs w:val="32"/>
        </w:rPr>
        <w:t>山梨酸及其钾盐，</w:t>
      </w:r>
      <w:r>
        <w:rPr>
          <w:rFonts w:ascii="仿宋" w:hAnsi="仿宋" w:eastAsia="仿宋"/>
          <w:sz w:val="32"/>
          <w:szCs w:val="32"/>
        </w:rPr>
        <w:t>熟肉制品中</w:t>
      </w:r>
      <w:r>
        <w:rPr>
          <w:rFonts w:hint="eastAsia" w:ascii="仿宋" w:hAnsi="仿宋" w:eastAsia="仿宋"/>
          <w:sz w:val="32"/>
          <w:szCs w:val="32"/>
        </w:rPr>
        <w:t>山梨酸及其钾盐应≤0.075g/kg。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食用</w:t>
      </w:r>
      <w:r>
        <w:rPr>
          <w:rFonts w:hint="eastAsia" w:ascii="仿宋" w:hAnsi="仿宋" w:eastAsia="仿宋"/>
          <w:sz w:val="32"/>
          <w:szCs w:val="32"/>
        </w:rPr>
        <w:t>山梨酸及其钾盐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含量超标的食品，会对</w:t>
      </w:r>
      <w:r>
        <w:rPr>
          <w:rFonts w:hint="eastAsia" w:ascii="仿宋" w:hAnsi="仿宋" w:eastAsia="仿宋"/>
          <w:sz w:val="32"/>
          <w:szCs w:val="32"/>
        </w:rPr>
        <w:t>人体的骨骼生长、肾脏、肝脏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造成一定的伤害，特别是老年人、儿童及低免疫力人群。消费者要树立科学、健康的饮食观，在选购食品时切忌盲目追求产品卖相，注意荤素合理搭配、营养均衡。</w:t>
      </w:r>
    </w:p>
    <w:p>
      <w:pPr>
        <w:spacing w:line="560" w:lineRule="exact"/>
        <w:ind w:firstLine="643" w:firstLineChars="200"/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 w:themeColor="text1"/>
          <w:sz w:val="32"/>
          <w:szCs w:val="32"/>
        </w:rPr>
        <w:t>（四）</w:t>
      </w:r>
      <w:r>
        <w:rPr>
          <w:rFonts w:ascii="楷体" w:hAnsi="楷体" w:eastAsia="楷体"/>
          <w:b/>
          <w:sz w:val="32"/>
          <w:szCs w:val="32"/>
        </w:rPr>
        <w:t>N-</w:t>
      </w:r>
      <w:r>
        <w:rPr>
          <w:rFonts w:hint="eastAsia" w:ascii="楷体" w:hAnsi="楷体" w:eastAsia="楷体"/>
          <w:b/>
          <w:sz w:val="32"/>
          <w:szCs w:val="32"/>
        </w:rPr>
        <w:t>二甲基亚硝胺</w:t>
      </w:r>
    </w:p>
    <w:p>
      <w:pPr>
        <w:pStyle w:val="15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N-</w:t>
      </w:r>
      <w:r>
        <w:rPr>
          <w:rFonts w:hint="eastAsia" w:ascii="仿宋" w:hAnsi="仿宋" w:eastAsia="仿宋"/>
          <w:sz w:val="32"/>
          <w:szCs w:val="32"/>
        </w:rPr>
        <w:t>二甲基亚硝胺是</w:t>
      </w:r>
      <w:r>
        <w:rPr>
          <w:rFonts w:ascii="仿宋" w:hAnsi="仿宋" w:eastAsia="仿宋"/>
          <w:sz w:val="32"/>
          <w:szCs w:val="32"/>
        </w:rPr>
        <w:t>N-</w:t>
      </w:r>
      <w:r>
        <w:rPr>
          <w:rFonts w:hint="eastAsia" w:ascii="仿宋" w:hAnsi="仿宋" w:eastAsia="仿宋"/>
          <w:sz w:val="32"/>
          <w:szCs w:val="32"/>
        </w:rPr>
        <w:t>亚硝胺类化合物的一种，食品中天然存在的</w:t>
      </w:r>
      <w:r>
        <w:rPr>
          <w:rFonts w:ascii="仿宋" w:hAnsi="仿宋" w:eastAsia="仿宋"/>
          <w:sz w:val="32"/>
          <w:szCs w:val="32"/>
        </w:rPr>
        <w:t>N-</w:t>
      </w:r>
      <w:r>
        <w:rPr>
          <w:rFonts w:hint="eastAsia" w:ascii="仿宋" w:hAnsi="仿宋" w:eastAsia="仿宋"/>
          <w:sz w:val="32"/>
          <w:szCs w:val="32"/>
        </w:rPr>
        <w:t>亚硝胺类化合物含量极微，但其前体物质亚硝酸盐和胺类广泛存在于自然界中，在适宜的条件下可以形成</w:t>
      </w:r>
      <w:r>
        <w:rPr>
          <w:rFonts w:ascii="仿宋" w:hAnsi="仿宋" w:eastAsia="仿宋"/>
          <w:sz w:val="32"/>
          <w:szCs w:val="32"/>
        </w:rPr>
        <w:t>N-</w:t>
      </w:r>
      <w:r>
        <w:rPr>
          <w:rFonts w:hint="eastAsia" w:ascii="仿宋" w:hAnsi="仿宋" w:eastAsia="仿宋"/>
          <w:sz w:val="32"/>
          <w:szCs w:val="32"/>
        </w:rPr>
        <w:t>亚硝胺类化合物。鱼类特别是海洋鱼类水产品中存在天然胺类物质氧化三甲胺，在氧化三甲胺还原酶、腐败细菌特别是兼性厌氧菌的作用下，氧化三甲胺脱氧被还原成三甲胺，三甲胺是海洋动物腐败的恶臭成分，可经亚硝化反应生成亚硝胺。《食品安全国家标准 食品中污染物限量》（</w:t>
      </w:r>
      <w:r>
        <w:rPr>
          <w:rFonts w:ascii="仿宋" w:hAnsi="仿宋" w:eastAsia="仿宋"/>
          <w:sz w:val="32"/>
          <w:szCs w:val="32"/>
        </w:rPr>
        <w:t>GB 2762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7）中规定，水产制品中</w:t>
      </w:r>
      <w:r>
        <w:rPr>
          <w:rFonts w:ascii="仿宋" w:hAnsi="仿宋" w:eastAsia="仿宋"/>
          <w:sz w:val="32"/>
          <w:szCs w:val="32"/>
        </w:rPr>
        <w:t>N-</w:t>
      </w:r>
      <w:r>
        <w:rPr>
          <w:rFonts w:hint="eastAsia" w:ascii="仿宋" w:hAnsi="仿宋" w:eastAsia="仿宋"/>
          <w:sz w:val="32"/>
          <w:szCs w:val="32"/>
        </w:rPr>
        <w:t>二甲基亚硝胺应≤</w:t>
      </w:r>
      <w:r>
        <w:rPr>
          <w:rFonts w:ascii="仿宋" w:hAnsi="仿宋" w:eastAsia="仿宋"/>
          <w:sz w:val="32"/>
          <w:szCs w:val="32"/>
        </w:rPr>
        <w:t>4.0</w:t>
      </w:r>
      <w:r>
        <w:rPr>
          <w:rFonts w:hint="eastAsia" w:ascii="仿宋" w:hAnsi="仿宋" w:eastAsia="仿宋"/>
          <w:sz w:val="32"/>
          <w:szCs w:val="32"/>
        </w:rPr>
        <w:t>μ</w:t>
      </w:r>
      <w:r>
        <w:rPr>
          <w:rFonts w:ascii="仿宋" w:hAnsi="仿宋" w:eastAsia="仿宋"/>
          <w:sz w:val="32"/>
          <w:szCs w:val="32"/>
        </w:rPr>
        <w:t>g/kg</w:t>
      </w:r>
      <w:r>
        <w:rPr>
          <w:rFonts w:hint="eastAsia" w:ascii="仿宋" w:hAnsi="仿宋" w:eastAsia="仿宋"/>
          <w:sz w:val="32"/>
          <w:szCs w:val="32"/>
        </w:rPr>
        <w:t>。一次过多摄入含</w:t>
      </w:r>
      <w:r>
        <w:rPr>
          <w:rFonts w:ascii="仿宋" w:hAnsi="仿宋" w:eastAsia="仿宋"/>
          <w:sz w:val="32"/>
          <w:szCs w:val="32"/>
        </w:rPr>
        <w:t>N-</w:t>
      </w:r>
      <w:r>
        <w:rPr>
          <w:rFonts w:hint="eastAsia" w:ascii="仿宋" w:hAnsi="仿宋" w:eastAsia="仿宋"/>
          <w:sz w:val="32"/>
          <w:szCs w:val="32"/>
        </w:rPr>
        <w:t>亚硝基化合物超标的食物，会引起急性中毒，主要症状为头晕、乏力、肝实质病变等。</w:t>
      </w:r>
    </w:p>
    <w:p>
      <w:pPr>
        <w:spacing w:line="560" w:lineRule="exact"/>
        <w:ind w:firstLine="643" w:firstLineChars="200"/>
        <w:rPr>
          <w:rFonts w:ascii="黑体" w:hAnsi="黑体" w:eastAsia="黑体" w:cs="仿宋_GB2312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</w:rPr>
        <w:t>二、建议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根据各环节专项抽检不合格项目，建议各相关企业：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left="708"/>
        <w:jc w:val="both"/>
        <w:rPr>
          <w:rStyle w:val="8"/>
          <w:rFonts w:ascii="楷体" w:hAnsi="楷体" w:eastAsia="楷体"/>
          <w:color w:val="000000" w:themeColor="text1"/>
          <w:sz w:val="32"/>
          <w:szCs w:val="32"/>
        </w:rPr>
      </w:pPr>
      <w:r>
        <w:rPr>
          <w:rStyle w:val="8"/>
          <w:rFonts w:hint="eastAsia" w:ascii="楷体" w:hAnsi="楷体" w:eastAsia="楷体"/>
          <w:color w:val="000000" w:themeColor="text1"/>
          <w:sz w:val="32"/>
          <w:szCs w:val="32"/>
        </w:rPr>
        <w:t>（一）严格把关食品质量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食品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生产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经营者应当建立食品进货查验记录和索证索票制度，如实记录食品的生产批号、保质期、供货者名称及联系方式、进货日期等内容，并查验供货者的许可证和包含必要检测项目的食品合格证明文件，确保采购的食品和原辅料符合标准的有关规定和要求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8"/>
          <w:rFonts w:ascii="楷体" w:hAnsi="楷体" w:eastAsia="楷体"/>
          <w:color w:val="000000" w:themeColor="text1"/>
          <w:sz w:val="32"/>
          <w:szCs w:val="32"/>
        </w:rPr>
      </w:pPr>
      <w:r>
        <w:rPr>
          <w:rStyle w:val="8"/>
          <w:rFonts w:hint="eastAsia" w:ascii="楷体" w:hAnsi="楷体" w:eastAsia="楷体"/>
          <w:color w:val="000000" w:themeColor="text1"/>
          <w:sz w:val="32"/>
          <w:szCs w:val="32"/>
        </w:rPr>
        <w:t>（二）保证食品运输、贮存环境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食品</w:t>
      </w:r>
      <w:r>
        <w:rPr>
          <w:rFonts w:hint="eastAsia" w:ascii="仿宋" w:hAnsi="仿宋" w:eastAsia="仿宋"/>
          <w:color w:val="auto"/>
          <w:sz w:val="32"/>
          <w:szCs w:val="32"/>
        </w:rPr>
        <w:t>生产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经营者应保证运输和装卸食品的容器、工具和设备清洁、无害，保证食品的经营环境和储存环境等符合与食品所需的环境，并及时清理变质、超过保质期及其他不符合标准要求的食品；针对特殊贮存要求的食品，食品经营者在运输、贮藏时应当符合食品安全所需要的温度、空间隔离等特殊要求，防止交叉污染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8"/>
          <w:rFonts w:ascii="楷体" w:hAnsi="楷体" w:eastAsia="楷体"/>
          <w:color w:val="000000" w:themeColor="text1"/>
          <w:sz w:val="32"/>
          <w:szCs w:val="32"/>
        </w:rPr>
      </w:pPr>
      <w:r>
        <w:rPr>
          <w:rStyle w:val="8"/>
          <w:rFonts w:hint="eastAsia" w:ascii="楷体" w:hAnsi="楷体" w:eastAsia="楷体"/>
          <w:color w:val="000000" w:themeColor="text1"/>
          <w:sz w:val="32"/>
          <w:szCs w:val="32"/>
        </w:rPr>
        <w:t>（三）加强食品从业人员培训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食品</w:t>
      </w:r>
      <w:r>
        <w:rPr>
          <w:rFonts w:hint="eastAsia" w:ascii="仿宋" w:hAnsi="仿宋" w:eastAsia="仿宋"/>
          <w:color w:val="auto"/>
          <w:sz w:val="32"/>
          <w:szCs w:val="32"/>
        </w:rPr>
        <w:t>生产经营者</w:t>
      </w:r>
      <w:r>
        <w:rPr>
          <w:rFonts w:ascii="仿宋" w:hAnsi="仿宋" w:eastAsia="仿宋"/>
          <w:color w:val="auto"/>
          <w:sz w:val="32"/>
          <w:szCs w:val="32"/>
        </w:rPr>
        <w:t>应建立食品相关岗位的培训制度，</w:t>
      </w:r>
      <w:r>
        <w:rPr>
          <w:rFonts w:hint="eastAsia" w:ascii="仿宋" w:hAnsi="仿宋" w:eastAsia="仿宋"/>
          <w:color w:val="auto"/>
          <w:sz w:val="32"/>
          <w:szCs w:val="32"/>
        </w:rPr>
        <w:t>加强日常监管及培训，</w:t>
      </w:r>
      <w:r>
        <w:rPr>
          <w:rFonts w:ascii="仿宋" w:hAnsi="仿宋" w:eastAsia="仿宋"/>
          <w:color w:val="auto"/>
          <w:sz w:val="32"/>
          <w:szCs w:val="32"/>
        </w:rPr>
        <w:t>对食品</w:t>
      </w:r>
      <w:r>
        <w:rPr>
          <w:rFonts w:hint="eastAsia" w:ascii="仿宋" w:hAnsi="仿宋" w:eastAsia="仿宋"/>
          <w:color w:val="auto"/>
          <w:sz w:val="32"/>
          <w:szCs w:val="32"/>
        </w:rPr>
        <w:t>生产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销售</w:t>
      </w:r>
      <w:r>
        <w:rPr>
          <w:rFonts w:ascii="仿宋" w:hAnsi="仿宋" w:eastAsia="仿宋"/>
          <w:color w:val="000000" w:themeColor="text1"/>
          <w:sz w:val="32"/>
          <w:szCs w:val="32"/>
        </w:rPr>
        <w:t>人员以及相关岗位的从业人员进行相应的食品安全知识培训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color w:val="000000" w:themeColor="text1"/>
          <w:sz w:val="32"/>
        </w:rPr>
        <w:t>提高从业人员的食品安全意识和维护食品安全能力</w:t>
      </w:r>
      <w:r>
        <w:rPr>
          <w:rFonts w:ascii="仿宋" w:hAnsi="仿宋" w:eastAsia="仿宋"/>
          <w:color w:val="000000" w:themeColor="text1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40D71"/>
    <w:rsid w:val="00004DB3"/>
    <w:rsid w:val="0001248C"/>
    <w:rsid w:val="00020EAA"/>
    <w:rsid w:val="00023D16"/>
    <w:rsid w:val="000276EE"/>
    <w:rsid w:val="00030F39"/>
    <w:rsid w:val="00032538"/>
    <w:rsid w:val="000338FA"/>
    <w:rsid w:val="00035BF4"/>
    <w:rsid w:val="000373C2"/>
    <w:rsid w:val="00040D71"/>
    <w:rsid w:val="00044B2D"/>
    <w:rsid w:val="0004778C"/>
    <w:rsid w:val="000518A7"/>
    <w:rsid w:val="00071380"/>
    <w:rsid w:val="00073BFA"/>
    <w:rsid w:val="00074F6A"/>
    <w:rsid w:val="000821AB"/>
    <w:rsid w:val="000A31B7"/>
    <w:rsid w:val="000B08E7"/>
    <w:rsid w:val="000B6093"/>
    <w:rsid w:val="000C4E7D"/>
    <w:rsid w:val="000D0EA8"/>
    <w:rsid w:val="000D555F"/>
    <w:rsid w:val="000D6FFE"/>
    <w:rsid w:val="000F5F41"/>
    <w:rsid w:val="00102A23"/>
    <w:rsid w:val="00117748"/>
    <w:rsid w:val="00117D05"/>
    <w:rsid w:val="001345A3"/>
    <w:rsid w:val="001372D9"/>
    <w:rsid w:val="0014337A"/>
    <w:rsid w:val="001517B0"/>
    <w:rsid w:val="00154CAA"/>
    <w:rsid w:val="00160E55"/>
    <w:rsid w:val="001618B6"/>
    <w:rsid w:val="0017157D"/>
    <w:rsid w:val="0019148B"/>
    <w:rsid w:val="001A2AAA"/>
    <w:rsid w:val="001B4BBC"/>
    <w:rsid w:val="001D639F"/>
    <w:rsid w:val="001E073B"/>
    <w:rsid w:val="001F221F"/>
    <w:rsid w:val="001F4A92"/>
    <w:rsid w:val="00213E7B"/>
    <w:rsid w:val="002178AC"/>
    <w:rsid w:val="002200B2"/>
    <w:rsid w:val="00221768"/>
    <w:rsid w:val="00221DA8"/>
    <w:rsid w:val="00231176"/>
    <w:rsid w:val="002349E5"/>
    <w:rsid w:val="00242A69"/>
    <w:rsid w:val="0026230D"/>
    <w:rsid w:val="002671C8"/>
    <w:rsid w:val="00277FEA"/>
    <w:rsid w:val="00286E02"/>
    <w:rsid w:val="00287612"/>
    <w:rsid w:val="002940D0"/>
    <w:rsid w:val="0029681F"/>
    <w:rsid w:val="002A10E0"/>
    <w:rsid w:val="002A4120"/>
    <w:rsid w:val="002A5ABF"/>
    <w:rsid w:val="002B5671"/>
    <w:rsid w:val="002D2260"/>
    <w:rsid w:val="002D5CDC"/>
    <w:rsid w:val="002D7D42"/>
    <w:rsid w:val="002E1A9A"/>
    <w:rsid w:val="002E7121"/>
    <w:rsid w:val="002E7A60"/>
    <w:rsid w:val="002F661B"/>
    <w:rsid w:val="002F6AF2"/>
    <w:rsid w:val="00302840"/>
    <w:rsid w:val="003145EC"/>
    <w:rsid w:val="00320483"/>
    <w:rsid w:val="003217C2"/>
    <w:rsid w:val="00332A02"/>
    <w:rsid w:val="003439FD"/>
    <w:rsid w:val="00344CD6"/>
    <w:rsid w:val="00351BC3"/>
    <w:rsid w:val="00357353"/>
    <w:rsid w:val="0036094B"/>
    <w:rsid w:val="0036358C"/>
    <w:rsid w:val="00374D69"/>
    <w:rsid w:val="003A105E"/>
    <w:rsid w:val="003A7456"/>
    <w:rsid w:val="003B285F"/>
    <w:rsid w:val="003C44C0"/>
    <w:rsid w:val="003D4767"/>
    <w:rsid w:val="003E3863"/>
    <w:rsid w:val="003E4CCE"/>
    <w:rsid w:val="003E7BD4"/>
    <w:rsid w:val="003F2E05"/>
    <w:rsid w:val="003F4780"/>
    <w:rsid w:val="00404951"/>
    <w:rsid w:val="00407D6D"/>
    <w:rsid w:val="0041352D"/>
    <w:rsid w:val="004173F6"/>
    <w:rsid w:val="00423F19"/>
    <w:rsid w:val="004268FC"/>
    <w:rsid w:val="00433911"/>
    <w:rsid w:val="004361DC"/>
    <w:rsid w:val="004432E7"/>
    <w:rsid w:val="00445FF9"/>
    <w:rsid w:val="0045148C"/>
    <w:rsid w:val="00465B94"/>
    <w:rsid w:val="00465BBA"/>
    <w:rsid w:val="00474153"/>
    <w:rsid w:val="00485C2D"/>
    <w:rsid w:val="00487895"/>
    <w:rsid w:val="00495C32"/>
    <w:rsid w:val="004A0708"/>
    <w:rsid w:val="004A4837"/>
    <w:rsid w:val="004B00FD"/>
    <w:rsid w:val="004B4C82"/>
    <w:rsid w:val="004C426F"/>
    <w:rsid w:val="004C4885"/>
    <w:rsid w:val="004D1007"/>
    <w:rsid w:val="004E4404"/>
    <w:rsid w:val="004F6ABF"/>
    <w:rsid w:val="005023CC"/>
    <w:rsid w:val="00502813"/>
    <w:rsid w:val="00512C0F"/>
    <w:rsid w:val="00514C4D"/>
    <w:rsid w:val="005154D3"/>
    <w:rsid w:val="00521A4C"/>
    <w:rsid w:val="00524190"/>
    <w:rsid w:val="005263C4"/>
    <w:rsid w:val="00527A95"/>
    <w:rsid w:val="00540617"/>
    <w:rsid w:val="00544656"/>
    <w:rsid w:val="005656E0"/>
    <w:rsid w:val="005713C7"/>
    <w:rsid w:val="0057278A"/>
    <w:rsid w:val="00575E5E"/>
    <w:rsid w:val="0058383A"/>
    <w:rsid w:val="00584DA5"/>
    <w:rsid w:val="00591E9F"/>
    <w:rsid w:val="005921CC"/>
    <w:rsid w:val="00592261"/>
    <w:rsid w:val="0059592A"/>
    <w:rsid w:val="005975B9"/>
    <w:rsid w:val="005B6012"/>
    <w:rsid w:val="005C0AD5"/>
    <w:rsid w:val="005C4414"/>
    <w:rsid w:val="005C5343"/>
    <w:rsid w:val="005E2AE0"/>
    <w:rsid w:val="005E69BF"/>
    <w:rsid w:val="005F3690"/>
    <w:rsid w:val="005F6703"/>
    <w:rsid w:val="00601A31"/>
    <w:rsid w:val="00602933"/>
    <w:rsid w:val="006045FB"/>
    <w:rsid w:val="00604E8B"/>
    <w:rsid w:val="006122F4"/>
    <w:rsid w:val="00615CA4"/>
    <w:rsid w:val="00635AFB"/>
    <w:rsid w:val="0065490E"/>
    <w:rsid w:val="0065687B"/>
    <w:rsid w:val="00676A61"/>
    <w:rsid w:val="00677041"/>
    <w:rsid w:val="006843EF"/>
    <w:rsid w:val="0068726E"/>
    <w:rsid w:val="00690066"/>
    <w:rsid w:val="00694B5D"/>
    <w:rsid w:val="006C33F5"/>
    <w:rsid w:val="006E4A25"/>
    <w:rsid w:val="006E5453"/>
    <w:rsid w:val="006E59B0"/>
    <w:rsid w:val="006E7453"/>
    <w:rsid w:val="00700D7B"/>
    <w:rsid w:val="00704ED0"/>
    <w:rsid w:val="0071410F"/>
    <w:rsid w:val="00726271"/>
    <w:rsid w:val="0073084E"/>
    <w:rsid w:val="007334B5"/>
    <w:rsid w:val="007354F0"/>
    <w:rsid w:val="007365B5"/>
    <w:rsid w:val="00737040"/>
    <w:rsid w:val="00741414"/>
    <w:rsid w:val="007475AE"/>
    <w:rsid w:val="007524FB"/>
    <w:rsid w:val="00755610"/>
    <w:rsid w:val="00757F5B"/>
    <w:rsid w:val="00762B75"/>
    <w:rsid w:val="007657E7"/>
    <w:rsid w:val="007726FB"/>
    <w:rsid w:val="00780AAB"/>
    <w:rsid w:val="00782644"/>
    <w:rsid w:val="00790B1D"/>
    <w:rsid w:val="00793F65"/>
    <w:rsid w:val="007A04C2"/>
    <w:rsid w:val="007A4823"/>
    <w:rsid w:val="007A4B38"/>
    <w:rsid w:val="007A4C53"/>
    <w:rsid w:val="007A76AD"/>
    <w:rsid w:val="007B2714"/>
    <w:rsid w:val="007B4E41"/>
    <w:rsid w:val="007B6B96"/>
    <w:rsid w:val="007C05DF"/>
    <w:rsid w:val="007C05E7"/>
    <w:rsid w:val="007C6B7A"/>
    <w:rsid w:val="007D07B1"/>
    <w:rsid w:val="007D0CE1"/>
    <w:rsid w:val="007D3698"/>
    <w:rsid w:val="007E7EDB"/>
    <w:rsid w:val="007F407E"/>
    <w:rsid w:val="007F56B0"/>
    <w:rsid w:val="007F5CB0"/>
    <w:rsid w:val="007F6A0E"/>
    <w:rsid w:val="00803608"/>
    <w:rsid w:val="00810281"/>
    <w:rsid w:val="00810A1F"/>
    <w:rsid w:val="0081161A"/>
    <w:rsid w:val="008156E7"/>
    <w:rsid w:val="008179CB"/>
    <w:rsid w:val="00821662"/>
    <w:rsid w:val="0083040C"/>
    <w:rsid w:val="008319CA"/>
    <w:rsid w:val="00836C73"/>
    <w:rsid w:val="0085551D"/>
    <w:rsid w:val="0086442F"/>
    <w:rsid w:val="00867C6A"/>
    <w:rsid w:val="00871259"/>
    <w:rsid w:val="00872500"/>
    <w:rsid w:val="00872720"/>
    <w:rsid w:val="00873E30"/>
    <w:rsid w:val="0087447C"/>
    <w:rsid w:val="00874A9A"/>
    <w:rsid w:val="00877764"/>
    <w:rsid w:val="008919B2"/>
    <w:rsid w:val="008926FF"/>
    <w:rsid w:val="00895285"/>
    <w:rsid w:val="0089786F"/>
    <w:rsid w:val="008B017B"/>
    <w:rsid w:val="008B0EE9"/>
    <w:rsid w:val="008B13F5"/>
    <w:rsid w:val="008B162B"/>
    <w:rsid w:val="008C13BD"/>
    <w:rsid w:val="008D07CB"/>
    <w:rsid w:val="008D4BC1"/>
    <w:rsid w:val="008D5C01"/>
    <w:rsid w:val="008D774D"/>
    <w:rsid w:val="008D7BE7"/>
    <w:rsid w:val="00901BA9"/>
    <w:rsid w:val="00905A3D"/>
    <w:rsid w:val="00940D38"/>
    <w:rsid w:val="00970598"/>
    <w:rsid w:val="00973735"/>
    <w:rsid w:val="00976894"/>
    <w:rsid w:val="00980983"/>
    <w:rsid w:val="00981703"/>
    <w:rsid w:val="00984B96"/>
    <w:rsid w:val="00985782"/>
    <w:rsid w:val="009863AC"/>
    <w:rsid w:val="009A140A"/>
    <w:rsid w:val="009B289D"/>
    <w:rsid w:val="009C1EF6"/>
    <w:rsid w:val="009C47C2"/>
    <w:rsid w:val="009C7C2C"/>
    <w:rsid w:val="009D2910"/>
    <w:rsid w:val="009E04DF"/>
    <w:rsid w:val="009E360E"/>
    <w:rsid w:val="009E5EE3"/>
    <w:rsid w:val="009F042A"/>
    <w:rsid w:val="00A12E98"/>
    <w:rsid w:val="00A1648C"/>
    <w:rsid w:val="00A21057"/>
    <w:rsid w:val="00A27910"/>
    <w:rsid w:val="00A33132"/>
    <w:rsid w:val="00A41F8E"/>
    <w:rsid w:val="00A44DDA"/>
    <w:rsid w:val="00A45171"/>
    <w:rsid w:val="00A46DA1"/>
    <w:rsid w:val="00A60C4E"/>
    <w:rsid w:val="00A63260"/>
    <w:rsid w:val="00A64362"/>
    <w:rsid w:val="00A66D3F"/>
    <w:rsid w:val="00A671ED"/>
    <w:rsid w:val="00A83EDB"/>
    <w:rsid w:val="00A85E52"/>
    <w:rsid w:val="00AA27AC"/>
    <w:rsid w:val="00AA7D57"/>
    <w:rsid w:val="00AB027F"/>
    <w:rsid w:val="00AC7961"/>
    <w:rsid w:val="00AD0257"/>
    <w:rsid w:val="00AD22BB"/>
    <w:rsid w:val="00AE06A9"/>
    <w:rsid w:val="00AE13F1"/>
    <w:rsid w:val="00AE1401"/>
    <w:rsid w:val="00AE189D"/>
    <w:rsid w:val="00AE19AF"/>
    <w:rsid w:val="00AE1E94"/>
    <w:rsid w:val="00AE6354"/>
    <w:rsid w:val="00AE756C"/>
    <w:rsid w:val="00B0198F"/>
    <w:rsid w:val="00B144C6"/>
    <w:rsid w:val="00B3155E"/>
    <w:rsid w:val="00B359CA"/>
    <w:rsid w:val="00B3617A"/>
    <w:rsid w:val="00B450DB"/>
    <w:rsid w:val="00B638E5"/>
    <w:rsid w:val="00B64ACD"/>
    <w:rsid w:val="00B657C9"/>
    <w:rsid w:val="00B74E1F"/>
    <w:rsid w:val="00B75344"/>
    <w:rsid w:val="00B75B94"/>
    <w:rsid w:val="00B84041"/>
    <w:rsid w:val="00B85427"/>
    <w:rsid w:val="00B979A2"/>
    <w:rsid w:val="00BA32AF"/>
    <w:rsid w:val="00BC13BC"/>
    <w:rsid w:val="00BC2C60"/>
    <w:rsid w:val="00BC393B"/>
    <w:rsid w:val="00BC4F96"/>
    <w:rsid w:val="00BC662E"/>
    <w:rsid w:val="00BE6494"/>
    <w:rsid w:val="00C02926"/>
    <w:rsid w:val="00C20926"/>
    <w:rsid w:val="00C2191F"/>
    <w:rsid w:val="00C219D8"/>
    <w:rsid w:val="00C2298B"/>
    <w:rsid w:val="00C416DC"/>
    <w:rsid w:val="00C532DF"/>
    <w:rsid w:val="00C56590"/>
    <w:rsid w:val="00C57CE5"/>
    <w:rsid w:val="00C6247E"/>
    <w:rsid w:val="00C853BB"/>
    <w:rsid w:val="00C86042"/>
    <w:rsid w:val="00C86765"/>
    <w:rsid w:val="00C867B0"/>
    <w:rsid w:val="00C86FAC"/>
    <w:rsid w:val="00C87027"/>
    <w:rsid w:val="00C87E60"/>
    <w:rsid w:val="00C92CD1"/>
    <w:rsid w:val="00CA4CD6"/>
    <w:rsid w:val="00CA541E"/>
    <w:rsid w:val="00CA7023"/>
    <w:rsid w:val="00CB1E1A"/>
    <w:rsid w:val="00CB4C48"/>
    <w:rsid w:val="00CC62F5"/>
    <w:rsid w:val="00CC7CDD"/>
    <w:rsid w:val="00CD7853"/>
    <w:rsid w:val="00CE0E6E"/>
    <w:rsid w:val="00CE594F"/>
    <w:rsid w:val="00CF1B62"/>
    <w:rsid w:val="00CF1C6C"/>
    <w:rsid w:val="00CF543D"/>
    <w:rsid w:val="00D100E5"/>
    <w:rsid w:val="00D16F6F"/>
    <w:rsid w:val="00D1798E"/>
    <w:rsid w:val="00D24333"/>
    <w:rsid w:val="00D26DFF"/>
    <w:rsid w:val="00D33EE3"/>
    <w:rsid w:val="00D44900"/>
    <w:rsid w:val="00D473CF"/>
    <w:rsid w:val="00D522FB"/>
    <w:rsid w:val="00D549B2"/>
    <w:rsid w:val="00D61E32"/>
    <w:rsid w:val="00D646C5"/>
    <w:rsid w:val="00D71FA2"/>
    <w:rsid w:val="00D7582C"/>
    <w:rsid w:val="00D815CA"/>
    <w:rsid w:val="00D8340D"/>
    <w:rsid w:val="00D85541"/>
    <w:rsid w:val="00D86350"/>
    <w:rsid w:val="00D960D9"/>
    <w:rsid w:val="00DA0D86"/>
    <w:rsid w:val="00DA18EA"/>
    <w:rsid w:val="00DA7D53"/>
    <w:rsid w:val="00DC13BB"/>
    <w:rsid w:val="00DC62EC"/>
    <w:rsid w:val="00DC6BDE"/>
    <w:rsid w:val="00DC7BB8"/>
    <w:rsid w:val="00DD32AC"/>
    <w:rsid w:val="00DD5A81"/>
    <w:rsid w:val="00DE2E9C"/>
    <w:rsid w:val="00E04892"/>
    <w:rsid w:val="00E07CFF"/>
    <w:rsid w:val="00E16D3B"/>
    <w:rsid w:val="00E20FBC"/>
    <w:rsid w:val="00E305C3"/>
    <w:rsid w:val="00E44B2E"/>
    <w:rsid w:val="00E66FE2"/>
    <w:rsid w:val="00E71733"/>
    <w:rsid w:val="00E909C2"/>
    <w:rsid w:val="00E95597"/>
    <w:rsid w:val="00EA019F"/>
    <w:rsid w:val="00EB4B84"/>
    <w:rsid w:val="00EB4E58"/>
    <w:rsid w:val="00EB79C5"/>
    <w:rsid w:val="00EC0ECC"/>
    <w:rsid w:val="00EC277A"/>
    <w:rsid w:val="00ED1A68"/>
    <w:rsid w:val="00ED468F"/>
    <w:rsid w:val="00ED515D"/>
    <w:rsid w:val="00EF4553"/>
    <w:rsid w:val="00EF5E8B"/>
    <w:rsid w:val="00EF7515"/>
    <w:rsid w:val="00F022B5"/>
    <w:rsid w:val="00F11EE8"/>
    <w:rsid w:val="00F14522"/>
    <w:rsid w:val="00F158F6"/>
    <w:rsid w:val="00F20BB3"/>
    <w:rsid w:val="00F21760"/>
    <w:rsid w:val="00F21D54"/>
    <w:rsid w:val="00F22854"/>
    <w:rsid w:val="00F24F07"/>
    <w:rsid w:val="00F35531"/>
    <w:rsid w:val="00F563D3"/>
    <w:rsid w:val="00F6470D"/>
    <w:rsid w:val="00F7406E"/>
    <w:rsid w:val="00F741FF"/>
    <w:rsid w:val="00F841CE"/>
    <w:rsid w:val="00F84553"/>
    <w:rsid w:val="00F936C3"/>
    <w:rsid w:val="00F9417C"/>
    <w:rsid w:val="00FA60DD"/>
    <w:rsid w:val="00FB1115"/>
    <w:rsid w:val="00FB5F82"/>
    <w:rsid w:val="00FB5FB5"/>
    <w:rsid w:val="00FB7D5F"/>
    <w:rsid w:val="00FC61C6"/>
    <w:rsid w:val="00FD381D"/>
    <w:rsid w:val="00FF1354"/>
    <w:rsid w:val="0432664F"/>
    <w:rsid w:val="07D80F98"/>
    <w:rsid w:val="16BB5D13"/>
    <w:rsid w:val="17A31B54"/>
    <w:rsid w:val="1EB22B9E"/>
    <w:rsid w:val="2098075B"/>
    <w:rsid w:val="22414A06"/>
    <w:rsid w:val="2A0A5AE8"/>
    <w:rsid w:val="324631D2"/>
    <w:rsid w:val="34676C84"/>
    <w:rsid w:val="36E62DB9"/>
    <w:rsid w:val="3CAC2FC7"/>
    <w:rsid w:val="44925C83"/>
    <w:rsid w:val="45F36327"/>
    <w:rsid w:val="4D8E5951"/>
    <w:rsid w:val="4F072D89"/>
    <w:rsid w:val="502E2718"/>
    <w:rsid w:val="7A6616FA"/>
    <w:rsid w:val="7B1A31DE"/>
    <w:rsid w:val="7DC86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A0927-8859-4304-B03C-98955643A2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SMQ</Company>
  <Pages>3</Pages>
  <Words>244</Words>
  <Characters>1397</Characters>
  <Lines>11</Lines>
  <Paragraphs>3</Paragraphs>
  <TotalTime>222</TotalTime>
  <ScaleCrop>false</ScaleCrop>
  <LinksUpToDate>false</LinksUpToDate>
  <CharactersWithSpaces>1638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2018-04-04T05:56:00Z</dcterms:created>
  <dc:creator>test</dc:creator>
  <cp:lastModifiedBy>mho</cp:lastModifiedBy>
  <dcterms:modified xsi:type="dcterms:W3CDTF">2019-11-14T03:14:40Z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