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left"/>
        <w:rPr>
          <w:rFonts w:hint="eastAsia" w:ascii="黑体" w:hAnsi="黑体" w:eastAsia="黑体" w:cs="仿宋"/>
          <w:szCs w:val="32"/>
        </w:rPr>
      </w:pPr>
      <w:r>
        <w:rPr>
          <w:rFonts w:hint="eastAsia" w:ascii="黑体" w:hAnsi="黑体" w:eastAsia="黑体" w:cs="仿宋"/>
          <w:szCs w:val="32"/>
        </w:rPr>
        <w:t>附件</w:t>
      </w:r>
      <w:r>
        <w:rPr>
          <w:rFonts w:hint="eastAsia" w:ascii="黑体" w:hAnsi="黑体" w:eastAsia="黑体" w:cs="仿宋"/>
          <w:szCs w:val="32"/>
          <w:lang w:val="en-US" w:eastAsia="zh-CN"/>
        </w:rPr>
        <w:t>7</w:t>
      </w:r>
    </w:p>
    <w:p>
      <w:pPr>
        <w:shd w:val="clear" w:color="auto" w:fill="FFFFFF"/>
        <w:spacing w:after="296" w:afterLines="50" w:line="600" w:lineRule="exact"/>
        <w:jc w:val="center"/>
        <w:rPr>
          <w:rFonts w:hint="eastAsia" w:ascii="方正小标宋简体" w:hAnsi="仿宋" w:eastAsia="方正小标宋简体" w:cs="仿宋"/>
          <w:sz w:val="44"/>
          <w:szCs w:val="44"/>
        </w:rPr>
      </w:pPr>
      <w:bookmarkStart w:id="0" w:name="_GoBack"/>
      <w:r>
        <w:rPr>
          <w:rFonts w:hint="eastAsia" w:ascii="方正小标宋简体" w:hAnsi="仿宋" w:eastAsia="方正小标宋简体" w:cs="仿宋"/>
          <w:sz w:val="44"/>
          <w:szCs w:val="44"/>
        </w:rPr>
        <w:t>水产制品监督抽检不合格产品信息</w:t>
      </w:r>
      <w:bookmarkEnd w:id="0"/>
    </w:p>
    <w:p>
      <w:pPr>
        <w:shd w:val="clear" w:color="auto" w:fill="FFFFFF"/>
        <w:spacing w:after="118" w:afterLines="20" w:line="400" w:lineRule="exact"/>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本次抽检的水产制品主要为干制水产品、盐渍水产品、鱼糜制品、熟制动物性水产制品、生食动物性水产制品，不合格样品7批次，不合格项目为菌落总数、N-二甲基亚硝胺、二氧化硫残留量、铅(以Pb计)。</w:t>
      </w:r>
    </w:p>
    <w:p>
      <w:pPr>
        <w:shd w:val="clear" w:color="auto" w:fill="FFFFFF"/>
        <w:spacing w:after="118" w:afterLines="20" w:line="400" w:lineRule="exact"/>
        <w:ind w:firstLine="464" w:firstLineChars="200"/>
        <w:rPr>
          <w:rFonts w:hint="eastAsia" w:ascii="宋体" w:hAnsi="宋体" w:eastAsia="宋体" w:cs="宋体"/>
          <w:kern w:val="0"/>
          <w:sz w:val="24"/>
        </w:rPr>
      </w:pPr>
      <w:r>
        <w:rPr>
          <w:rFonts w:hint="eastAsia" w:ascii="宋体" w:hAnsi="宋体" w:eastAsia="宋体" w:cs="宋体"/>
          <w:kern w:val="0"/>
          <w:sz w:val="24"/>
        </w:rPr>
        <w:t>不合格产品信息见下表。</w:t>
      </w:r>
    </w:p>
    <w:tbl>
      <w:tblPr>
        <w:tblStyle w:val="7"/>
        <w:tblW w:w="14149" w:type="dxa"/>
        <w:jc w:val="center"/>
        <w:tblInd w:w="0" w:type="dxa"/>
        <w:tblLayout w:type="fixed"/>
        <w:tblCellMar>
          <w:top w:w="15" w:type="dxa"/>
          <w:left w:w="15" w:type="dxa"/>
          <w:bottom w:w="15" w:type="dxa"/>
          <w:right w:w="15" w:type="dxa"/>
        </w:tblCellMar>
      </w:tblPr>
      <w:tblGrid>
        <w:gridCol w:w="1165"/>
        <w:gridCol w:w="490"/>
        <w:gridCol w:w="980"/>
        <w:gridCol w:w="980"/>
        <w:gridCol w:w="1036"/>
        <w:gridCol w:w="1151"/>
        <w:gridCol w:w="920"/>
        <w:gridCol w:w="962"/>
        <w:gridCol w:w="567"/>
        <w:gridCol w:w="840"/>
        <w:gridCol w:w="1316"/>
        <w:gridCol w:w="588"/>
        <w:gridCol w:w="1119"/>
        <w:gridCol w:w="840"/>
        <w:gridCol w:w="697"/>
        <w:gridCol w:w="498"/>
      </w:tblGrid>
      <w:tr>
        <w:tblPrEx>
          <w:tblLayout w:type="fixed"/>
          <w:tblCellMar>
            <w:top w:w="15" w:type="dxa"/>
            <w:left w:w="15" w:type="dxa"/>
            <w:bottom w:w="15" w:type="dxa"/>
            <w:right w:w="15" w:type="dxa"/>
          </w:tblCellMar>
        </w:tblPrEx>
        <w:trPr>
          <w:cantSplit/>
          <w:trHeight w:val="567" w:hRule="atLeast"/>
          <w:tblHeader/>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抽样编号</w:t>
            </w:r>
          </w:p>
        </w:tc>
        <w:tc>
          <w:tcPr>
            <w:tcW w:w="49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序号</w:t>
            </w:r>
          </w:p>
        </w:tc>
        <w:tc>
          <w:tcPr>
            <w:tcW w:w="9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标称生产企业</w:t>
            </w:r>
          </w:p>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名称</w:t>
            </w:r>
          </w:p>
        </w:tc>
        <w:tc>
          <w:tcPr>
            <w:tcW w:w="9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标称生产企业</w:t>
            </w:r>
          </w:p>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地址</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被抽样单位</w:t>
            </w:r>
          </w:p>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名称</w:t>
            </w:r>
          </w:p>
        </w:tc>
        <w:tc>
          <w:tcPr>
            <w:tcW w:w="115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被抽样单位地址</w:t>
            </w:r>
          </w:p>
        </w:tc>
        <w:tc>
          <w:tcPr>
            <w:tcW w:w="92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食品名称</w:t>
            </w:r>
          </w:p>
        </w:tc>
        <w:tc>
          <w:tcPr>
            <w:tcW w:w="96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规格型号</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商标</w:t>
            </w:r>
          </w:p>
        </w:tc>
        <w:tc>
          <w:tcPr>
            <w:tcW w:w="8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生产日期/</w:t>
            </w:r>
          </w:p>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批号</w:t>
            </w: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不合格项目║检验结果║标准值</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分类</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公告号</w:t>
            </w:r>
          </w:p>
        </w:tc>
        <w:tc>
          <w:tcPr>
            <w:tcW w:w="8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任务来源/项目名称</w:t>
            </w:r>
          </w:p>
        </w:tc>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检验机构</w:t>
            </w:r>
          </w:p>
        </w:tc>
        <w:tc>
          <w:tcPr>
            <w:tcW w:w="4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left="46" w:leftChars="15" w:right="46" w:rightChars="15"/>
              <w:jc w:val="center"/>
              <w:rPr>
                <w:rFonts w:hint="eastAsia" w:ascii="宋体" w:hAnsi="宋体" w:eastAsia="宋体" w:cs="宋体"/>
                <w:b/>
                <w:bCs/>
                <w:kern w:val="0"/>
                <w:sz w:val="15"/>
                <w:szCs w:val="15"/>
              </w:rPr>
            </w:pPr>
            <w:r>
              <w:rPr>
                <w:rFonts w:hint="eastAsia" w:ascii="宋体" w:hAnsi="宋体" w:eastAsia="宋体" w:cs="宋体"/>
                <w:b/>
                <w:bCs/>
                <w:kern w:val="0"/>
                <w:sz w:val="15"/>
                <w:szCs w:val="15"/>
              </w:rPr>
              <w:t>备注</w:t>
            </w:r>
          </w:p>
        </w:tc>
      </w:tr>
      <w:tr>
        <w:tblPrEx>
          <w:tblLayout w:type="fixed"/>
          <w:tblCellMar>
            <w:top w:w="15" w:type="dxa"/>
            <w:left w:w="15" w:type="dxa"/>
            <w:bottom w:w="15" w:type="dxa"/>
            <w:right w:w="15" w:type="dxa"/>
          </w:tblCellMar>
        </w:tblPrEx>
        <w:trPr>
          <w:cantSplit/>
          <w:trHeight w:val="567" w:hRule="atLeast"/>
          <w:jc w:val="center"/>
        </w:trPr>
        <w:tc>
          <w:tcPr>
            <w:tcW w:w="11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GC19440000596264418</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揭西县熊大食品有限公司</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广东省揭西县金和镇金鲤开发区</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海丰县佳又美贸易有限公司东门店</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海丰县海城镇人民南路东门广场二、三层</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榛莲斋烧海苔(原味)</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50克/袋</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榛莲斋</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2019-05-17</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菌落总数║2.3×10</w:t>
            </w:r>
            <w:r>
              <w:rPr>
                <w:rFonts w:hint="eastAsia" w:ascii="宋体" w:hAnsi="宋体" w:eastAsia="宋体" w:cs="宋体"/>
                <w:kern w:val="0"/>
                <w:sz w:val="18"/>
                <w:szCs w:val="18"/>
                <w:vertAlign w:val="superscript"/>
                <w:lang w:val="en-US" w:eastAsia="zh-CN"/>
              </w:rPr>
              <w:t>5</w:t>
            </w:r>
            <w:r>
              <w:rPr>
                <w:rFonts w:hint="eastAsia" w:ascii="宋体" w:hAnsi="宋体" w:eastAsia="宋体" w:cs="宋体"/>
                <w:kern w:val="0"/>
                <w:sz w:val="18"/>
                <w:szCs w:val="18"/>
                <w:lang w:val="en-US" w:eastAsia="zh-CN"/>
              </w:rPr>
              <w:t>,2.4×10</w:t>
            </w:r>
            <w:r>
              <w:rPr>
                <w:rFonts w:hint="eastAsia" w:ascii="宋体" w:hAnsi="宋体" w:eastAsia="宋体" w:cs="宋体"/>
                <w:kern w:val="0"/>
                <w:sz w:val="18"/>
                <w:szCs w:val="18"/>
                <w:vertAlign w:val="superscript"/>
                <w:lang w:val="en-US" w:eastAsia="zh-CN"/>
              </w:rPr>
              <w:t>4</w:t>
            </w:r>
            <w:r>
              <w:rPr>
                <w:rFonts w:hint="eastAsia" w:ascii="宋体" w:hAnsi="宋体" w:eastAsia="宋体" w:cs="宋体"/>
                <w:kern w:val="0"/>
                <w:sz w:val="18"/>
                <w:szCs w:val="18"/>
                <w:lang w:val="en-US" w:eastAsia="zh-CN"/>
              </w:rPr>
              <w:t>,3.7×10</w:t>
            </w:r>
            <w:r>
              <w:rPr>
                <w:rFonts w:hint="eastAsia" w:ascii="宋体" w:hAnsi="宋体" w:eastAsia="宋体" w:cs="宋体"/>
                <w:kern w:val="0"/>
                <w:sz w:val="18"/>
                <w:szCs w:val="18"/>
                <w:vertAlign w:val="superscript"/>
                <w:lang w:val="en-US" w:eastAsia="zh-CN"/>
              </w:rPr>
              <w:t>4</w:t>
            </w:r>
            <w:r>
              <w:rPr>
                <w:rFonts w:hint="eastAsia" w:ascii="宋体" w:hAnsi="宋体" w:eastAsia="宋体" w:cs="宋体"/>
                <w:kern w:val="0"/>
                <w:sz w:val="18"/>
                <w:szCs w:val="18"/>
                <w:lang w:val="en-US" w:eastAsia="zh-CN"/>
              </w:rPr>
              <w:t>,4.3×10</w:t>
            </w:r>
            <w:r>
              <w:rPr>
                <w:rFonts w:hint="eastAsia" w:ascii="宋体" w:hAnsi="宋体" w:eastAsia="宋体" w:cs="宋体"/>
                <w:kern w:val="0"/>
                <w:sz w:val="18"/>
                <w:szCs w:val="18"/>
                <w:vertAlign w:val="superscript"/>
                <w:lang w:val="en-US" w:eastAsia="zh-CN"/>
              </w:rPr>
              <w:t>5</w:t>
            </w:r>
            <w:r>
              <w:rPr>
                <w:rFonts w:hint="eastAsia" w:ascii="宋体" w:hAnsi="宋体" w:eastAsia="宋体" w:cs="宋体"/>
                <w:kern w:val="0"/>
                <w:sz w:val="18"/>
                <w:szCs w:val="18"/>
                <w:lang w:val="en-US" w:eastAsia="zh-CN"/>
              </w:rPr>
              <w:t>,6.8×10</w:t>
            </w:r>
            <w:r>
              <w:rPr>
                <w:rFonts w:hint="eastAsia" w:ascii="宋体" w:hAnsi="宋体" w:eastAsia="宋体" w:cs="宋体"/>
                <w:kern w:val="0"/>
                <w:sz w:val="18"/>
                <w:szCs w:val="18"/>
                <w:vertAlign w:val="superscript"/>
                <w:lang w:val="en-US" w:eastAsia="zh-CN"/>
              </w:rPr>
              <w:t>4</w:t>
            </w:r>
            <w:r>
              <w:rPr>
                <w:rFonts w:hint="eastAsia" w:ascii="宋体" w:hAnsi="宋体" w:eastAsia="宋体" w:cs="宋体"/>
                <w:kern w:val="0"/>
                <w:sz w:val="18"/>
                <w:szCs w:val="18"/>
                <w:lang w:val="en-US" w:eastAsia="zh-CN"/>
              </w:rPr>
              <w:t>CFU/g║n=5,c=2,m=3×10</w:t>
            </w:r>
            <w:r>
              <w:rPr>
                <w:rFonts w:hint="eastAsia" w:ascii="宋体" w:hAnsi="宋体" w:eastAsia="宋体" w:cs="宋体"/>
                <w:kern w:val="0"/>
                <w:sz w:val="18"/>
                <w:szCs w:val="18"/>
                <w:vertAlign w:val="superscript"/>
                <w:lang w:val="en-US" w:eastAsia="zh-CN"/>
              </w:rPr>
              <w:t>4</w:t>
            </w:r>
            <w:r>
              <w:rPr>
                <w:rFonts w:hint="eastAsia" w:ascii="宋体" w:hAnsi="宋体" w:eastAsia="宋体" w:cs="宋体"/>
                <w:kern w:val="0"/>
                <w:sz w:val="18"/>
                <w:szCs w:val="18"/>
                <w:lang w:val="en-US" w:eastAsia="zh-CN"/>
              </w:rPr>
              <w:t>,M=10</w:t>
            </w:r>
            <w:r>
              <w:rPr>
                <w:rFonts w:hint="eastAsia" w:ascii="宋体" w:hAnsi="宋体" w:eastAsia="宋体" w:cs="宋体"/>
                <w:kern w:val="0"/>
                <w:sz w:val="18"/>
                <w:szCs w:val="18"/>
                <w:vertAlign w:val="superscript"/>
                <w:lang w:val="en-US" w:eastAsia="zh-CN"/>
              </w:rPr>
              <w:t>5</w:t>
            </w:r>
            <w:r>
              <w:rPr>
                <w:rFonts w:hint="eastAsia" w:ascii="宋体" w:hAnsi="宋体" w:eastAsia="宋体" w:cs="宋体"/>
                <w:kern w:val="0"/>
                <w:sz w:val="18"/>
                <w:szCs w:val="18"/>
                <w:lang w:val="en-US" w:eastAsia="zh-CN"/>
              </w:rPr>
              <w:t>CFU/g</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水产制品</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广东/总局国抽</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广东省食品工业研究所有限公司(广东省质量监督食品检验站)</w:t>
            </w:r>
          </w:p>
        </w:tc>
        <w:tc>
          <w:tcPr>
            <w:tcW w:w="498"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Layout w:type="fixed"/>
          <w:tblCellMar>
            <w:top w:w="15" w:type="dxa"/>
            <w:left w:w="15" w:type="dxa"/>
            <w:bottom w:w="15" w:type="dxa"/>
            <w:right w:w="15" w:type="dxa"/>
          </w:tblCellMar>
        </w:tblPrEx>
        <w:trPr>
          <w:cantSplit/>
          <w:trHeight w:val="567" w:hRule="atLeast"/>
          <w:jc w:val="center"/>
        </w:trPr>
        <w:tc>
          <w:tcPr>
            <w:tcW w:w="11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GC19440000596244393</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茂名市谢氏贸易有限公司</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茂名市电白区沙院镇海尾上河头村3号B栋一楼</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沃尔玛(广东)商业零售有限公司顺德东乐路分店</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佛山市顺德区大良街道府又居委会东乐路新一城购物广场地下第一层</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烤鱼片</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300克/盒</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美华佳+“图案”</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2019-05-05</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N-二甲基亚硝胺║87.9μg/kg║≤4.0μg/kg</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水产制品</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广东/总局国抽</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初检机构：广东省食品工业研究所有限公司(广东省质量监督食品检验站)；复检机构：广东产品质量监督检验研究院</w:t>
            </w:r>
          </w:p>
        </w:tc>
        <w:tc>
          <w:tcPr>
            <w:tcW w:w="498"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Layout w:type="fixed"/>
          <w:tblCellMar>
            <w:top w:w="15" w:type="dxa"/>
            <w:left w:w="15" w:type="dxa"/>
            <w:bottom w:w="15" w:type="dxa"/>
            <w:right w:w="15" w:type="dxa"/>
          </w:tblCellMar>
        </w:tblPrEx>
        <w:trPr>
          <w:cantSplit/>
          <w:trHeight w:val="56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GC19440000596256462</w:t>
            </w:r>
          </w:p>
        </w:tc>
        <w:tc>
          <w:tcPr>
            <w:tcW w:w="49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98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广东亿心食品工业有限公司</w:t>
            </w:r>
          </w:p>
        </w:tc>
        <w:tc>
          <w:tcPr>
            <w:tcW w:w="98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广东省揭阳市揭西县棉湖镇贡山</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深圳市名购百货有限公司</w:t>
            </w:r>
          </w:p>
        </w:tc>
        <w:tc>
          <w:tcPr>
            <w:tcW w:w="1151"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深圳市宝安区沙井街道芙蓉工业区芙蓉大道十二号一楼至二楼</w:t>
            </w:r>
          </w:p>
        </w:tc>
        <w:tc>
          <w:tcPr>
            <w:tcW w:w="92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香酥味鱼皮</w:t>
            </w:r>
          </w:p>
        </w:tc>
        <w:tc>
          <w:tcPr>
            <w:tcW w:w="962"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100克/袋</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加减乘除食品+图案</w:t>
            </w:r>
          </w:p>
        </w:tc>
        <w:tc>
          <w:tcPr>
            <w:tcW w:w="84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2019-06-24</w:t>
            </w: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N-二甲基亚硝胺║30.7μg/kg║≤4.0μg/kg</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水产制品</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84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广东/总局国抽</w:t>
            </w:r>
          </w:p>
        </w:tc>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广东省食品工业研究所有限公司(广东省质量监督食品检验站)</w:t>
            </w:r>
          </w:p>
        </w:tc>
        <w:tc>
          <w:tcPr>
            <w:tcW w:w="498"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Layout w:type="fixed"/>
          <w:tblCellMar>
            <w:top w:w="15" w:type="dxa"/>
            <w:left w:w="15" w:type="dxa"/>
            <w:bottom w:w="15" w:type="dxa"/>
            <w:right w:w="15" w:type="dxa"/>
          </w:tblCellMar>
        </w:tblPrEx>
        <w:trPr>
          <w:cantSplit/>
          <w:trHeight w:val="56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GC19440000596256463</w:t>
            </w:r>
          </w:p>
        </w:tc>
        <w:tc>
          <w:tcPr>
            <w:tcW w:w="49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98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广东亿心食品工业有限公司</w:t>
            </w:r>
          </w:p>
        </w:tc>
        <w:tc>
          <w:tcPr>
            <w:tcW w:w="98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广东省揭阳市揭西县棉湖镇贡山</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深圳市名购百货有限公司</w:t>
            </w:r>
          </w:p>
        </w:tc>
        <w:tc>
          <w:tcPr>
            <w:tcW w:w="1151"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深圳市宝安区沙井街道芙蓉工业区芙蓉大道十二号一楼至二楼</w:t>
            </w:r>
          </w:p>
        </w:tc>
        <w:tc>
          <w:tcPr>
            <w:tcW w:w="92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烧烤味鱼皮</w:t>
            </w:r>
          </w:p>
        </w:tc>
        <w:tc>
          <w:tcPr>
            <w:tcW w:w="962"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100克/袋</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加减乘除食品+图案</w:t>
            </w:r>
          </w:p>
        </w:tc>
        <w:tc>
          <w:tcPr>
            <w:tcW w:w="84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2019-03-02</w:t>
            </w: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N-二甲基亚硝胺║44.0μg/kg║≤4.0μg/kg</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水产制品</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84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广东/总局国抽</w:t>
            </w:r>
          </w:p>
        </w:tc>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广东省食品工业研究所有限公司(广东省质量监督食品检验站)</w:t>
            </w:r>
          </w:p>
        </w:tc>
        <w:tc>
          <w:tcPr>
            <w:tcW w:w="498"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Layout w:type="fixed"/>
          <w:tblCellMar>
            <w:top w:w="15" w:type="dxa"/>
            <w:left w:w="15" w:type="dxa"/>
            <w:bottom w:w="15" w:type="dxa"/>
            <w:right w:w="15" w:type="dxa"/>
          </w:tblCellMar>
        </w:tblPrEx>
        <w:trPr>
          <w:cantSplit/>
          <w:trHeight w:val="56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GC19440000596256464</w:t>
            </w:r>
          </w:p>
        </w:tc>
        <w:tc>
          <w:tcPr>
            <w:tcW w:w="49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98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广东亿心食品工业有限公司</w:t>
            </w:r>
          </w:p>
        </w:tc>
        <w:tc>
          <w:tcPr>
            <w:tcW w:w="98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广东省揭阳市揭西县棉湖镇贡山</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深圳市名购百货有限公司</w:t>
            </w:r>
          </w:p>
        </w:tc>
        <w:tc>
          <w:tcPr>
            <w:tcW w:w="1151"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深圳市宝安区沙井街道芙蓉工业区芙蓉大道十二号一楼至二楼</w:t>
            </w:r>
          </w:p>
        </w:tc>
        <w:tc>
          <w:tcPr>
            <w:tcW w:w="92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香辣味鱼皮</w:t>
            </w:r>
          </w:p>
        </w:tc>
        <w:tc>
          <w:tcPr>
            <w:tcW w:w="962"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100克/袋</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加减乘除食品+图案</w:t>
            </w:r>
          </w:p>
        </w:tc>
        <w:tc>
          <w:tcPr>
            <w:tcW w:w="84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2019-04-01</w:t>
            </w: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N-二甲基亚硝胺║37.0μg/kg║≤4.0μg/kg</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水产制品</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84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广东/总局国抽</w:t>
            </w:r>
          </w:p>
        </w:tc>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广东省食品工业研究所有限公司(广东省质量监督食品检验站)</w:t>
            </w:r>
          </w:p>
        </w:tc>
        <w:tc>
          <w:tcPr>
            <w:tcW w:w="498"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Layout w:type="fixed"/>
          <w:tblCellMar>
            <w:top w:w="15" w:type="dxa"/>
            <w:left w:w="15" w:type="dxa"/>
            <w:bottom w:w="15" w:type="dxa"/>
            <w:right w:w="15" w:type="dxa"/>
          </w:tblCellMar>
        </w:tblPrEx>
        <w:trPr>
          <w:cantSplit/>
          <w:trHeight w:val="567" w:hRule="atLeast"/>
          <w:jc w:val="center"/>
        </w:trPr>
        <w:tc>
          <w:tcPr>
            <w:tcW w:w="11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GC19440000596236414</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佛山市悦家商业有限公司南海桂城悦万广场分公司</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佛山市南海区桂城街道南海大道北46号悦万广场负一层1B-29、30号商铺(住所申报)</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细虾米</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散装</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2019-08-12(购买日期)</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二氧化硫残留量║1.05g/kg║不得使用</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水产制品</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广东/总局国抽</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广东省食品工业研究所有限公司(广东省质量监督食品检验站)</w:t>
            </w:r>
          </w:p>
        </w:tc>
        <w:tc>
          <w:tcPr>
            <w:tcW w:w="498"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r>
        <w:tblPrEx>
          <w:tblLayout w:type="fixed"/>
          <w:tblCellMar>
            <w:top w:w="15" w:type="dxa"/>
            <w:left w:w="15" w:type="dxa"/>
            <w:bottom w:w="15" w:type="dxa"/>
            <w:right w:w="15" w:type="dxa"/>
          </w:tblCellMar>
        </w:tblPrEx>
        <w:trPr>
          <w:cantSplit/>
          <w:trHeight w:val="56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GC19440000596236520</w:t>
            </w:r>
          </w:p>
        </w:tc>
        <w:tc>
          <w:tcPr>
            <w:tcW w:w="49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w:t>
            </w:r>
          </w:p>
        </w:tc>
        <w:tc>
          <w:tcPr>
            <w:tcW w:w="98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98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佛山市好万家商业有限公司</w:t>
            </w:r>
          </w:p>
        </w:tc>
        <w:tc>
          <w:tcPr>
            <w:tcW w:w="1151"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佛山市南海区狮山镇罗村联星村民委员会南区商业城综合楼一</w:t>
            </w:r>
          </w:p>
        </w:tc>
        <w:tc>
          <w:tcPr>
            <w:tcW w:w="92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海带球(团)</w:t>
            </w:r>
          </w:p>
        </w:tc>
        <w:tc>
          <w:tcPr>
            <w:tcW w:w="962"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散装</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84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2019-09-02(购买日期)</w:t>
            </w:r>
          </w:p>
        </w:tc>
        <w:tc>
          <w:tcPr>
            <w:tcW w:w="131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铅(以Pb计)║1.92mg/kg║≤1.0mg/kg</w:t>
            </w:r>
          </w:p>
        </w:tc>
        <w:tc>
          <w:tcPr>
            <w:tcW w:w="588"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水产制品</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2019年第43期</w:t>
            </w:r>
          </w:p>
        </w:tc>
        <w:tc>
          <w:tcPr>
            <w:tcW w:w="840"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广东/总局国抽</w:t>
            </w:r>
          </w:p>
        </w:tc>
        <w:tc>
          <w:tcPr>
            <w:tcW w:w="697"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广东省食品工业研究所有限公司(广东省质量监督食品检验站)</w:t>
            </w:r>
          </w:p>
        </w:tc>
        <w:tc>
          <w:tcPr>
            <w:tcW w:w="498" w:type="dxa"/>
            <w:tcBorders>
              <w:top w:val="single" w:color="auto" w:sz="4" w:space="0"/>
              <w:left w:val="single" w:color="auto" w:sz="4" w:space="0"/>
              <w:bottom w:val="single" w:color="auto" w:sz="4" w:space="0"/>
              <w:right w:val="single" w:color="auto" w:sz="4" w:space="0"/>
            </w:tcBorders>
            <w:vAlign w:val="center"/>
          </w:tcPr>
          <w:p>
            <w:pPr>
              <w:widowControl/>
              <w:spacing w:line="250" w:lineRule="exact"/>
              <w:ind w:left="46" w:leftChars="15" w:right="46" w:rightChars="15"/>
              <w:rPr>
                <w:rFonts w:hint="eastAsia" w:ascii="宋体" w:hAnsi="宋体" w:eastAsia="宋体" w:cs="宋体"/>
                <w:kern w:val="0"/>
                <w:sz w:val="18"/>
                <w:szCs w:val="18"/>
                <w:lang w:val="en-US" w:eastAsia="zh-CN"/>
              </w:rPr>
            </w:pPr>
          </w:p>
        </w:tc>
      </w:tr>
    </w:tbl>
    <w:p>
      <w:pPr>
        <w:shd w:val="clear" w:color="auto" w:fill="FFFFFF"/>
        <w:spacing w:line="600" w:lineRule="exact"/>
        <w:jc w:val="left"/>
        <w:rPr>
          <w:rFonts w:hint="eastAsia" w:ascii="黑体" w:hAnsi="黑体" w:eastAsia="黑体" w:cs="仿宋"/>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Noto Sans CJK JP Regular">
    <w:altName w:val="Segoe Print"/>
    <w:panose1 w:val="00000000000000000000"/>
    <w:charset w:val="00"/>
    <w:family w:val="swiss"/>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Light">
    <w:altName w:val="宋体"/>
    <w:panose1 w:val="00000000000000000000"/>
    <w:charset w:val="86"/>
    <w:family w:val="auto"/>
    <w:pitch w:val="default"/>
    <w:sig w:usb0="00000000" w:usb1="00000000" w:usb2="00000016" w:usb3="00000000" w:csb0="0004000F" w:csb1="00000000"/>
  </w:font>
  <w:font w:name="Calibri Light">
    <w:panose1 w:val="020F0302020204030204"/>
    <w:charset w:val="00"/>
    <w:family w:val="roman"/>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8CF3C52" w:usb2="00000016" w:usb3="00000000" w:csb0="0004001F" w:csb1="00000000"/>
  </w:font>
  <w:font w:name="System">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方正中等线简体">
    <w:altName w:val="宋体"/>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77FB3"/>
    <w:multiLevelType w:val="multilevel"/>
    <w:tmpl w:val="5D777FB3"/>
    <w:lvl w:ilvl="0" w:tentative="0">
      <w:start w:val="1"/>
      <w:numFmt w:val="chineseCountingThousand"/>
      <w:suff w:val="space"/>
      <w:lvlText w:val="第%1部分："/>
      <w:lvlJc w:val="left"/>
      <w:pPr>
        <w:ind w:left="0" w:firstLine="0"/>
      </w:pPr>
      <w:rPr>
        <w:rFonts w:hint="eastAsia"/>
      </w:rPr>
    </w:lvl>
    <w:lvl w:ilvl="1" w:tentative="0">
      <w:start w:val="1"/>
      <w:numFmt w:val="chineseCountingThousand"/>
      <w:pStyle w:val="2"/>
      <w:suff w:val="space"/>
      <w:lvlText w:val="第%2章"/>
      <w:lvlJc w:val="left"/>
      <w:pPr>
        <w:ind w:left="2694" w:firstLine="0"/>
      </w:pPr>
      <w:rPr>
        <w:rFonts w:hint="eastAsia"/>
      </w:rPr>
    </w:lvl>
    <w:lvl w:ilvl="2" w:tentative="0">
      <w:start w:val="1"/>
      <w:numFmt w:val="decimal"/>
      <w:pStyle w:val="3"/>
      <w:isLgl/>
      <w:suff w:val="space"/>
      <w:lvlText w:val="%2.%3"/>
      <w:lvlJc w:val="left"/>
      <w:pPr>
        <w:ind w:left="0" w:firstLine="0"/>
      </w:pPr>
      <w:rPr>
        <w:rFonts w:hint="eastAsia"/>
      </w:rPr>
    </w:lvl>
    <w:lvl w:ilvl="3" w:tentative="0">
      <w:start w:val="1"/>
      <w:numFmt w:val="decimal"/>
      <w:pStyle w:val="5"/>
      <w:isLgl/>
      <w:suff w:val="space"/>
      <w:lvlText w:val="%2.%3.%4"/>
      <w:lvlJc w:val="left"/>
      <w:pPr>
        <w:ind w:left="0" w:firstLine="0"/>
      </w:pPr>
      <w:rPr>
        <w:rFonts w:hint="eastAsia"/>
      </w:rPr>
    </w:lvl>
    <w:lvl w:ilvl="4" w:tentative="0">
      <w:start w:val="1"/>
      <w:numFmt w:val="decimal"/>
      <w:isLgl/>
      <w:suff w:val="space"/>
      <w:lvlText w:val="%2.%3.%4.%5"/>
      <w:lvlJc w:val="left"/>
      <w:pPr>
        <w:ind w:left="0" w:firstLine="0"/>
      </w:pPr>
      <w:rPr>
        <w:rFonts w:hint="eastAsia"/>
      </w:rPr>
    </w:lvl>
    <w:lvl w:ilvl="5" w:tentative="0">
      <w:start w:val="1"/>
      <w:numFmt w:val="decimal"/>
      <w:isLgl/>
      <w:suff w:val="space"/>
      <w:lvlText w:val="%2.%3.%4.%5.%6"/>
      <w:lvlJc w:val="left"/>
      <w:pPr>
        <w:ind w:left="0" w:firstLine="0"/>
      </w:pPr>
      <w:rPr>
        <w:rFonts w:hint="eastAsia"/>
        <w:color w:val="333300"/>
      </w:rPr>
    </w:lvl>
    <w:lvl w:ilvl="6" w:tentative="0">
      <w:start w:val="1"/>
      <w:numFmt w:val="decimal"/>
      <w:isLgl/>
      <w:suff w:val="space"/>
      <w:lvlText w:val="%2.%3.%4.%5.%6.%7"/>
      <w:lvlJc w:val="left"/>
      <w:pPr>
        <w:ind w:left="0" w:firstLine="0"/>
      </w:pPr>
      <w:rPr>
        <w:rFonts w:hint="eastAsia"/>
      </w:rPr>
    </w:lvl>
    <w:lvl w:ilvl="7" w:tentative="0">
      <w:start w:val="1"/>
      <w:numFmt w:val="lowerLetter"/>
      <w:suff w:val="space"/>
      <w:lvlText w:val="%8"/>
      <w:lvlJc w:val="left"/>
      <w:pPr>
        <w:ind w:left="0" w:firstLine="0"/>
      </w:pPr>
      <w:rPr>
        <w:rFonts w:hint="eastAsia"/>
      </w:rPr>
    </w:lvl>
    <w:lvl w:ilvl="8" w:tentative="0">
      <w:start w:val="1"/>
      <w:numFmt w:val="bullet"/>
      <w:suff w:val="space"/>
      <w:lvlText w:val=""/>
      <w:lvlJc w:val="left"/>
      <w:pPr>
        <w:ind w:left="0" w:firstLine="0"/>
      </w:pPr>
      <w:rPr>
        <w:rFonts w:hint="eastAsia"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40F11"/>
    <w:rsid w:val="12EF5A07"/>
    <w:rsid w:val="68B40F1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2694"/>
      <w:outlineLvl w:val="1"/>
    </w:pPr>
    <w:rPr>
      <w:rFonts w:ascii="Arial" w:hAnsi="Arial" w:eastAsia="黑体"/>
      <w:b/>
      <w:sz w:val="32"/>
    </w:rPr>
  </w:style>
  <w:style w:type="paragraph" w:styleId="3">
    <w:name w:val="heading 3"/>
    <w:basedOn w:val="1"/>
    <w:next w:val="4"/>
    <w:unhideWhenUsed/>
    <w:qFormat/>
    <w:uiPriority w:val="0"/>
    <w:pPr>
      <w:keepNext/>
      <w:keepLines/>
      <w:numPr>
        <w:ilvl w:val="2"/>
        <w:numId w:val="1"/>
      </w:numPr>
      <w:spacing w:before="120" w:after="120" w:line="360" w:lineRule="auto"/>
      <w:outlineLvl w:val="2"/>
    </w:pPr>
    <w:rPr>
      <w:rFonts w:ascii="Calibri" w:hAnsi="Calibri" w:eastAsia="宋体" w:cs="Times New Roman"/>
      <w:b/>
      <w:sz w:val="32"/>
      <w:szCs w:val="20"/>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2019-11-22T10:36:00Z</dcterms:created>
  <dc:creator>刘晓丽</dc:creator>
  <cp:lastModifiedBy>刘晓丽</cp:lastModifiedBy>
  <dcterms:modified xsi:type="dcterms:W3CDTF">2019-11-22T10:37:23Z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