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6" w:rsidRDefault="00FF6B3A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57BE6" w:rsidRDefault="00FF6B3A">
      <w:pPr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部分不合格项目的小知识</w:t>
      </w:r>
    </w:p>
    <w:p w:rsidR="00E57BE6" w:rsidRDefault="00E57BE6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E57BE6" w:rsidRDefault="00FF6B3A" w:rsidP="00CE676C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一、菌落总数</w:t>
      </w:r>
    </w:p>
    <w:p w:rsidR="00E57BE6" w:rsidRPr="00CE676C" w:rsidRDefault="00CE676C" w:rsidP="00CE676C">
      <w:pPr>
        <w:spacing w:line="6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菌落总数是指示性微生物指标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主要用来评价食品清洁度，反映食品在生产过程中是否符合卫生要求。食品的菌落总数超标，将会破坏食品的营养成分，加速食品的腐败变质，使食品失去食用价值。《</w:t>
      </w:r>
      <w:r w:rsidRPr="00D73127">
        <w:rPr>
          <w:rFonts w:ascii="Times New Roman" w:eastAsia="仿宋_GB2312" w:hAnsi="Times New Roman"/>
          <w:color w:val="000000"/>
          <w:kern w:val="0"/>
          <w:sz w:val="32"/>
          <w:szCs w:val="32"/>
        </w:rPr>
        <w:t>粽子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》（</w:t>
      </w:r>
      <w:r w:rsidRPr="00D73127">
        <w:rPr>
          <w:rFonts w:ascii="Times New Roman" w:eastAsia="仿宋_GB2312" w:hAnsi="Times New Roman"/>
          <w:color w:val="000000"/>
          <w:kern w:val="0"/>
          <w:sz w:val="32"/>
          <w:szCs w:val="32"/>
        </w:rPr>
        <w:t>SB/T 10377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—</w:t>
      </w:r>
      <w:r w:rsidRPr="00D73127">
        <w:rPr>
          <w:rFonts w:ascii="Times New Roman" w:eastAsia="仿宋_GB2312" w:hAnsi="Times New Roman"/>
          <w:color w:val="000000"/>
          <w:kern w:val="0"/>
          <w:sz w:val="32"/>
          <w:szCs w:val="32"/>
        </w:rPr>
        <w:t>2004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）中规定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新鲜类粽子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的菌落总数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的限量为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50000cfu</w:t>
      </w:r>
      <w:r w:rsidRPr="003F62D8">
        <w:rPr>
          <w:rFonts w:ascii="Times New Roman" w:eastAsia="仿宋_GB2312" w:hAnsi="Times New Roman"/>
          <w:color w:val="000000"/>
          <w:kern w:val="0"/>
          <w:sz w:val="32"/>
          <w:szCs w:val="32"/>
        </w:rPr>
        <w:t>/g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。食品中的菌落总数超标，可能是</w:t>
      </w:r>
      <w:r w:rsidRPr="003F62D8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企业未按要求严格控制生产加工过程的卫生条件，或者包装容器消毒不到位；还有可能与产品包装密封不严，储运条件控制不当等有关。</w:t>
      </w:r>
    </w:p>
    <w:p w:rsidR="00E57BE6" w:rsidRDefault="00FF6B3A" w:rsidP="00CE676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D52857">
        <w:rPr>
          <w:rFonts w:ascii="黑体" w:eastAsia="黑体" w:hAnsi="黑体" w:cs="黑体" w:hint="eastAsia"/>
          <w:sz w:val="32"/>
          <w:szCs w:val="32"/>
        </w:rPr>
        <w:t>、</w:t>
      </w:r>
      <w:r w:rsidR="00F63059">
        <w:rPr>
          <w:rFonts w:ascii="黑体" w:eastAsia="黑体" w:hAnsi="黑体" w:cs="黑体" w:hint="eastAsia"/>
          <w:sz w:val="32"/>
          <w:szCs w:val="32"/>
        </w:rPr>
        <w:t>镉（以Cd计）</w:t>
      </w:r>
    </w:p>
    <w:p w:rsidR="00E57BE6" w:rsidRDefault="00785855" w:rsidP="00CE676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镉是最常见的重金属元素污染物之一。</w:t>
      </w:r>
      <w:r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镉的毒性较大，且在人体内代谢较慢。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《食品安全国家标</w:t>
      </w:r>
      <w:r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准</w:t>
      </w:r>
      <w:r w:rsidR="00CE676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食品中污染物限量》（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GB</w:t>
      </w:r>
      <w:r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2762</w:t>
      </w:r>
      <w:r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—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2017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）规定</w:t>
      </w:r>
      <w:r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proofErr w:type="gramStart"/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镉在</w:t>
      </w:r>
      <w:r w:rsidR="00496DB7"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畜禽</w:t>
      </w:r>
      <w:proofErr w:type="gramEnd"/>
      <w:r w:rsidR="00496DB7"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肝脏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中</w:t>
      </w:r>
      <w:r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限量为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0.</w:t>
      </w:r>
      <w:r w:rsidR="00496DB7"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mg/kg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  <w:r w:rsidR="00D47814"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畜禽肝脏</w:t>
      </w:r>
      <w:r w:rsidR="00D47814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中</w:t>
      </w:r>
      <w:r w:rsidR="00A237C4"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镉超标</w:t>
      </w:r>
      <w:r w:rsidR="00A237C4"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的原因</w:t>
      </w:r>
      <w:r w:rsidR="00A237C4"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，可能是</w:t>
      </w:r>
      <w:r w:rsidR="00D47814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畜禽</w:t>
      </w:r>
      <w:r w:rsidR="00A237C4"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养殖过程中对镉元素的富集</w:t>
      </w:r>
      <w:r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  <w:proofErr w:type="gramStart"/>
      <w:r w:rsidR="00A237C4"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镉对人体</w:t>
      </w:r>
      <w:proofErr w:type="gramEnd"/>
      <w:r w:rsidR="00A237C4"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的危害主要是慢性蓄积性，长期大量摄入</w:t>
      </w:r>
      <w:proofErr w:type="gramStart"/>
      <w:r w:rsidR="00A237C4"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镉</w:t>
      </w:r>
      <w:proofErr w:type="gramEnd"/>
      <w:r w:rsidR="00A237C4"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含量超标的食品可能会导致肾和骨骼损伤等健康危害</w:t>
      </w:r>
      <w:r w:rsidR="00A237C4">
        <w:rPr>
          <w:rFonts w:ascii="Times New Roman" w:eastAsia="仿宋_GB2312" w:hAnsi="Times New Roman"/>
          <w:sz w:val="32"/>
          <w:szCs w:val="32"/>
        </w:rPr>
        <w:t>。</w:t>
      </w:r>
    </w:p>
    <w:p w:rsidR="00E57BE6" w:rsidRDefault="00FF6B3A" w:rsidP="00CE676C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674214">
        <w:rPr>
          <w:rFonts w:ascii="黑体" w:eastAsia="黑体" w:hAnsi="黑体" w:cs="黑体" w:hint="eastAsia"/>
          <w:sz w:val="32"/>
          <w:szCs w:val="32"/>
        </w:rPr>
        <w:t>、</w:t>
      </w:r>
      <w:r w:rsidR="00F63059">
        <w:rPr>
          <w:rFonts w:ascii="黑体" w:eastAsia="黑体" w:hAnsi="黑体" w:cs="黑体" w:hint="eastAsia"/>
          <w:sz w:val="32"/>
          <w:szCs w:val="32"/>
        </w:rPr>
        <w:t>丙二醇</w:t>
      </w:r>
    </w:p>
    <w:p w:rsidR="00A74F3F" w:rsidRDefault="00A74F3F" w:rsidP="00CE676C">
      <w:pPr>
        <w:spacing w:line="640" w:lineRule="exact"/>
        <w:ind w:leftChars="50" w:left="105" w:firstLineChars="150" w:firstLine="480"/>
        <w:jc w:val="left"/>
        <w:rPr>
          <w:rFonts w:ascii="Times New Roman" w:eastAsia="仿宋_GB2312" w:hAnsi="Times New Roman"/>
          <w:sz w:val="32"/>
          <w:szCs w:val="32"/>
        </w:rPr>
      </w:pP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丙二醇是一种食品添加剂，在食品中主要起到稳定和凝固、抗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lastRenderedPageBreak/>
        <w:t>结、消泡、乳化、水分保持、</w:t>
      </w:r>
      <w:proofErr w:type="gramStart"/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增稠等作用</w:t>
      </w:r>
      <w:proofErr w:type="gramEnd"/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。《食品安全国家标准食品添加剂使用标准》（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GB</w:t>
      </w:r>
      <w:r w:rsidR="00711F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2760</w:t>
      </w:r>
      <w:r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—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2014</w:t>
      </w:r>
      <w:r w:rsidR="00521486">
        <w:rPr>
          <w:rFonts w:ascii="Times New Roman" w:eastAsia="仿宋_GB2312" w:hAnsi="Times New Roman"/>
          <w:color w:val="000000"/>
          <w:kern w:val="0"/>
          <w:sz w:val="32"/>
          <w:szCs w:val="32"/>
        </w:rPr>
        <w:t>）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规定，</w:t>
      </w:r>
      <w:r w:rsidR="00D47814"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糕点中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丙二醇的最大使用量</w:t>
      </w:r>
      <w:r w:rsidR="00E6398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为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3.0g/kg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。糕点中丙二醇超标的原因，可能是个别企业为改善产品口感，在生产加工过程中超限量使用食品添加剂丙二醇。</w:t>
      </w:r>
    </w:p>
    <w:p w:rsidR="00F63059" w:rsidRDefault="00F63059" w:rsidP="00CE676C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四、水胺硫磷</w:t>
      </w:r>
    </w:p>
    <w:p w:rsidR="00F63059" w:rsidRPr="003D3D21" w:rsidRDefault="001E5354" w:rsidP="00CE676C">
      <w:pPr>
        <w:spacing w:line="64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水胺硫磷为有机磷杀虫剂，兼具胃毒和杀卵作用，主要用于防治果树、水稻和棉花害虫。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2016</w:t>
      </w:r>
      <w:r w:rsidR="00E10783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规定，</w:t>
      </w:r>
      <w:r w:rsidR="00C7152A">
        <w:rPr>
          <w:rFonts w:ascii="Times New Roman" w:eastAsia="仿宋_GB2312" w:hAnsi="Times New Roman" w:hint="eastAsia"/>
          <w:sz w:val="32"/>
          <w:szCs w:val="32"/>
        </w:rPr>
        <w:t>叶菜类蔬菜中的</w:t>
      </w:r>
      <w:r>
        <w:rPr>
          <w:rFonts w:ascii="仿宋_GB2312" w:eastAsia="仿宋_GB2312" w:hint="eastAsia"/>
          <w:sz w:val="32"/>
          <w:szCs w:val="32"/>
        </w:rPr>
        <w:t>水胺硫磷</w:t>
      </w:r>
      <w:r>
        <w:rPr>
          <w:rFonts w:ascii="Times New Roman" w:eastAsia="仿宋_GB2312" w:hAnsi="Times New Roman" w:hint="eastAsia"/>
          <w:sz w:val="32"/>
          <w:szCs w:val="32"/>
        </w:rPr>
        <w:t>最大残留限量为</w:t>
      </w:r>
      <w:r>
        <w:rPr>
          <w:rFonts w:ascii="Times New Roman" w:eastAsia="仿宋_GB2312" w:hAnsi="Times New Roman"/>
          <w:sz w:val="32"/>
          <w:szCs w:val="32"/>
        </w:rPr>
        <w:t>0.</w:t>
      </w:r>
      <w:r>
        <w:rPr>
          <w:rFonts w:ascii="Times New Roman" w:eastAsia="仿宋_GB2312" w:hAnsi="Times New Roman" w:hint="eastAsia"/>
          <w:sz w:val="32"/>
          <w:szCs w:val="32"/>
        </w:rPr>
        <w:t>05mg/kg</w:t>
      </w:r>
      <w:r>
        <w:rPr>
          <w:rFonts w:ascii="仿宋_GB2312" w:eastAsia="仿宋_GB2312" w:hint="eastAsia"/>
          <w:sz w:val="32"/>
          <w:szCs w:val="32"/>
        </w:rPr>
        <w:t>。</w:t>
      </w:r>
      <w:r w:rsidR="00C7152A">
        <w:rPr>
          <w:rFonts w:ascii="仿宋_GB2312" w:eastAsia="仿宋_GB2312" w:hint="eastAsia"/>
          <w:sz w:val="32"/>
          <w:szCs w:val="32"/>
        </w:rPr>
        <w:t>蔬菜中</w:t>
      </w:r>
      <w:r w:rsidR="0087330E">
        <w:rPr>
          <w:rFonts w:ascii="仿宋_GB2312" w:eastAsia="仿宋_GB2312" w:hint="eastAsia"/>
          <w:color w:val="000000"/>
          <w:sz w:val="32"/>
          <w:szCs w:val="32"/>
        </w:rPr>
        <w:t>水胺硫磷</w:t>
      </w:r>
      <w:r w:rsidR="0087330E" w:rsidRPr="00BD53AE">
        <w:rPr>
          <w:rFonts w:ascii="仿宋_GB2312" w:eastAsia="仿宋_GB2312"/>
          <w:color w:val="000000"/>
          <w:sz w:val="32"/>
          <w:szCs w:val="32"/>
        </w:rPr>
        <w:t>超标</w:t>
      </w:r>
      <w:r w:rsidR="00057780">
        <w:rPr>
          <w:rFonts w:ascii="仿宋_GB2312" w:eastAsia="仿宋_GB2312" w:hint="eastAsia"/>
          <w:color w:val="000000"/>
          <w:sz w:val="32"/>
          <w:szCs w:val="32"/>
        </w:rPr>
        <w:t>的原因</w:t>
      </w:r>
      <w:r w:rsidR="00C7152A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87330E" w:rsidRPr="00BD53AE">
        <w:rPr>
          <w:rFonts w:ascii="仿宋_GB2312" w:eastAsia="仿宋_GB2312"/>
          <w:color w:val="000000"/>
          <w:sz w:val="32"/>
          <w:szCs w:val="32"/>
        </w:rPr>
        <w:t>可能是</w:t>
      </w:r>
      <w:r w:rsidR="0087330E">
        <w:rPr>
          <w:rFonts w:ascii="仿宋_GB2312" w:eastAsia="仿宋_GB2312" w:hint="eastAsia"/>
          <w:color w:val="000000"/>
          <w:sz w:val="32"/>
          <w:szCs w:val="32"/>
        </w:rPr>
        <w:t>种植户</w:t>
      </w:r>
      <w:r w:rsidR="00D62C15">
        <w:rPr>
          <w:rFonts w:ascii="仿宋_GB2312" w:eastAsia="仿宋_GB2312" w:hint="eastAsia"/>
          <w:color w:val="000000"/>
          <w:sz w:val="32"/>
          <w:szCs w:val="32"/>
        </w:rPr>
        <w:t>随意</w:t>
      </w:r>
      <w:r w:rsidR="0087330E" w:rsidRPr="00BD53AE">
        <w:rPr>
          <w:rFonts w:ascii="仿宋_GB2312" w:eastAsia="仿宋_GB2312"/>
          <w:color w:val="000000"/>
          <w:sz w:val="32"/>
          <w:szCs w:val="32"/>
        </w:rPr>
        <w:t>扩大使用量，或未严格执行休药期有关规定</w:t>
      </w:r>
      <w:r w:rsidR="0087330E">
        <w:rPr>
          <w:rFonts w:ascii="仿宋_GB2312" w:eastAsia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水胺硫磷属于高毒农药，</w:t>
      </w:r>
      <w:r>
        <w:rPr>
          <w:rFonts w:ascii="Times New Roman" w:eastAsia="仿宋_GB2312" w:hAnsi="Times New Roman" w:hint="eastAsia"/>
          <w:sz w:val="32"/>
          <w:szCs w:val="32"/>
        </w:rPr>
        <w:t>少量的农药残留不会引起人体急性中毒，但长期食用农药残留超标的食品，</w:t>
      </w:r>
      <w:r w:rsidR="00E226D7">
        <w:rPr>
          <w:rFonts w:ascii="Times New Roman" w:eastAsia="仿宋_GB2312" w:hAnsi="Times New Roman" w:hint="eastAsia"/>
          <w:sz w:val="32"/>
          <w:szCs w:val="32"/>
        </w:rPr>
        <w:t>可能导致中毒，</w:t>
      </w:r>
      <w:r>
        <w:rPr>
          <w:rFonts w:ascii="Times New Roman" w:eastAsia="仿宋_GB2312" w:hAnsi="Times New Roman" w:hint="eastAsia"/>
          <w:sz w:val="32"/>
          <w:szCs w:val="32"/>
        </w:rPr>
        <w:t>对人体健康有一定影响。</w:t>
      </w:r>
    </w:p>
    <w:p w:rsidR="00F63059" w:rsidRDefault="00F63059" w:rsidP="00CE676C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五、毒死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蜱</w:t>
      </w:r>
      <w:proofErr w:type="gramEnd"/>
    </w:p>
    <w:p w:rsidR="00F63059" w:rsidRPr="00F63059" w:rsidRDefault="003D3D21" w:rsidP="00CE676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毒死</w:t>
      </w:r>
      <w:proofErr w:type="gramStart"/>
      <w:r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蜱</w:t>
      </w:r>
      <w:proofErr w:type="gramEnd"/>
      <w:r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是一种具有触杀、胃毒和熏蒸作用的有机磷杀虫剂。《食品安全国家标准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食品中农药最大残留限量》（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GB 2763</w:t>
      </w:r>
      <w:r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—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2016</w:t>
      </w:r>
      <w:r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）规定，</w:t>
      </w:r>
      <w:r w:rsidR="00D62C15"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芹菜中的</w:t>
      </w:r>
      <w:r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毒死</w:t>
      </w:r>
      <w:proofErr w:type="gramStart"/>
      <w:r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蜱</w:t>
      </w:r>
      <w:proofErr w:type="gramEnd"/>
      <w:r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最大残留限量为</w:t>
      </w:r>
      <w:r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0.05 mg/kg</w:t>
      </w:r>
      <w:r w:rsidR="00EB17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="00D62C15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普通白菜中</w:t>
      </w:r>
      <w:r w:rsidR="00D62C15"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的毒死</w:t>
      </w:r>
      <w:proofErr w:type="gramStart"/>
      <w:r w:rsidR="00D62C15"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蜱</w:t>
      </w:r>
      <w:proofErr w:type="gramEnd"/>
      <w:r w:rsidR="00EB17CF"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最大残留限量为</w:t>
      </w:r>
      <w:r w:rsidR="00EB17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0.1</w:t>
      </w:r>
      <w:r w:rsidR="00EB17CF" w:rsidRPr="00EB17CF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 w:rsidR="00EB17CF" w:rsidRPr="003D3D21">
        <w:rPr>
          <w:rFonts w:ascii="Times New Roman" w:eastAsia="仿宋_GB2312" w:hAnsi="Times New Roman"/>
          <w:color w:val="000000"/>
          <w:kern w:val="0"/>
          <w:sz w:val="32"/>
          <w:szCs w:val="32"/>
        </w:rPr>
        <w:t>mg/kg</w:t>
      </w:r>
      <w:r w:rsidRPr="003D3D2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  <w:r w:rsidR="00D62C15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蔬菜中</w:t>
      </w:r>
      <w:r w:rsidR="00A677A1">
        <w:rPr>
          <w:rFonts w:ascii="Times New Roman" w:eastAsia="仿宋_GB2312" w:hAnsi="Times New Roman"/>
          <w:color w:val="000000"/>
          <w:kern w:val="0"/>
          <w:sz w:val="32"/>
          <w:szCs w:val="32"/>
        </w:rPr>
        <w:t>毒死</w:t>
      </w:r>
      <w:proofErr w:type="gramStart"/>
      <w:r w:rsidR="00A677A1">
        <w:rPr>
          <w:rFonts w:ascii="Times New Roman" w:eastAsia="仿宋_GB2312" w:hAnsi="Times New Roman"/>
          <w:color w:val="000000"/>
          <w:kern w:val="0"/>
          <w:sz w:val="32"/>
          <w:szCs w:val="32"/>
        </w:rPr>
        <w:t>蜱</w:t>
      </w:r>
      <w:proofErr w:type="gramEnd"/>
      <w:r w:rsidR="00A677A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残留</w:t>
      </w:r>
      <w:r w:rsidR="00A677A1">
        <w:rPr>
          <w:rFonts w:ascii="Times New Roman" w:eastAsia="仿宋_GB2312" w:hAnsi="Times New Roman"/>
          <w:color w:val="000000"/>
          <w:kern w:val="0"/>
          <w:sz w:val="32"/>
          <w:szCs w:val="32"/>
        </w:rPr>
        <w:t>超标的原因</w:t>
      </w:r>
      <w:r w:rsidR="00D62C15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="00D62C15">
        <w:rPr>
          <w:rFonts w:ascii="Times New Roman" w:eastAsia="仿宋_GB2312" w:hAnsi="Times New Roman"/>
          <w:color w:val="000000"/>
          <w:kern w:val="0"/>
          <w:sz w:val="32"/>
          <w:szCs w:val="32"/>
        </w:rPr>
        <w:t>可能是</w:t>
      </w:r>
      <w:r w:rsidR="00D62C15">
        <w:rPr>
          <w:rFonts w:ascii="仿宋_GB2312" w:eastAsia="仿宋_GB2312" w:hint="eastAsia"/>
          <w:color w:val="000000"/>
          <w:sz w:val="32"/>
          <w:szCs w:val="32"/>
        </w:rPr>
        <w:t>种植户</w:t>
      </w:r>
      <w:r w:rsidR="00A677A1">
        <w:rPr>
          <w:rFonts w:ascii="Times New Roman" w:eastAsia="仿宋_GB2312" w:hAnsi="Times New Roman"/>
          <w:color w:val="000000"/>
          <w:kern w:val="0"/>
          <w:sz w:val="32"/>
          <w:szCs w:val="32"/>
        </w:rPr>
        <w:t>在种植环节过量的施用药物</w:t>
      </w:r>
      <w:r w:rsidR="00A677A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所致</w:t>
      </w:r>
      <w:r w:rsidR="00057780" w:rsidRPr="00A677A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  <w:r w:rsidR="006774B1">
        <w:rPr>
          <w:rFonts w:ascii="Times New Roman" w:eastAsia="仿宋_GB2312" w:hAnsi="Times New Roman" w:hint="eastAsia"/>
          <w:sz w:val="32"/>
          <w:szCs w:val="32"/>
        </w:rPr>
        <w:t>少量的农药残留不会引起人体急性中毒，但长期食用农药残留超标的食品，</w:t>
      </w:r>
      <w:r w:rsidR="00D62C15">
        <w:rPr>
          <w:rFonts w:ascii="Times New Roman" w:eastAsia="仿宋_GB2312" w:hAnsi="Times New Roman" w:hint="eastAsia"/>
          <w:sz w:val="32"/>
          <w:szCs w:val="32"/>
        </w:rPr>
        <w:t>可能导致中毒，</w:t>
      </w:r>
      <w:r w:rsidR="006774B1">
        <w:rPr>
          <w:rFonts w:ascii="Times New Roman" w:eastAsia="仿宋_GB2312" w:hAnsi="Times New Roman" w:hint="eastAsia"/>
          <w:sz w:val="32"/>
          <w:szCs w:val="32"/>
        </w:rPr>
        <w:t>对人体健康有一定影响。</w:t>
      </w:r>
      <w:bookmarkStart w:id="0" w:name="_GoBack"/>
      <w:bookmarkEnd w:id="0"/>
    </w:p>
    <w:sectPr w:rsidR="00F63059" w:rsidRPr="00F63059">
      <w:pgSz w:w="11906" w:h="16838"/>
      <w:pgMar w:top="1985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05" w:rsidRDefault="00AF4B05" w:rsidP="00A677A1">
      <w:r>
        <w:separator/>
      </w:r>
    </w:p>
  </w:endnote>
  <w:endnote w:type="continuationSeparator" w:id="0">
    <w:p w:rsidR="00AF4B05" w:rsidRDefault="00AF4B05" w:rsidP="00A6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05" w:rsidRDefault="00AF4B05" w:rsidP="00A677A1">
      <w:r>
        <w:separator/>
      </w:r>
    </w:p>
  </w:footnote>
  <w:footnote w:type="continuationSeparator" w:id="0">
    <w:p w:rsidR="00AF4B05" w:rsidRDefault="00AF4B05" w:rsidP="00A67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21"/>
    <w:rsid w:val="0002282A"/>
    <w:rsid w:val="00057780"/>
    <w:rsid w:val="00073821"/>
    <w:rsid w:val="0007532D"/>
    <w:rsid w:val="000A5410"/>
    <w:rsid w:val="001241EE"/>
    <w:rsid w:val="0013429C"/>
    <w:rsid w:val="00187CFB"/>
    <w:rsid w:val="001E5354"/>
    <w:rsid w:val="001F4DA4"/>
    <w:rsid w:val="0026770C"/>
    <w:rsid w:val="002E13D1"/>
    <w:rsid w:val="00323BF1"/>
    <w:rsid w:val="0039260E"/>
    <w:rsid w:val="003D3D21"/>
    <w:rsid w:val="003F62D8"/>
    <w:rsid w:val="00473FC6"/>
    <w:rsid w:val="00496DB7"/>
    <w:rsid w:val="00521486"/>
    <w:rsid w:val="00546925"/>
    <w:rsid w:val="005A6A64"/>
    <w:rsid w:val="00674214"/>
    <w:rsid w:val="006774B1"/>
    <w:rsid w:val="00696FA7"/>
    <w:rsid w:val="00711FBC"/>
    <w:rsid w:val="00785855"/>
    <w:rsid w:val="00787432"/>
    <w:rsid w:val="0087330E"/>
    <w:rsid w:val="008D47FF"/>
    <w:rsid w:val="008E65CC"/>
    <w:rsid w:val="009A7934"/>
    <w:rsid w:val="009A7CF8"/>
    <w:rsid w:val="009E7B0B"/>
    <w:rsid w:val="00A017C2"/>
    <w:rsid w:val="00A237C4"/>
    <w:rsid w:val="00A677A1"/>
    <w:rsid w:val="00A74F3F"/>
    <w:rsid w:val="00AA5925"/>
    <w:rsid w:val="00AF4B05"/>
    <w:rsid w:val="00AF508D"/>
    <w:rsid w:val="00B241AB"/>
    <w:rsid w:val="00B579F1"/>
    <w:rsid w:val="00BA045D"/>
    <w:rsid w:val="00C04D4E"/>
    <w:rsid w:val="00C7152A"/>
    <w:rsid w:val="00CE676C"/>
    <w:rsid w:val="00D2531D"/>
    <w:rsid w:val="00D44EB8"/>
    <w:rsid w:val="00D47814"/>
    <w:rsid w:val="00D52857"/>
    <w:rsid w:val="00D62C15"/>
    <w:rsid w:val="00D73127"/>
    <w:rsid w:val="00DD13D8"/>
    <w:rsid w:val="00E10783"/>
    <w:rsid w:val="00E226D7"/>
    <w:rsid w:val="00E57BE6"/>
    <w:rsid w:val="00E6398A"/>
    <w:rsid w:val="00EB17CF"/>
    <w:rsid w:val="00F423EA"/>
    <w:rsid w:val="00F63059"/>
    <w:rsid w:val="00F96780"/>
    <w:rsid w:val="00FF6B3A"/>
    <w:rsid w:val="2135773F"/>
    <w:rsid w:val="282B5388"/>
    <w:rsid w:val="43F74B2D"/>
    <w:rsid w:val="4C812A28"/>
    <w:rsid w:val="7FC1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pPr>
      <w:ind w:firstLineChars="200" w:firstLine="420"/>
    </w:pPr>
  </w:style>
  <w:style w:type="paragraph" w:styleId="a4">
    <w:name w:val="header"/>
    <w:basedOn w:val="a"/>
    <w:link w:val="Char"/>
    <w:rsid w:val="00A67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77A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67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77A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pPr>
      <w:ind w:firstLineChars="200" w:firstLine="420"/>
    </w:pPr>
  </w:style>
  <w:style w:type="paragraph" w:styleId="a4">
    <w:name w:val="header"/>
    <w:basedOn w:val="a"/>
    <w:link w:val="Char"/>
    <w:rsid w:val="00A67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77A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67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77A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</dc:creator>
  <cp:lastModifiedBy>微软用户</cp:lastModifiedBy>
  <cp:revision>56</cp:revision>
  <dcterms:created xsi:type="dcterms:W3CDTF">2014-10-29T12:08:00Z</dcterms:created>
  <dcterms:modified xsi:type="dcterms:W3CDTF">2019-10-24T08:07:00Z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