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E7" w:rsidRDefault="007070E7" w:rsidP="007070E7">
      <w:pPr>
        <w:rPr>
          <w:rFonts w:ascii="黑体" w:eastAsia="黑体" w:hAnsi="黑体"/>
          <w:sz w:val="32"/>
          <w:szCs w:val="32"/>
        </w:rPr>
      </w:pPr>
      <w:r>
        <w:rPr>
          <w:rFonts w:ascii="黑体" w:eastAsia="黑体" w:hAnsi="黑体" w:hint="eastAsia"/>
          <w:sz w:val="32"/>
          <w:szCs w:val="32"/>
        </w:rPr>
        <w:t>附件2</w:t>
      </w:r>
    </w:p>
    <w:p w:rsidR="004154EA" w:rsidRDefault="004154EA" w:rsidP="007070E7">
      <w:pPr>
        <w:rPr>
          <w:rFonts w:ascii="黑体" w:eastAsia="黑体" w:hAnsi="黑体"/>
          <w:sz w:val="32"/>
          <w:szCs w:val="32"/>
        </w:rPr>
      </w:pPr>
    </w:p>
    <w:p w:rsidR="00117842" w:rsidRPr="004154EA" w:rsidRDefault="007070E7" w:rsidP="004154EA">
      <w:pPr>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部分不合格项目的小知识</w:t>
      </w:r>
    </w:p>
    <w:p w:rsidR="004154EA" w:rsidRDefault="004154EA" w:rsidP="004154EA">
      <w:pPr>
        <w:spacing w:line="640" w:lineRule="exact"/>
        <w:ind w:firstLineChars="200" w:firstLine="640"/>
        <w:jc w:val="center"/>
        <w:rPr>
          <w:rFonts w:ascii="黑体" w:eastAsia="黑体" w:hAnsi="黑体"/>
          <w:sz w:val="32"/>
          <w:szCs w:val="32"/>
        </w:rPr>
      </w:pPr>
    </w:p>
    <w:p w:rsidR="007070E7" w:rsidRPr="0008368E" w:rsidRDefault="007070E7" w:rsidP="004154EA">
      <w:pPr>
        <w:spacing w:line="640" w:lineRule="exact"/>
        <w:ind w:firstLineChars="200" w:firstLine="640"/>
        <w:rPr>
          <w:rFonts w:ascii="黑体" w:eastAsia="黑体" w:hAnsi="黑体"/>
          <w:sz w:val="32"/>
          <w:szCs w:val="32"/>
        </w:rPr>
      </w:pPr>
      <w:r>
        <w:rPr>
          <w:rFonts w:ascii="黑体" w:eastAsia="黑体" w:hAnsi="黑体" w:hint="eastAsia"/>
          <w:sz w:val="32"/>
          <w:szCs w:val="32"/>
        </w:rPr>
        <w:t>一</w:t>
      </w:r>
      <w:r w:rsidRPr="0008368E">
        <w:rPr>
          <w:rFonts w:ascii="黑体" w:eastAsia="黑体" w:hAnsi="黑体" w:hint="eastAsia"/>
          <w:sz w:val="32"/>
          <w:szCs w:val="32"/>
        </w:rPr>
        <w:t>、山梨</w:t>
      </w:r>
      <w:proofErr w:type="gramStart"/>
      <w:r w:rsidRPr="0008368E">
        <w:rPr>
          <w:rFonts w:ascii="黑体" w:eastAsia="黑体" w:hAnsi="黑体" w:hint="eastAsia"/>
          <w:sz w:val="32"/>
          <w:szCs w:val="32"/>
        </w:rPr>
        <w:t>酸及其</w:t>
      </w:r>
      <w:proofErr w:type="gramEnd"/>
      <w:r w:rsidRPr="0008368E">
        <w:rPr>
          <w:rFonts w:ascii="黑体" w:eastAsia="黑体" w:hAnsi="黑体" w:hint="eastAsia"/>
          <w:sz w:val="32"/>
          <w:szCs w:val="32"/>
        </w:rPr>
        <w:t>钾盐</w:t>
      </w:r>
      <w:r w:rsidR="005975D8">
        <w:rPr>
          <w:rFonts w:ascii="黑体" w:eastAsia="黑体" w:hAnsi="黑体" w:hint="eastAsia"/>
          <w:sz w:val="32"/>
          <w:szCs w:val="32"/>
        </w:rPr>
        <w:t>（以山梨酸计）</w:t>
      </w:r>
    </w:p>
    <w:p w:rsidR="005975D8" w:rsidRPr="00C03309" w:rsidRDefault="00117842" w:rsidP="004154EA">
      <w:pPr>
        <w:widowControl/>
        <w:spacing w:line="640" w:lineRule="exact"/>
        <w:rPr>
          <w:rFonts w:ascii="Times New Roman" w:eastAsia="仿宋_GB2312" w:hAnsi="Times New Roman"/>
          <w:color w:val="000000"/>
          <w:kern w:val="0"/>
          <w:sz w:val="18"/>
          <w:szCs w:val="18"/>
        </w:rPr>
      </w:pPr>
      <w:r>
        <w:rPr>
          <w:rFonts w:ascii="Times New Roman" w:eastAsia="仿宋_GB2312" w:hAnsi="Times New Roman" w:hint="eastAsia"/>
          <w:sz w:val="32"/>
          <w:szCs w:val="32"/>
        </w:rPr>
        <w:t xml:space="preserve">    </w:t>
      </w:r>
      <w:r w:rsidR="007070E7" w:rsidRPr="00C03309">
        <w:rPr>
          <w:rFonts w:ascii="Times New Roman" w:eastAsia="仿宋_GB2312" w:hAnsi="Times New Roman"/>
          <w:sz w:val="32"/>
          <w:szCs w:val="32"/>
        </w:rPr>
        <w:t>山梨</w:t>
      </w:r>
      <w:proofErr w:type="gramStart"/>
      <w:r w:rsidR="007070E7" w:rsidRPr="00C03309">
        <w:rPr>
          <w:rFonts w:ascii="Times New Roman" w:eastAsia="仿宋_GB2312" w:hAnsi="Times New Roman"/>
          <w:sz w:val="32"/>
          <w:szCs w:val="32"/>
        </w:rPr>
        <w:t>酸及其</w:t>
      </w:r>
      <w:proofErr w:type="gramEnd"/>
      <w:r w:rsidR="007070E7" w:rsidRPr="00C03309">
        <w:rPr>
          <w:rFonts w:ascii="Times New Roman" w:eastAsia="仿宋_GB2312" w:hAnsi="Times New Roman"/>
          <w:sz w:val="32"/>
          <w:szCs w:val="32"/>
        </w:rPr>
        <w:t>钾盐是一种酸性防腐剂，具有较好的抑菌效果和防霉性能，对霉菌、酵母菌</w:t>
      </w:r>
      <w:proofErr w:type="gramStart"/>
      <w:r w:rsidR="007070E7" w:rsidRPr="00C03309">
        <w:rPr>
          <w:rFonts w:ascii="Times New Roman" w:eastAsia="仿宋_GB2312" w:hAnsi="Times New Roman"/>
          <w:sz w:val="32"/>
          <w:szCs w:val="32"/>
        </w:rPr>
        <w:t>和好氧性细菌</w:t>
      </w:r>
      <w:proofErr w:type="gramEnd"/>
      <w:r w:rsidR="007070E7" w:rsidRPr="00C03309">
        <w:rPr>
          <w:rFonts w:ascii="Times New Roman" w:eastAsia="仿宋_GB2312" w:hAnsi="Times New Roman"/>
          <w:sz w:val="32"/>
          <w:szCs w:val="32"/>
        </w:rPr>
        <w:t>的生长发育均有抑制作用。山梨</w:t>
      </w:r>
      <w:proofErr w:type="gramStart"/>
      <w:r w:rsidR="007070E7" w:rsidRPr="00C03309">
        <w:rPr>
          <w:rFonts w:ascii="Times New Roman" w:eastAsia="仿宋_GB2312" w:hAnsi="Times New Roman"/>
          <w:sz w:val="32"/>
          <w:szCs w:val="32"/>
        </w:rPr>
        <w:t>酸及其</w:t>
      </w:r>
      <w:proofErr w:type="gramEnd"/>
      <w:r w:rsidR="007070E7" w:rsidRPr="00C03309">
        <w:rPr>
          <w:rFonts w:ascii="Times New Roman" w:eastAsia="仿宋_GB2312" w:hAnsi="Times New Roman"/>
          <w:sz w:val="32"/>
          <w:szCs w:val="32"/>
        </w:rPr>
        <w:t>钾盐是一种相对无毒的食品添加剂，在生物体内可被代谢为二氧化碳和水排出体外。但如果长期食用山梨</w:t>
      </w:r>
      <w:proofErr w:type="gramStart"/>
      <w:r w:rsidR="007070E7" w:rsidRPr="00C03309">
        <w:rPr>
          <w:rFonts w:ascii="Times New Roman" w:eastAsia="仿宋_GB2312" w:hAnsi="Times New Roman"/>
          <w:sz w:val="32"/>
          <w:szCs w:val="32"/>
        </w:rPr>
        <w:t>酸及其</w:t>
      </w:r>
      <w:proofErr w:type="gramEnd"/>
      <w:r w:rsidR="007070E7" w:rsidRPr="00C03309">
        <w:rPr>
          <w:rFonts w:ascii="Times New Roman" w:eastAsia="仿宋_GB2312" w:hAnsi="Times New Roman"/>
          <w:sz w:val="32"/>
          <w:szCs w:val="32"/>
        </w:rPr>
        <w:t>钾盐超标的食品，可能会对人体</w:t>
      </w:r>
      <w:r w:rsidR="005975D8" w:rsidRPr="00C03309">
        <w:rPr>
          <w:rFonts w:ascii="Times New Roman" w:eastAsia="仿宋_GB2312" w:hAnsi="Times New Roman"/>
          <w:sz w:val="32"/>
          <w:szCs w:val="32"/>
        </w:rPr>
        <w:t>的健康产生</w:t>
      </w:r>
      <w:r w:rsidR="007070E7" w:rsidRPr="00C03309">
        <w:rPr>
          <w:rFonts w:ascii="Times New Roman" w:eastAsia="仿宋_GB2312" w:hAnsi="Times New Roman"/>
          <w:sz w:val="32"/>
          <w:szCs w:val="32"/>
        </w:rPr>
        <w:t>一定影响。《食品安全国家标准</w:t>
      </w:r>
      <w:r w:rsidR="007070E7" w:rsidRPr="00C03309">
        <w:rPr>
          <w:rFonts w:ascii="Times New Roman" w:eastAsia="仿宋_GB2312" w:hAnsi="Times New Roman"/>
          <w:sz w:val="32"/>
          <w:szCs w:val="32"/>
        </w:rPr>
        <w:t> </w:t>
      </w:r>
      <w:r w:rsidR="007070E7" w:rsidRPr="00C03309">
        <w:rPr>
          <w:rFonts w:ascii="Times New Roman" w:eastAsia="仿宋_GB2312" w:hAnsi="Times New Roman"/>
          <w:sz w:val="32"/>
          <w:szCs w:val="32"/>
        </w:rPr>
        <w:t>食品添加剂使用标准》（</w:t>
      </w:r>
      <w:r w:rsidR="007070E7" w:rsidRPr="00C03309">
        <w:rPr>
          <w:rFonts w:ascii="Times New Roman" w:eastAsia="仿宋_GB2312" w:hAnsi="Times New Roman"/>
          <w:sz w:val="32"/>
          <w:szCs w:val="32"/>
        </w:rPr>
        <w:t>GB 2760—2014</w:t>
      </w:r>
      <w:r w:rsidR="007070E7" w:rsidRPr="00C03309">
        <w:rPr>
          <w:rFonts w:ascii="Times New Roman" w:eastAsia="仿宋_GB2312" w:hAnsi="Times New Roman"/>
          <w:sz w:val="32"/>
          <w:szCs w:val="32"/>
        </w:rPr>
        <w:t>）中规定，</w:t>
      </w:r>
      <w:r w:rsidR="006B3524" w:rsidRPr="00C03309">
        <w:rPr>
          <w:rFonts w:ascii="Times New Roman" w:eastAsia="仿宋_GB2312" w:hAnsi="Times New Roman"/>
          <w:sz w:val="32"/>
          <w:szCs w:val="32"/>
        </w:rPr>
        <w:t>腌腊肉制品</w:t>
      </w:r>
      <w:r w:rsidR="007070E7" w:rsidRPr="00C03309">
        <w:rPr>
          <w:rFonts w:ascii="Times New Roman" w:eastAsia="仿宋_GB2312" w:hAnsi="Times New Roman"/>
          <w:sz w:val="32"/>
          <w:szCs w:val="32"/>
        </w:rPr>
        <w:t>中不允许使用山梨</w:t>
      </w:r>
      <w:proofErr w:type="gramStart"/>
      <w:r w:rsidR="007070E7" w:rsidRPr="00C03309">
        <w:rPr>
          <w:rFonts w:ascii="Times New Roman" w:eastAsia="仿宋_GB2312" w:hAnsi="Times New Roman"/>
          <w:sz w:val="32"/>
          <w:szCs w:val="32"/>
        </w:rPr>
        <w:t>酸及其</w:t>
      </w:r>
      <w:proofErr w:type="gramEnd"/>
      <w:r w:rsidR="007070E7" w:rsidRPr="00C03309">
        <w:rPr>
          <w:rFonts w:ascii="Times New Roman" w:eastAsia="仿宋_GB2312" w:hAnsi="Times New Roman"/>
          <w:sz w:val="32"/>
          <w:szCs w:val="32"/>
        </w:rPr>
        <w:t>钾盐。造成山梨</w:t>
      </w:r>
      <w:proofErr w:type="gramStart"/>
      <w:r w:rsidR="007070E7" w:rsidRPr="00C03309">
        <w:rPr>
          <w:rFonts w:ascii="Times New Roman" w:eastAsia="仿宋_GB2312" w:hAnsi="Times New Roman"/>
          <w:sz w:val="32"/>
          <w:szCs w:val="32"/>
        </w:rPr>
        <w:t>酸及其</w:t>
      </w:r>
      <w:proofErr w:type="gramEnd"/>
      <w:r w:rsidR="007070E7" w:rsidRPr="00C03309">
        <w:rPr>
          <w:rFonts w:ascii="Times New Roman" w:eastAsia="仿宋_GB2312" w:hAnsi="Times New Roman"/>
          <w:sz w:val="32"/>
          <w:szCs w:val="32"/>
        </w:rPr>
        <w:t>钾盐（以山梨酸计）不合格的原因，可能是企业为延长产品保质期或者为弥补产品生产中卫生条件不佳而超范围使用。</w:t>
      </w:r>
    </w:p>
    <w:p w:rsidR="00202B4C" w:rsidRPr="005975D8" w:rsidRDefault="005975D8" w:rsidP="004154EA">
      <w:pPr>
        <w:widowControl/>
        <w:spacing w:line="640" w:lineRule="exact"/>
        <w:rPr>
          <w:rFonts w:ascii="黑体" w:eastAsia="黑体" w:hAnsi="黑体"/>
          <w:color w:val="000000"/>
          <w:kern w:val="0"/>
          <w:sz w:val="18"/>
          <w:szCs w:val="18"/>
        </w:rPr>
      </w:pPr>
      <w:r>
        <w:rPr>
          <w:rFonts w:ascii="Times New Roman" w:eastAsia="仿宋_GB2312" w:hAnsi="Times New Roman" w:hint="eastAsia"/>
          <w:sz w:val="32"/>
          <w:szCs w:val="32"/>
        </w:rPr>
        <w:t xml:space="preserve">    </w:t>
      </w:r>
      <w:r w:rsidR="00202B4C" w:rsidRPr="005975D8">
        <w:rPr>
          <w:rFonts w:ascii="黑体" w:eastAsia="黑体" w:hAnsi="黑体" w:hint="eastAsia"/>
          <w:sz w:val="32"/>
          <w:szCs w:val="32"/>
        </w:rPr>
        <w:t>二、亚硝酸盐</w:t>
      </w:r>
      <w:r w:rsidRPr="005975D8">
        <w:rPr>
          <w:rFonts w:ascii="黑体" w:eastAsia="黑体" w:hAnsi="黑体" w:hint="eastAsia"/>
          <w:sz w:val="32"/>
          <w:szCs w:val="32"/>
        </w:rPr>
        <w:t>（</w:t>
      </w:r>
      <w:r w:rsidR="00202B4C" w:rsidRPr="005975D8">
        <w:rPr>
          <w:rFonts w:ascii="黑体" w:eastAsia="黑体" w:hAnsi="黑体" w:hint="eastAsia"/>
          <w:sz w:val="32"/>
          <w:szCs w:val="32"/>
        </w:rPr>
        <w:t>以亚硝酸钠计</w:t>
      </w:r>
      <w:r w:rsidRPr="005975D8">
        <w:rPr>
          <w:rFonts w:ascii="黑体" w:eastAsia="黑体" w:hAnsi="黑体" w:hint="eastAsia"/>
          <w:sz w:val="32"/>
          <w:szCs w:val="32"/>
        </w:rPr>
        <w:t>）</w:t>
      </w:r>
    </w:p>
    <w:p w:rsidR="00F64B2D" w:rsidRPr="00C03309" w:rsidRDefault="00167675" w:rsidP="004154EA">
      <w:pPr>
        <w:widowControl/>
        <w:spacing w:line="640" w:lineRule="exact"/>
        <w:ind w:firstLineChars="200" w:firstLine="640"/>
        <w:rPr>
          <w:rFonts w:ascii="Times New Roman" w:eastAsia="仿宋_GB2312" w:hAnsi="Times New Roman"/>
          <w:sz w:val="32"/>
          <w:szCs w:val="32"/>
        </w:rPr>
      </w:pPr>
      <w:r w:rsidRPr="00C03309">
        <w:rPr>
          <w:rFonts w:ascii="Times New Roman" w:eastAsia="仿宋_GB2312" w:hAnsi="Times New Roman"/>
          <w:sz w:val="32"/>
          <w:szCs w:val="32"/>
        </w:rPr>
        <w:t>亚硝酸盐是一种具有护色和防腐作用的食品添加剂，广泛应用于肉制品生产加工过程中</w:t>
      </w:r>
      <w:r w:rsidR="00BC1E75" w:rsidRPr="00BC1E75">
        <w:rPr>
          <w:rFonts w:ascii="Times New Roman" w:eastAsia="仿宋_GB2312" w:hAnsi="Times New Roman" w:hint="eastAsia"/>
          <w:sz w:val="32"/>
          <w:szCs w:val="32"/>
        </w:rPr>
        <w:t>。亚硝酸盐作为护色剂，可以使肉制品呈现鲜艳、美好的颜色，同时还具有防腐作用，可以抑制微生物的生长繁殖。亚硝酸盐同时还是一种致癌物质</w:t>
      </w:r>
      <w:r w:rsidR="00393448">
        <w:rPr>
          <w:rFonts w:ascii="Times New Roman" w:eastAsia="仿宋_GB2312" w:hAnsi="Times New Roman" w:hint="eastAsia"/>
          <w:sz w:val="32"/>
          <w:szCs w:val="32"/>
        </w:rPr>
        <w:t>，</w:t>
      </w:r>
      <w:r w:rsidR="00F64B2D" w:rsidRPr="00C03309">
        <w:rPr>
          <w:rFonts w:ascii="Times New Roman" w:eastAsia="仿宋_GB2312" w:hAnsi="Times New Roman"/>
          <w:sz w:val="32"/>
          <w:szCs w:val="32"/>
        </w:rPr>
        <w:t>如果长期食用亚硝酸盐超标的肉制品，可能会对人体健</w:t>
      </w:r>
      <w:r w:rsidR="00F64B2D" w:rsidRPr="00C03309">
        <w:rPr>
          <w:rFonts w:ascii="Times New Roman" w:eastAsia="仿宋_GB2312" w:hAnsi="Times New Roman"/>
          <w:sz w:val="32"/>
          <w:szCs w:val="32"/>
        </w:rPr>
        <w:lastRenderedPageBreak/>
        <w:t>康带来风险</w:t>
      </w:r>
      <w:r w:rsidR="00B97684" w:rsidRPr="00C03309">
        <w:rPr>
          <w:rFonts w:ascii="Times New Roman" w:eastAsia="仿宋_GB2312" w:hAnsi="Times New Roman"/>
          <w:sz w:val="32"/>
          <w:szCs w:val="32"/>
        </w:rPr>
        <w:t>。</w:t>
      </w:r>
      <w:r w:rsidR="00F64B2D" w:rsidRPr="00C03309">
        <w:rPr>
          <w:rFonts w:ascii="Times New Roman" w:eastAsia="仿宋_GB2312" w:hAnsi="Times New Roman"/>
          <w:sz w:val="32"/>
          <w:szCs w:val="32"/>
        </w:rPr>
        <w:t>《</w:t>
      </w:r>
      <w:r w:rsidR="005975D8" w:rsidRPr="00C03309">
        <w:rPr>
          <w:rFonts w:ascii="Times New Roman" w:eastAsia="仿宋_GB2312" w:hAnsi="Times New Roman"/>
          <w:sz w:val="32"/>
          <w:szCs w:val="32"/>
        </w:rPr>
        <w:t>食品安全国家标准</w:t>
      </w:r>
      <w:r w:rsidR="005975D8" w:rsidRPr="00C03309">
        <w:rPr>
          <w:rFonts w:ascii="Times New Roman" w:eastAsia="仿宋_GB2312" w:hAnsi="Times New Roman"/>
          <w:sz w:val="32"/>
          <w:szCs w:val="32"/>
        </w:rPr>
        <w:t xml:space="preserve"> </w:t>
      </w:r>
      <w:r w:rsidR="005975D8" w:rsidRPr="00C03309">
        <w:rPr>
          <w:rFonts w:ascii="Times New Roman" w:eastAsia="仿宋_GB2312" w:hAnsi="Times New Roman"/>
          <w:sz w:val="32"/>
          <w:szCs w:val="32"/>
        </w:rPr>
        <w:t>食品添加剂使用标准</w:t>
      </w:r>
      <w:r w:rsidR="00F64B2D" w:rsidRPr="00C03309">
        <w:rPr>
          <w:rFonts w:ascii="Times New Roman" w:eastAsia="仿宋_GB2312" w:hAnsi="Times New Roman"/>
          <w:sz w:val="32"/>
          <w:szCs w:val="32"/>
        </w:rPr>
        <w:t>》（</w:t>
      </w:r>
      <w:r w:rsidR="00F64B2D" w:rsidRPr="00C03309">
        <w:rPr>
          <w:rFonts w:ascii="Times New Roman" w:eastAsia="仿宋_GB2312" w:hAnsi="Times New Roman"/>
          <w:sz w:val="32"/>
          <w:szCs w:val="32"/>
        </w:rPr>
        <w:t>GB276</w:t>
      </w:r>
      <w:r w:rsidR="005975D8" w:rsidRPr="00C03309">
        <w:rPr>
          <w:rFonts w:ascii="Times New Roman" w:eastAsia="仿宋_GB2312" w:hAnsi="Times New Roman"/>
          <w:sz w:val="32"/>
          <w:szCs w:val="32"/>
        </w:rPr>
        <w:t>0</w:t>
      </w:r>
      <w:r w:rsidR="00F64B2D" w:rsidRPr="00C03309">
        <w:rPr>
          <w:rFonts w:ascii="Times New Roman" w:eastAsia="仿宋_GB2312" w:hAnsi="Times New Roman"/>
          <w:sz w:val="32"/>
          <w:szCs w:val="32"/>
        </w:rPr>
        <w:t>—201</w:t>
      </w:r>
      <w:r w:rsidR="005975D8" w:rsidRPr="00C03309">
        <w:rPr>
          <w:rFonts w:ascii="Times New Roman" w:eastAsia="仿宋_GB2312" w:hAnsi="Times New Roman"/>
          <w:sz w:val="32"/>
          <w:szCs w:val="32"/>
        </w:rPr>
        <w:t>4</w:t>
      </w:r>
      <w:r w:rsidR="00F64B2D" w:rsidRPr="00C03309">
        <w:rPr>
          <w:rFonts w:ascii="Times New Roman" w:eastAsia="仿宋_GB2312" w:hAnsi="Times New Roman"/>
          <w:sz w:val="32"/>
          <w:szCs w:val="32"/>
        </w:rPr>
        <w:t>）中规定，</w:t>
      </w:r>
      <w:r w:rsidR="002E6AC0" w:rsidRPr="00C03309">
        <w:rPr>
          <w:rFonts w:ascii="Times New Roman" w:eastAsia="仿宋_GB2312" w:hAnsi="Times New Roman"/>
          <w:sz w:val="32"/>
          <w:szCs w:val="32"/>
        </w:rPr>
        <w:t>腌腊肉制品类中亚硝酸盐的</w:t>
      </w:r>
      <w:r w:rsidR="00393448">
        <w:rPr>
          <w:rFonts w:ascii="Times New Roman" w:eastAsia="仿宋_GB2312" w:hAnsi="Times New Roman" w:hint="eastAsia"/>
          <w:sz w:val="32"/>
          <w:szCs w:val="32"/>
        </w:rPr>
        <w:t>残留</w:t>
      </w:r>
      <w:r w:rsidR="002E6AC0" w:rsidRPr="00C03309">
        <w:rPr>
          <w:rFonts w:ascii="Times New Roman" w:eastAsia="仿宋_GB2312" w:hAnsi="Times New Roman"/>
          <w:sz w:val="32"/>
          <w:szCs w:val="32"/>
        </w:rPr>
        <w:t>量</w:t>
      </w:r>
      <w:r w:rsidR="00393448">
        <w:rPr>
          <w:rFonts w:ascii="Times New Roman" w:eastAsia="仿宋_GB2312" w:hAnsi="Times New Roman" w:hint="eastAsia"/>
          <w:sz w:val="32"/>
          <w:szCs w:val="32"/>
        </w:rPr>
        <w:t>不得超过</w:t>
      </w:r>
      <w:r w:rsidR="00F64B2D" w:rsidRPr="00C03309">
        <w:rPr>
          <w:rFonts w:ascii="Times New Roman" w:eastAsia="仿宋_GB2312" w:hAnsi="Times New Roman"/>
          <w:sz w:val="32"/>
          <w:szCs w:val="32"/>
        </w:rPr>
        <w:t>30mg/kg</w:t>
      </w:r>
      <w:r w:rsidR="00F64B2D" w:rsidRPr="00C03309">
        <w:rPr>
          <w:rFonts w:ascii="Times New Roman" w:eastAsia="仿宋_GB2312" w:hAnsi="Times New Roman"/>
          <w:sz w:val="32"/>
          <w:szCs w:val="32"/>
        </w:rPr>
        <w:t>。</w:t>
      </w:r>
      <w:r w:rsidRPr="00C03309">
        <w:rPr>
          <w:rFonts w:ascii="Times New Roman" w:eastAsia="仿宋_GB2312" w:hAnsi="Times New Roman"/>
          <w:sz w:val="32"/>
          <w:szCs w:val="32"/>
        </w:rPr>
        <w:t>造成</w:t>
      </w:r>
      <w:r w:rsidR="00393448">
        <w:rPr>
          <w:rFonts w:ascii="Times New Roman" w:eastAsia="仿宋_GB2312" w:hAnsi="Times New Roman" w:hint="eastAsia"/>
          <w:sz w:val="32"/>
          <w:szCs w:val="32"/>
        </w:rPr>
        <w:t>产品中</w:t>
      </w:r>
      <w:r w:rsidR="00393448" w:rsidRPr="00C03309">
        <w:rPr>
          <w:rFonts w:ascii="Times New Roman" w:eastAsia="仿宋_GB2312" w:hAnsi="Times New Roman"/>
          <w:sz w:val="32"/>
          <w:szCs w:val="32"/>
        </w:rPr>
        <w:t>亚硝酸盐</w:t>
      </w:r>
      <w:r w:rsidR="00393448">
        <w:rPr>
          <w:rFonts w:ascii="Times New Roman" w:eastAsia="仿宋_GB2312" w:hAnsi="Times New Roman" w:hint="eastAsia"/>
          <w:sz w:val="32"/>
          <w:szCs w:val="32"/>
        </w:rPr>
        <w:t>超标</w:t>
      </w:r>
      <w:r w:rsidRPr="00C03309">
        <w:rPr>
          <w:rFonts w:ascii="Times New Roman" w:eastAsia="仿宋_GB2312" w:hAnsi="Times New Roman"/>
          <w:sz w:val="32"/>
          <w:szCs w:val="32"/>
        </w:rPr>
        <w:t>的原因可能是生产企业在食品加工</w:t>
      </w:r>
      <w:r w:rsidR="002E6AC0" w:rsidRPr="00C03309">
        <w:rPr>
          <w:rFonts w:ascii="Times New Roman" w:eastAsia="仿宋_GB2312" w:hAnsi="Times New Roman"/>
          <w:sz w:val="32"/>
          <w:szCs w:val="32"/>
        </w:rPr>
        <w:t>过程</w:t>
      </w:r>
      <w:r w:rsidRPr="00C03309">
        <w:rPr>
          <w:rFonts w:ascii="Times New Roman" w:eastAsia="仿宋_GB2312" w:hAnsi="Times New Roman"/>
          <w:sz w:val="32"/>
          <w:szCs w:val="32"/>
        </w:rPr>
        <w:t>中超量添加，或生产工艺缺陷、保存条件不当等导致食物中的硝酸盐被还原为亚硝酸盐。</w:t>
      </w:r>
    </w:p>
    <w:p w:rsidR="00202B4C" w:rsidRPr="005975D8" w:rsidRDefault="00202B4C" w:rsidP="004154EA">
      <w:pPr>
        <w:spacing w:line="640" w:lineRule="exact"/>
        <w:ind w:firstLineChars="200" w:firstLine="640"/>
        <w:rPr>
          <w:rFonts w:ascii="黑体" w:eastAsia="黑体" w:hAnsi="黑体"/>
          <w:sz w:val="32"/>
          <w:szCs w:val="32"/>
        </w:rPr>
      </w:pPr>
      <w:r w:rsidRPr="005975D8">
        <w:rPr>
          <w:rFonts w:ascii="黑体" w:eastAsia="黑体" w:hAnsi="黑体" w:hint="eastAsia"/>
          <w:sz w:val="32"/>
          <w:szCs w:val="32"/>
        </w:rPr>
        <w:t>三、菌落总数</w:t>
      </w:r>
    </w:p>
    <w:p w:rsidR="00202B4C" w:rsidRPr="00C03309" w:rsidRDefault="00202B4C" w:rsidP="004154EA">
      <w:pPr>
        <w:spacing w:line="640" w:lineRule="exact"/>
        <w:ind w:firstLineChars="200" w:firstLine="640"/>
        <w:rPr>
          <w:rFonts w:ascii="Times New Roman" w:eastAsia="仿宋_GB2312" w:hAnsi="Times New Roman"/>
          <w:sz w:val="32"/>
          <w:szCs w:val="32"/>
        </w:rPr>
      </w:pPr>
      <w:r w:rsidRPr="00C03309">
        <w:rPr>
          <w:rFonts w:ascii="Times New Roman" w:eastAsia="仿宋_GB2312" w:hAnsi="Times New Roman"/>
          <w:sz w:val="32"/>
          <w:szCs w:val="32"/>
        </w:rPr>
        <w:t>菌落总数是指示性微生物指标，并非致病菌指标，主要用来评价食品清洁度，反映食品在生产过程中是否符合卫生要求</w:t>
      </w:r>
      <w:r w:rsidR="000C00C7" w:rsidRPr="00C03309">
        <w:rPr>
          <w:rFonts w:ascii="Times New Roman" w:eastAsia="仿宋_GB2312" w:hAnsi="Times New Roman"/>
          <w:sz w:val="32"/>
          <w:szCs w:val="32"/>
        </w:rPr>
        <w:t>。食品的菌落总数严重超标，将会破坏食品的营养成分，加速食品的腐败变质，使食品失去食用价值。</w:t>
      </w:r>
      <w:r w:rsidR="00FA7562" w:rsidRPr="00C03309">
        <w:rPr>
          <w:rFonts w:ascii="Times New Roman" w:eastAsia="仿宋_GB2312" w:hAnsi="Times New Roman"/>
          <w:sz w:val="32"/>
          <w:szCs w:val="32"/>
        </w:rPr>
        <w:t>《食品安全国家标准</w:t>
      </w:r>
      <w:r w:rsidR="00472A93" w:rsidRPr="00C03309">
        <w:rPr>
          <w:rFonts w:ascii="Times New Roman" w:eastAsia="仿宋_GB2312" w:hAnsi="Times New Roman"/>
          <w:sz w:val="32"/>
          <w:szCs w:val="32"/>
        </w:rPr>
        <w:t xml:space="preserve"> </w:t>
      </w:r>
      <w:r w:rsidR="00FA7562" w:rsidRPr="00C03309">
        <w:rPr>
          <w:rFonts w:ascii="Times New Roman" w:eastAsia="仿宋_GB2312" w:hAnsi="Times New Roman"/>
          <w:sz w:val="32"/>
          <w:szCs w:val="32"/>
        </w:rPr>
        <w:t>熟肉制品》（</w:t>
      </w:r>
      <w:r w:rsidR="00FA7562" w:rsidRPr="00C03309">
        <w:rPr>
          <w:rFonts w:ascii="Times New Roman" w:eastAsia="仿宋_GB2312" w:hAnsi="Times New Roman"/>
          <w:sz w:val="32"/>
          <w:szCs w:val="32"/>
        </w:rPr>
        <w:t>GB 2726—2016</w:t>
      </w:r>
      <w:r w:rsidR="00472A93" w:rsidRPr="00C03309">
        <w:rPr>
          <w:rFonts w:ascii="Times New Roman" w:eastAsia="仿宋_GB2312" w:hAnsi="Times New Roman"/>
          <w:sz w:val="32"/>
          <w:szCs w:val="32"/>
        </w:rPr>
        <w:t>）中规定，熟肉制品（</w:t>
      </w:r>
      <w:r w:rsidR="00FA7562" w:rsidRPr="00C03309">
        <w:rPr>
          <w:rFonts w:ascii="Times New Roman" w:eastAsia="仿宋_GB2312" w:hAnsi="Times New Roman"/>
          <w:sz w:val="32"/>
          <w:szCs w:val="32"/>
        </w:rPr>
        <w:t>发酵肉制品</w:t>
      </w:r>
      <w:r w:rsidR="00472A93" w:rsidRPr="00C03309">
        <w:rPr>
          <w:rFonts w:ascii="Times New Roman" w:eastAsia="仿宋_GB2312" w:hAnsi="Times New Roman"/>
          <w:sz w:val="32"/>
          <w:szCs w:val="32"/>
        </w:rPr>
        <w:t>类除</w:t>
      </w:r>
      <w:r w:rsidR="00FA7562" w:rsidRPr="00C03309">
        <w:rPr>
          <w:rFonts w:ascii="Times New Roman" w:eastAsia="仿宋_GB2312" w:hAnsi="Times New Roman"/>
          <w:sz w:val="32"/>
          <w:szCs w:val="32"/>
        </w:rPr>
        <w:t>外）中的菌落总数</w:t>
      </w:r>
      <w:r w:rsidR="00E7743D">
        <w:rPr>
          <w:rFonts w:ascii="Times New Roman" w:eastAsia="仿宋_GB2312" w:hAnsi="Times New Roman" w:hint="eastAsia"/>
          <w:sz w:val="32"/>
          <w:szCs w:val="32"/>
        </w:rPr>
        <w:t>的</w:t>
      </w:r>
      <w:r w:rsidR="00472A93" w:rsidRPr="00C03309">
        <w:rPr>
          <w:rFonts w:ascii="Times New Roman" w:eastAsia="仿宋_GB2312" w:hAnsi="Times New Roman"/>
          <w:sz w:val="32"/>
          <w:szCs w:val="32"/>
        </w:rPr>
        <w:t>5</w:t>
      </w:r>
      <w:r w:rsidR="00FA7562" w:rsidRPr="00C03309">
        <w:rPr>
          <w:rFonts w:ascii="Times New Roman" w:eastAsia="仿宋_GB2312" w:hAnsi="Times New Roman"/>
          <w:sz w:val="32"/>
          <w:szCs w:val="32"/>
        </w:rPr>
        <w:t>次检测结果均不得超过</w:t>
      </w:r>
      <w:r w:rsidR="00FA7562" w:rsidRPr="00C03309">
        <w:rPr>
          <w:rFonts w:ascii="Times New Roman" w:eastAsia="仿宋_GB2312" w:hAnsi="Times New Roman"/>
          <w:sz w:val="32"/>
          <w:szCs w:val="32"/>
        </w:rPr>
        <w:t>10</w:t>
      </w:r>
      <w:r w:rsidR="00472A93" w:rsidRPr="00C03309">
        <w:rPr>
          <w:rFonts w:ascii="Times New Roman" w:eastAsia="仿宋_GB2312" w:hAnsi="Times New Roman"/>
          <w:sz w:val="32"/>
          <w:szCs w:val="32"/>
        </w:rPr>
        <w:t>0000</w:t>
      </w:r>
      <w:r w:rsidR="00FA7562" w:rsidRPr="00C03309">
        <w:rPr>
          <w:rFonts w:ascii="Times New Roman" w:eastAsia="仿宋_GB2312" w:hAnsi="Times New Roman"/>
          <w:sz w:val="32"/>
          <w:szCs w:val="32"/>
        </w:rPr>
        <w:t>CFU/g</w:t>
      </w:r>
      <w:r w:rsidR="00FA7562" w:rsidRPr="00C03309">
        <w:rPr>
          <w:rFonts w:ascii="Times New Roman" w:eastAsia="仿宋_GB2312" w:hAnsi="Times New Roman"/>
          <w:sz w:val="32"/>
          <w:szCs w:val="32"/>
        </w:rPr>
        <w:t>且至少</w:t>
      </w:r>
      <w:r w:rsidR="00FA7562" w:rsidRPr="00C03309">
        <w:rPr>
          <w:rFonts w:ascii="Times New Roman" w:eastAsia="仿宋_GB2312" w:hAnsi="Times New Roman"/>
          <w:sz w:val="32"/>
          <w:szCs w:val="32"/>
        </w:rPr>
        <w:t>3</w:t>
      </w:r>
      <w:r w:rsidR="00FA7562" w:rsidRPr="00C03309">
        <w:rPr>
          <w:rFonts w:ascii="Times New Roman" w:eastAsia="仿宋_GB2312" w:hAnsi="Times New Roman"/>
          <w:sz w:val="32"/>
          <w:szCs w:val="32"/>
        </w:rPr>
        <w:t>次检测结果不超过</w:t>
      </w:r>
      <w:r w:rsidR="00FA7562" w:rsidRPr="00C03309">
        <w:rPr>
          <w:rFonts w:ascii="Times New Roman" w:eastAsia="仿宋_GB2312" w:hAnsi="Times New Roman"/>
          <w:sz w:val="32"/>
          <w:szCs w:val="32"/>
        </w:rPr>
        <w:t>10</w:t>
      </w:r>
      <w:r w:rsidR="00472A93" w:rsidRPr="00C03309">
        <w:rPr>
          <w:rFonts w:ascii="Times New Roman" w:eastAsia="仿宋_GB2312" w:hAnsi="Times New Roman"/>
          <w:sz w:val="32"/>
          <w:szCs w:val="32"/>
        </w:rPr>
        <w:t>000</w:t>
      </w:r>
      <w:r w:rsidR="00FA7562" w:rsidRPr="00C03309">
        <w:rPr>
          <w:rFonts w:ascii="Times New Roman" w:eastAsia="仿宋_GB2312" w:hAnsi="Times New Roman"/>
          <w:sz w:val="32"/>
          <w:szCs w:val="32"/>
        </w:rPr>
        <w:t xml:space="preserve"> CFU/g</w:t>
      </w:r>
      <w:r w:rsidR="00FA7562" w:rsidRPr="00C03309">
        <w:rPr>
          <w:rFonts w:ascii="Times New Roman" w:eastAsia="仿宋_GB2312" w:hAnsi="Times New Roman"/>
          <w:sz w:val="32"/>
          <w:szCs w:val="32"/>
        </w:rPr>
        <w:t>。</w:t>
      </w:r>
      <w:r w:rsidRPr="00C03309">
        <w:rPr>
          <w:rFonts w:ascii="Times New Roman" w:eastAsia="仿宋_GB2312" w:hAnsi="Times New Roman"/>
          <w:sz w:val="32"/>
          <w:szCs w:val="32"/>
        </w:rPr>
        <w:t>菌落总数超标的原因，可能</w:t>
      </w:r>
      <w:r w:rsidR="00E7743D">
        <w:rPr>
          <w:rFonts w:ascii="Times New Roman" w:eastAsia="仿宋_GB2312" w:hAnsi="Times New Roman" w:hint="eastAsia"/>
          <w:sz w:val="32"/>
          <w:szCs w:val="32"/>
        </w:rPr>
        <w:t>是</w:t>
      </w:r>
      <w:r w:rsidR="00E7743D">
        <w:rPr>
          <w:rFonts w:ascii="Times New Roman" w:eastAsia="仿宋_GB2312" w:hAnsi="Times New Roman"/>
          <w:sz w:val="32"/>
          <w:szCs w:val="32"/>
        </w:rPr>
        <w:t>个别企业</w:t>
      </w:r>
      <w:r w:rsidRPr="00C03309">
        <w:rPr>
          <w:rFonts w:ascii="Times New Roman" w:eastAsia="仿宋_GB2312" w:hAnsi="Times New Roman"/>
          <w:sz w:val="32"/>
          <w:szCs w:val="32"/>
        </w:rPr>
        <w:t>未按要求严格控制生产加工过程的卫生条件，包装容器、器皿清洗消毒不到位，还有可能与产品包装密封不严，储运温度等条件控制不当等有关。</w:t>
      </w:r>
    </w:p>
    <w:p w:rsidR="007070E7" w:rsidRPr="005975D8" w:rsidRDefault="00202B4C" w:rsidP="004154EA">
      <w:pPr>
        <w:spacing w:line="640" w:lineRule="exact"/>
        <w:ind w:firstLineChars="200" w:firstLine="640"/>
        <w:rPr>
          <w:rFonts w:ascii="黑体" w:eastAsia="黑体" w:hAnsi="黑体"/>
          <w:sz w:val="32"/>
          <w:szCs w:val="32"/>
        </w:rPr>
      </w:pPr>
      <w:r w:rsidRPr="005975D8">
        <w:rPr>
          <w:rFonts w:ascii="黑体" w:eastAsia="黑体" w:hAnsi="黑体" w:hint="eastAsia"/>
          <w:sz w:val="32"/>
          <w:szCs w:val="32"/>
        </w:rPr>
        <w:t>四、铜绿假单胞菌</w:t>
      </w:r>
    </w:p>
    <w:p w:rsidR="00C92FD3" w:rsidRPr="00C03309" w:rsidRDefault="00472A93" w:rsidP="004154EA">
      <w:pPr>
        <w:pStyle w:val="a5"/>
        <w:spacing w:line="640" w:lineRule="exact"/>
        <w:ind w:firstLine="640"/>
        <w:rPr>
          <w:rFonts w:ascii="Times New Roman" w:eastAsia="仿宋_GB2312" w:hAnsi="Times New Roman"/>
          <w:kern w:val="0"/>
          <w:sz w:val="32"/>
          <w:szCs w:val="32"/>
        </w:rPr>
      </w:pPr>
      <w:r w:rsidRPr="00C03309">
        <w:rPr>
          <w:rFonts w:ascii="Times New Roman" w:eastAsia="仿宋_GB2312" w:hAnsi="Times New Roman"/>
          <w:kern w:val="0"/>
          <w:sz w:val="32"/>
          <w:szCs w:val="32"/>
        </w:rPr>
        <w:t>铜绿假单胞菌是一种条</w:t>
      </w:r>
      <w:r w:rsidR="00E7743D">
        <w:rPr>
          <w:rFonts w:ascii="Times New Roman" w:eastAsia="仿宋_GB2312" w:hAnsi="Times New Roman"/>
          <w:kern w:val="0"/>
          <w:sz w:val="32"/>
          <w:szCs w:val="32"/>
        </w:rPr>
        <w:t>件致病菌，广泛分布于各种水、空气、正常人的皮肤、呼吸道和肠道等</w:t>
      </w:r>
      <w:r w:rsidR="00E7743D">
        <w:rPr>
          <w:rFonts w:ascii="Times New Roman" w:eastAsia="仿宋_GB2312" w:hAnsi="Times New Roman" w:hint="eastAsia"/>
          <w:kern w:val="0"/>
          <w:sz w:val="32"/>
          <w:szCs w:val="32"/>
        </w:rPr>
        <w:t>，</w:t>
      </w:r>
      <w:r w:rsidRPr="00C03309">
        <w:rPr>
          <w:rFonts w:ascii="Times New Roman" w:eastAsia="仿宋_GB2312" w:hAnsi="Times New Roman"/>
          <w:kern w:val="0"/>
          <w:sz w:val="32"/>
          <w:szCs w:val="32"/>
        </w:rPr>
        <w:t>易在潮湿的环境存活，对消毒剂、紫外线等具有较强的抵抗力，对于抵抗力较</w:t>
      </w:r>
      <w:r w:rsidRPr="00C03309">
        <w:rPr>
          <w:rFonts w:ascii="Times New Roman" w:eastAsia="仿宋_GB2312" w:hAnsi="Times New Roman"/>
          <w:kern w:val="0"/>
          <w:sz w:val="32"/>
          <w:szCs w:val="32"/>
        </w:rPr>
        <w:lastRenderedPageBreak/>
        <w:t>弱的人群存在健康风险。《食品安全国家标准</w:t>
      </w:r>
      <w:r w:rsidRPr="00C03309">
        <w:rPr>
          <w:rFonts w:ascii="Times New Roman" w:eastAsia="仿宋_GB2312" w:hAnsi="Times New Roman"/>
          <w:kern w:val="0"/>
          <w:sz w:val="32"/>
          <w:szCs w:val="32"/>
        </w:rPr>
        <w:t xml:space="preserve"> </w:t>
      </w:r>
      <w:r w:rsidRPr="00C03309">
        <w:rPr>
          <w:rFonts w:ascii="Times New Roman" w:eastAsia="仿宋_GB2312" w:hAnsi="Times New Roman"/>
          <w:kern w:val="0"/>
          <w:sz w:val="32"/>
          <w:szCs w:val="32"/>
        </w:rPr>
        <w:t>包装饮用水》（</w:t>
      </w:r>
      <w:r w:rsidRPr="00C03309">
        <w:rPr>
          <w:rFonts w:ascii="Times New Roman" w:eastAsia="仿宋_GB2312" w:hAnsi="Times New Roman"/>
          <w:kern w:val="0"/>
          <w:sz w:val="32"/>
          <w:szCs w:val="32"/>
        </w:rPr>
        <w:t>GB 19298—2014</w:t>
      </w:r>
      <w:r w:rsidRPr="00C03309">
        <w:rPr>
          <w:rFonts w:ascii="Times New Roman" w:eastAsia="仿宋_GB2312" w:hAnsi="Times New Roman"/>
          <w:kern w:val="0"/>
          <w:sz w:val="32"/>
          <w:szCs w:val="32"/>
        </w:rPr>
        <w:t>）中规定，包装饮用水中的铜绿假单胞菌</w:t>
      </w:r>
      <w:r w:rsidRPr="00C03309">
        <w:rPr>
          <w:rFonts w:ascii="Times New Roman" w:eastAsia="仿宋_GB2312" w:hAnsi="Times New Roman"/>
          <w:kern w:val="0"/>
          <w:sz w:val="32"/>
          <w:szCs w:val="32"/>
        </w:rPr>
        <w:t>5</w:t>
      </w:r>
      <w:r w:rsidR="00E7743D">
        <w:rPr>
          <w:rFonts w:ascii="Times New Roman" w:eastAsia="仿宋_GB2312" w:hAnsi="Times New Roman"/>
          <w:kern w:val="0"/>
          <w:sz w:val="32"/>
          <w:szCs w:val="32"/>
        </w:rPr>
        <w:t>次检测结果均不得检出。</w:t>
      </w:r>
      <w:r w:rsidRPr="00C03309">
        <w:rPr>
          <w:rFonts w:ascii="Times New Roman" w:eastAsia="仿宋_GB2312" w:hAnsi="Times New Roman"/>
          <w:kern w:val="0"/>
          <w:sz w:val="32"/>
          <w:szCs w:val="32"/>
        </w:rPr>
        <w:t>包装饮用水中铜绿假单胞菌</w:t>
      </w:r>
      <w:r w:rsidR="003378A2">
        <w:rPr>
          <w:rFonts w:ascii="Times New Roman" w:eastAsia="仿宋_GB2312" w:hAnsi="Times New Roman" w:hint="eastAsia"/>
          <w:kern w:val="0"/>
          <w:sz w:val="32"/>
          <w:szCs w:val="32"/>
        </w:rPr>
        <w:t>不合格的</w:t>
      </w:r>
      <w:bookmarkStart w:id="0" w:name="_GoBack"/>
      <w:bookmarkEnd w:id="0"/>
      <w:r w:rsidR="00E7743D">
        <w:rPr>
          <w:rFonts w:ascii="Times New Roman" w:eastAsia="仿宋_GB2312" w:hAnsi="Times New Roman" w:hint="eastAsia"/>
          <w:kern w:val="0"/>
          <w:sz w:val="32"/>
          <w:szCs w:val="32"/>
        </w:rPr>
        <w:t>原因</w:t>
      </w:r>
      <w:r w:rsidR="00E7743D">
        <w:rPr>
          <w:rFonts w:ascii="Times New Roman" w:eastAsia="仿宋_GB2312" w:hAnsi="Times New Roman"/>
          <w:kern w:val="0"/>
          <w:sz w:val="32"/>
          <w:szCs w:val="32"/>
        </w:rPr>
        <w:t>可能是</w:t>
      </w:r>
      <w:r w:rsidRPr="00C03309">
        <w:rPr>
          <w:rFonts w:ascii="Times New Roman" w:eastAsia="仿宋_GB2312" w:hAnsi="Times New Roman"/>
          <w:kern w:val="0"/>
          <w:sz w:val="32"/>
          <w:szCs w:val="32"/>
        </w:rPr>
        <w:t>源水防护不当，水体受到污染；</w:t>
      </w:r>
      <w:r w:rsidR="00E7743D" w:rsidRPr="00E7743D">
        <w:rPr>
          <w:rFonts w:ascii="Times New Roman" w:eastAsia="仿宋_GB2312" w:hAnsi="Times New Roman" w:hint="eastAsia"/>
          <w:kern w:val="0"/>
          <w:sz w:val="32"/>
          <w:szCs w:val="32"/>
        </w:rPr>
        <w:t>部分企业对环境卫生监管不到位，</w:t>
      </w:r>
      <w:r w:rsidR="00E7743D">
        <w:rPr>
          <w:rFonts w:ascii="Times New Roman" w:eastAsia="仿宋_GB2312" w:hAnsi="Times New Roman" w:hint="eastAsia"/>
          <w:kern w:val="0"/>
          <w:sz w:val="32"/>
          <w:szCs w:val="32"/>
        </w:rPr>
        <w:t>工作人员</w:t>
      </w:r>
      <w:r w:rsidR="00E7743D" w:rsidRPr="00E7743D">
        <w:rPr>
          <w:rFonts w:ascii="Times New Roman" w:eastAsia="仿宋_GB2312" w:hAnsi="Times New Roman" w:hint="eastAsia"/>
          <w:kern w:val="0"/>
          <w:sz w:val="32"/>
          <w:szCs w:val="32"/>
        </w:rPr>
        <w:t>操作不够规范，生产过程中交叉污染</w:t>
      </w:r>
      <w:r w:rsidRPr="00C03309">
        <w:rPr>
          <w:rFonts w:ascii="Times New Roman" w:eastAsia="仿宋_GB2312" w:hAnsi="Times New Roman"/>
          <w:kern w:val="0"/>
          <w:sz w:val="32"/>
          <w:szCs w:val="32"/>
        </w:rPr>
        <w:t>；或者是包装材料清洗消毒有缺陷所致。</w:t>
      </w:r>
    </w:p>
    <w:sectPr w:rsidR="00C92FD3" w:rsidRPr="00C03309" w:rsidSect="00C472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41" w:rsidRDefault="00931541" w:rsidP="00117842">
      <w:r>
        <w:separator/>
      </w:r>
    </w:p>
  </w:endnote>
  <w:endnote w:type="continuationSeparator" w:id="0">
    <w:p w:rsidR="00931541" w:rsidRDefault="00931541" w:rsidP="0011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41" w:rsidRDefault="00931541" w:rsidP="00117842">
      <w:r>
        <w:separator/>
      </w:r>
    </w:p>
  </w:footnote>
  <w:footnote w:type="continuationSeparator" w:id="0">
    <w:p w:rsidR="00931541" w:rsidRDefault="00931541" w:rsidP="00117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E7"/>
    <w:rsid w:val="000C00C7"/>
    <w:rsid w:val="00117842"/>
    <w:rsid w:val="00167675"/>
    <w:rsid w:val="00202B4C"/>
    <w:rsid w:val="002E6AC0"/>
    <w:rsid w:val="003378A2"/>
    <w:rsid w:val="00393448"/>
    <w:rsid w:val="004154EA"/>
    <w:rsid w:val="00472A93"/>
    <w:rsid w:val="004738E6"/>
    <w:rsid w:val="0057315C"/>
    <w:rsid w:val="005975D8"/>
    <w:rsid w:val="006B3524"/>
    <w:rsid w:val="007070E7"/>
    <w:rsid w:val="00931541"/>
    <w:rsid w:val="00A91725"/>
    <w:rsid w:val="00B97684"/>
    <w:rsid w:val="00BC1E75"/>
    <w:rsid w:val="00C03309"/>
    <w:rsid w:val="00C472DC"/>
    <w:rsid w:val="00C92FD3"/>
    <w:rsid w:val="00E7743D"/>
    <w:rsid w:val="00F64B2D"/>
    <w:rsid w:val="00FA75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0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842"/>
    <w:rPr>
      <w:rFonts w:ascii="Calibri" w:eastAsia="宋体" w:hAnsi="Calibri" w:cs="Times New Roman"/>
      <w:sz w:val="18"/>
      <w:szCs w:val="18"/>
    </w:rPr>
  </w:style>
  <w:style w:type="paragraph" w:styleId="a4">
    <w:name w:val="footer"/>
    <w:basedOn w:val="a"/>
    <w:link w:val="Char0"/>
    <w:uiPriority w:val="99"/>
    <w:semiHidden/>
    <w:unhideWhenUsed/>
    <w:rsid w:val="001178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842"/>
    <w:rPr>
      <w:rFonts w:ascii="Calibri" w:eastAsia="宋体" w:hAnsi="Calibri" w:cs="Times New Roman"/>
      <w:sz w:val="18"/>
      <w:szCs w:val="18"/>
    </w:rPr>
  </w:style>
  <w:style w:type="paragraph" w:styleId="a5">
    <w:name w:val="List Paragraph"/>
    <w:basedOn w:val="a"/>
    <w:uiPriority w:val="34"/>
    <w:qFormat/>
    <w:rsid w:val="00472A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0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842"/>
    <w:rPr>
      <w:rFonts w:ascii="Calibri" w:eastAsia="宋体" w:hAnsi="Calibri" w:cs="Times New Roman"/>
      <w:sz w:val="18"/>
      <w:szCs w:val="18"/>
    </w:rPr>
  </w:style>
  <w:style w:type="paragraph" w:styleId="a4">
    <w:name w:val="footer"/>
    <w:basedOn w:val="a"/>
    <w:link w:val="Char0"/>
    <w:uiPriority w:val="99"/>
    <w:semiHidden/>
    <w:unhideWhenUsed/>
    <w:rsid w:val="001178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842"/>
    <w:rPr>
      <w:rFonts w:ascii="Calibri" w:eastAsia="宋体" w:hAnsi="Calibri" w:cs="Times New Roman"/>
      <w:sz w:val="18"/>
      <w:szCs w:val="18"/>
    </w:rPr>
  </w:style>
  <w:style w:type="paragraph" w:styleId="a5">
    <w:name w:val="List Paragraph"/>
    <w:basedOn w:val="a"/>
    <w:uiPriority w:val="34"/>
    <w:qFormat/>
    <w:rsid w:val="00472A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0809">
      <w:bodyDiv w:val="1"/>
      <w:marLeft w:val="0"/>
      <w:marRight w:val="0"/>
      <w:marTop w:val="0"/>
      <w:marBottom w:val="0"/>
      <w:divBdr>
        <w:top w:val="none" w:sz="0" w:space="0" w:color="auto"/>
        <w:left w:val="none" w:sz="0" w:space="0" w:color="auto"/>
        <w:bottom w:val="none" w:sz="0" w:space="0" w:color="auto"/>
        <w:right w:val="none" w:sz="0" w:space="0" w:color="auto"/>
      </w:divBdr>
    </w:div>
    <w:div w:id="262423833">
      <w:bodyDiv w:val="1"/>
      <w:marLeft w:val="0"/>
      <w:marRight w:val="0"/>
      <w:marTop w:val="0"/>
      <w:marBottom w:val="0"/>
      <w:divBdr>
        <w:top w:val="none" w:sz="0" w:space="0" w:color="auto"/>
        <w:left w:val="none" w:sz="0" w:space="0" w:color="auto"/>
        <w:bottom w:val="none" w:sz="0" w:space="0" w:color="auto"/>
        <w:right w:val="none" w:sz="0" w:space="0" w:color="auto"/>
      </w:divBdr>
    </w:div>
    <w:div w:id="984628460">
      <w:bodyDiv w:val="1"/>
      <w:marLeft w:val="0"/>
      <w:marRight w:val="0"/>
      <w:marTop w:val="0"/>
      <w:marBottom w:val="0"/>
      <w:divBdr>
        <w:top w:val="none" w:sz="0" w:space="0" w:color="auto"/>
        <w:left w:val="none" w:sz="0" w:space="0" w:color="auto"/>
        <w:bottom w:val="none" w:sz="0" w:space="0" w:color="auto"/>
        <w:right w:val="none" w:sz="0" w:space="0" w:color="auto"/>
      </w:divBdr>
    </w:div>
    <w:div w:id="16179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165</Words>
  <Characters>941</Characters>
  <Application>Microsoft Office Word</Application>
  <DocSecurity>0</DocSecurity>
  <Lines>7</Lines>
  <Paragraphs>2</Paragraphs>
  <ScaleCrop>false</ScaleCrop>
  <Company>微软中国</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·小化</dc:creator>
  <cp:lastModifiedBy>微软用户</cp:lastModifiedBy>
  <cp:revision>3</cp:revision>
  <dcterms:created xsi:type="dcterms:W3CDTF">2019-10-10T03:02:00Z</dcterms:created>
  <dcterms:modified xsi:type="dcterms:W3CDTF">2019-10-17T06:17:00Z</dcterms:modified>
</cp:coreProperties>
</file>