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pPr>
      <w:r>
        <w:rPr>
          <w:rFonts w:ascii="Times New Roman"/>
        </w:rPr>
        <w:t>ICS</w:t>
      </w:r>
      <w:r>
        <w:rPr>
          <w:rFonts w:hint="eastAsia" w:ascii="MS Mincho" w:hAnsi="MS Mincho" w:eastAsia="MS Mincho" w:cs="MS Mincho"/>
        </w:rPr>
        <w:t> </w:t>
      </w:r>
      <w:r>
        <w:t xml:space="preserve"> </w:t>
      </w:r>
    </w:p>
    <w:p>
      <w:pPr>
        <w:pStyle w:val="127"/>
      </w:pPr>
    </w:p>
    <w:tbl>
      <w:tblPr>
        <w:tblStyle w:val="36"/>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7"/>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iuL+zVAAAABwEAAA8AAAAAAAAAAQAgAAAAIgAAAGRycy9kb3ducmV2LnhtbFBLAQIUABQA&#10;AAAIAIdO4kB/eoSc8wEAANIDAAAOAAAAAAAAAAEAIAAAACQBAABkcnMvZTJvRG9jLnhtbFBLBQYA&#10;AAAABgAGAFkBAACJBQAAAAA=&#10;">
                      <v:fill on="t" focussize="0,0"/>
                      <v:stroke on="f"/>
                      <v:imagedata o:title=""/>
                      <o:lock v:ext="edit" aspectratio="f"/>
                    </v:rect>
                  </w:pict>
                </mc:Fallback>
              </mc:AlternateContent>
            </w:r>
          </w:p>
        </w:tc>
      </w:tr>
    </w:tbl>
    <w:p>
      <w:pPr>
        <w:pStyle w:val="113"/>
      </w:pPr>
      <w:r>
        <w:t>DB</w:t>
      </w:r>
      <w:bookmarkStart w:id="0" w:name="c3"/>
      <w:r>
        <w:fldChar w:fldCharType="begin">
          <w:ffData>
            <w:name w:val="c3"/>
            <w:enabled/>
            <w:calcOnExit w:val="0"/>
            <w:textInput>
              <w:default w:val="36"/>
              <w:maxLength w:val="2"/>
            </w:textInput>
          </w:ffData>
        </w:fldChar>
      </w:r>
      <w:r>
        <w:instrText xml:space="preserve"> FORMTEXT </w:instrText>
      </w:r>
      <w:r>
        <w:fldChar w:fldCharType="separate"/>
      </w:r>
      <w:r>
        <w:t>36</w:t>
      </w:r>
      <w:r>
        <w:fldChar w:fldCharType="end"/>
      </w:r>
      <w:bookmarkEnd w:id="0"/>
    </w:p>
    <w:p>
      <w:pPr>
        <w:pStyle w:val="114"/>
      </w:pPr>
      <w:bookmarkStart w:id="1" w:name="c4"/>
      <w:r>
        <w:fldChar w:fldCharType="begin">
          <w:ffData>
            <w:name w:val="c4"/>
            <w:enabled/>
            <w:calcOnExit w:val="0"/>
            <w:textInput>
              <w:default w:val="江西省"/>
            </w:textInput>
          </w:ffData>
        </w:fldChar>
      </w:r>
      <w:r>
        <w:instrText xml:space="preserve"> FORMTEXT </w:instrText>
      </w:r>
      <w:r>
        <w:fldChar w:fldCharType="separate"/>
      </w:r>
      <w:r>
        <w:t>江西省</w:t>
      </w:r>
      <w:r>
        <w:fldChar w:fldCharType="end"/>
      </w:r>
      <w:bookmarkEnd w:id="1"/>
      <w:r>
        <w:rPr>
          <w:rFonts w:hint="eastAsia"/>
        </w:rPr>
        <w:t>地方标准</w:t>
      </w:r>
    </w:p>
    <w:p>
      <w:pPr>
        <w:pStyle w:val="51"/>
        <w:rPr>
          <w:rFonts w:hAnsi="黑体"/>
        </w:rPr>
      </w:pPr>
      <w:r>
        <w:rPr>
          <w:rFonts w:ascii="Times New Roman"/>
        </w:rPr>
        <w:t xml:space="preserve">DB </w:t>
      </w:r>
      <w:bookmarkStart w:id="2" w:name="StdNo0"/>
      <w:r>
        <w:rPr>
          <w:rFonts w:hAnsi="黑体"/>
        </w:rPr>
        <w:fldChar w:fldCharType="begin">
          <w:ffData>
            <w:name w:val="StdNo0"/>
            <w:enabled/>
            <w:calcOnExit w:val="0"/>
            <w:textInput>
              <w:default w:val="36"/>
              <w:maxLength w:val="2"/>
            </w:textInput>
          </w:ffData>
        </w:fldChar>
      </w:r>
      <w:r>
        <w:rPr>
          <w:rFonts w:hAnsi="黑体"/>
        </w:rPr>
        <w:instrText xml:space="preserve"> FORMTEXT </w:instrText>
      </w:r>
      <w:r>
        <w:rPr>
          <w:rFonts w:hAnsi="黑体"/>
        </w:rPr>
        <w:fldChar w:fldCharType="separate"/>
      </w:r>
      <w:r>
        <w:rPr>
          <w:rFonts w:hAnsi="黑体"/>
        </w:rPr>
        <w:t>36</w:t>
      </w:r>
      <w:r>
        <w:rPr>
          <w:rFonts w:hAnsi="黑体"/>
        </w:rPr>
        <w:fldChar w:fldCharType="end"/>
      </w:r>
      <w:bookmarkEnd w:id="2"/>
      <w:r>
        <w:rPr>
          <w:rFonts w:hAnsi="黑体"/>
        </w:rPr>
        <w:t xml:space="preserve">/ </w:t>
      </w:r>
      <w:bookmarkStart w:id="3"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3"/>
      <w:r>
        <w:rPr>
          <w:rFonts w:hAnsi="黑体"/>
        </w:rPr>
        <w:t>—</w:t>
      </w:r>
      <w:bookmarkStart w:id="4"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4"/>
    </w:p>
    <w:tbl>
      <w:tblPr>
        <w:tblStyle w:val="36"/>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80"/>
            </w:pPr>
            <w:bookmarkStart w:id="5"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BeRvvK7wEAANI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5"/>
          </w:p>
        </w:tc>
      </w:tr>
    </w:tbl>
    <w:p>
      <w:pPr>
        <w:pStyle w:val="51"/>
        <w:rPr>
          <w:rFonts w:hAnsi="黑体"/>
        </w:rPr>
      </w:pPr>
    </w:p>
    <w:p>
      <w:pPr>
        <w:pStyle w:val="51"/>
        <w:rPr>
          <w:rFonts w:hAnsi="黑体"/>
        </w:rPr>
      </w:pPr>
    </w:p>
    <w:p>
      <w:pPr>
        <w:pStyle w:val="82"/>
      </w:pPr>
      <w:r>
        <w:t>高速公路服务</w:t>
      </w:r>
      <w:r>
        <w:rPr>
          <w:rFonts w:hint="eastAsia"/>
        </w:rPr>
        <w:t>区</w:t>
      </w:r>
      <w:r>
        <w:t>污水处理</w:t>
      </w:r>
      <w:r>
        <w:rPr>
          <w:rFonts w:hint="eastAsia"/>
        </w:rPr>
        <w:t>（A/O工艺）运维</w:t>
      </w:r>
      <w:r>
        <w:t>指南</w:t>
      </w:r>
    </w:p>
    <w:p>
      <w:pPr>
        <w:pStyle w:val="83"/>
      </w:pPr>
      <w:r>
        <w:t>Highway Service Area Wastewater Treatment (A/O Process) Operation and Maintenance Guide</w:t>
      </w:r>
    </w:p>
    <w:tbl>
      <w:tblPr>
        <w:tblStyle w:val="36"/>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5"/>
              <w:rPr>
                <w:sz w:val="36"/>
                <w:szCs w:val="36"/>
              </w:rPr>
            </w:pPr>
            <w:r>
              <w:rPr>
                <w:sz w:val="36"/>
                <w:szCs w:val="36"/>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ia6S1QAAAAoBAAAPAAAAAAAAAAEAIAAAACIAAABkcnMvZG93bnJldi54bWxQSwECFAAUAAAACACH&#10;TuJA21768+4BAADSAwAADgAAAAAAAAABACAAAAAkAQAAZHJzL2Uyb0RvYy54bWxQSwUGAAAAAAYA&#10;BgBZAQAAhAUAAAAA&#10;">
                      <v:fill on="t" focussize="0,0"/>
                      <v:stroke on="f"/>
                      <v:imagedata o:title=""/>
                      <o:lock v:ext="edit" aspectratio="f"/>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6"/>
            </w:pPr>
            <w:bookmarkStart w:id="6" w:name="WCRQ"/>
            <w:r>
              <w:fldChar w:fldCharType="begin">
                <w:ffData>
                  <w:name w:val="WCRQ"/>
                  <w:enabled/>
                  <w:calcOnExit w:val="0"/>
                  <w:textInput/>
                </w:ffData>
              </w:fldChar>
            </w:r>
            <w:r>
              <w:instrText xml:space="preserve"> FORMTEXT </w:instrText>
            </w:r>
            <w:r>
              <w:fldChar w:fldCharType="separate"/>
            </w:r>
            <w:r>
              <w:t>     </w:t>
            </w:r>
            <w:r>
              <w:fldChar w:fldCharType="end"/>
            </w:r>
            <w:bookmarkEnd w:id="6"/>
          </w:p>
        </w:tc>
      </w:tr>
    </w:tbl>
    <w:p>
      <w:pPr>
        <w:pStyle w:val="134"/>
        <w:framePr w:hAnchor="page" w:x="1441" w:y="14071"/>
      </w:pPr>
      <w:r>
        <w:rPr>
          <w:rFonts w:ascii="黑体"/>
        </w:rPr>
        <w:t>2019-</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pPr>
        <w:pStyle w:val="135"/>
        <w:framePr w:hAnchor="page" w:x="7216" w:y="14116"/>
      </w:pPr>
      <w:r>
        <w:rPr>
          <w:rFonts w:ascii="黑体"/>
        </w:rPr>
        <w:t>2019-</w:t>
      </w:r>
      <w:bookmarkStart w:id="8"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ascii="黑体"/>
        </w:rPr>
        <w:t>-</w:t>
      </w:r>
      <w:bookmarkStart w:id="9"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pPr>
        <w:pStyle w:val="115"/>
      </w:pPr>
      <w:r>
        <w:fldChar w:fldCharType="begin">
          <w:ffData>
            <w:name w:val="fm"/>
            <w:enabled/>
            <w:calcOnExit w:val="0"/>
            <w:textInput>
              <w:default w:val="江西省市场监督管理局"/>
            </w:textInput>
          </w:ffData>
        </w:fldChar>
      </w:r>
      <w:bookmarkStart w:id="10" w:name="fm"/>
      <w:r>
        <w:instrText xml:space="preserve"> FORMTEXT </w:instrText>
      </w:r>
      <w:r>
        <w:fldChar w:fldCharType="separate"/>
      </w:r>
      <w:r>
        <w:rPr>
          <w:rFonts w:hint="eastAsia"/>
        </w:rPr>
        <w:t>江西省市场监督管理局</w:t>
      </w:r>
      <w:r>
        <w:fldChar w:fldCharType="end"/>
      </w:r>
      <w:bookmarkEnd w:id="10"/>
      <w:r>
        <w:rPr>
          <w:rFonts w:hint="eastAsia" w:ascii="MS Mincho" w:hAnsi="MS Mincho" w:eastAsia="MS Mincho" w:cs="MS Mincho"/>
        </w:rPr>
        <w:t>   </w:t>
      </w:r>
      <w:r>
        <w:rPr>
          <w:rStyle w:val="77"/>
          <w:rFonts w:hint="eastAsia"/>
        </w:rPr>
        <w:t>发布</w:t>
      </w:r>
    </w:p>
    <w:p>
      <w:pPr>
        <w:pStyle w:val="26"/>
        <w:sectPr>
          <w:footerReference r:id="rId4" w:type="default"/>
          <w:headerReference r:id="rId3" w:type="even"/>
          <w:footerReference r:id="rId5" w:type="even"/>
          <w:pgSz w:w="11906" w:h="16838"/>
          <w:pgMar w:top="567" w:right="850" w:bottom="1134" w:left="1418" w:header="0" w:footer="0" w:gutter="0"/>
          <w:pgNumType w:fmt="upperRoman" w:start="1"/>
          <w:cols w:space="425" w:num="1"/>
          <w:formProt w:val="0"/>
          <w:docGrid w:type="lines" w:linePitch="312" w:charSpace="0"/>
        </w:sectPr>
      </w:pPr>
      <w:r>
        <mc:AlternateContent>
          <mc:Choice Requires="wps">
            <w:drawing>
              <wp:anchor distT="0" distB="0" distL="114300" distR="114300" simplePos="0" relativeHeight="251667456" behindDoc="0" locked="0" layoutInCell="1" allowOverlap="1">
                <wp:simplePos x="0" y="0"/>
                <wp:positionH relativeFrom="column">
                  <wp:posOffset>67310</wp:posOffset>
                </wp:positionH>
                <wp:positionV relativeFrom="paragraph">
                  <wp:posOffset>8960485</wp:posOffset>
                </wp:positionV>
                <wp:extent cx="6120130" cy="0"/>
                <wp:effectExtent l="13970" t="13970" r="9525" b="5080"/>
                <wp:wrapNone/>
                <wp:docPr id="7"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5.3pt;margin-top:705.55pt;height:0pt;width:481.9pt;z-index:251667456;mso-width-relative:page;mso-height-relative:page;" filled="f" stroked="t" coordsize="21600,21600" o:gfxdata="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19tis1gAA&#10;AAwBAAAPAAAAAAAAAAEAIAAAACIAAABkcnMvZG93bnJldi54bWxQSwECFAAUAAAACACHTuJA8s+8&#10;S64BAABRAwAADgAAAAAAAAABACAAAAAlAQAAZHJzL2Uyb0RvYy54bWxQSwUGAAAAAAYABgBZAQAA&#10;R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JB4l/XAAAA&#10;CQEAAA8AAAAAAAAAAQAgAAAAIgAAAGRycy9kb3ducmV2LnhtbFBLAQIUABQAAAAIAIdO4kD4+ODp&#10;rAEAAFEDAAAOAAAAAAAAAAEAIAAAACYBAABkcnMvZTJvRG9jLnhtbFBLBQYAAAAABgAGAFkBAABE&#10;BQAAAAA=&#10;">
                <v:fill on="f" focussize="0,0"/>
                <v:stroke color="#000000" joinstyle="round"/>
                <v:imagedata o:title=""/>
                <o:lock v:ext="edit" aspectratio="f"/>
              </v:line>
            </w:pict>
          </mc:Fallback>
        </mc:AlternateContent>
      </w:r>
    </w:p>
    <w:p>
      <w:pPr>
        <w:pStyle w:val="26"/>
        <w:spacing w:before="640" w:after="560" w:line="460" w:lineRule="exact"/>
        <w:ind w:firstLine="3936" w:firstLineChars="1230"/>
        <w:rPr>
          <w:rFonts w:ascii="黑体" w:hAnsi="黑体" w:eastAsia="黑体"/>
          <w:sz w:val="32"/>
          <w:szCs w:val="32"/>
        </w:rPr>
      </w:pPr>
      <w:r>
        <w:rPr>
          <w:rFonts w:hint="eastAsia" w:ascii="黑体" w:hAnsi="黑体" w:eastAsia="黑体"/>
          <w:sz w:val="32"/>
          <w:szCs w:val="32"/>
        </w:rPr>
        <w:t>目 次</w:t>
      </w:r>
    </w:p>
    <w:p>
      <w:pPr>
        <w:pStyle w:val="22"/>
        <w:tabs>
          <w:tab w:val="right" w:leader="dot" w:pos="9354"/>
          <w:tab w:val="clear" w:pos="1875"/>
          <w:tab w:val="clear" w:pos="9242"/>
        </w:tabs>
        <w:spacing w:before="78" w:after="78"/>
        <w:rPr>
          <w:lang w:val="zh-CN"/>
        </w:rPr>
      </w:pPr>
      <w:r>
        <w:rPr>
          <w:rFonts w:hint="eastAsia"/>
        </w:rPr>
        <w:t>前言</w:t>
      </w:r>
      <w:r>
        <w:rPr>
          <w:lang w:val="zh-CN"/>
        </w:rPr>
        <w:tab/>
      </w:r>
      <w:r>
        <w:rPr>
          <w:rFonts w:hint="eastAsia"/>
          <w:lang w:val="zh-CN"/>
        </w:rPr>
        <w:t>Ⅱ</w:t>
      </w:r>
    </w:p>
    <w:p>
      <w:pPr>
        <w:pStyle w:val="22"/>
        <w:tabs>
          <w:tab w:val="right" w:leader="dot" w:pos="9354"/>
          <w:tab w:val="clear" w:pos="1875"/>
          <w:tab w:val="clear" w:pos="9242"/>
        </w:tabs>
        <w:spacing w:before="78" w:after="78"/>
      </w:pPr>
      <w:r>
        <w:rPr>
          <w:rFonts w:hint="eastAsia"/>
        </w:rPr>
        <w:t>1适用范围</w:t>
      </w:r>
      <w:r>
        <w:tab/>
      </w:r>
      <w:r>
        <w:rPr>
          <w:rFonts w:hint="eastAsia"/>
        </w:rPr>
        <w:t>1</w:t>
      </w:r>
    </w:p>
    <w:p>
      <w:pPr>
        <w:pStyle w:val="22"/>
        <w:tabs>
          <w:tab w:val="right" w:leader="dot" w:pos="9354"/>
          <w:tab w:val="clear" w:pos="1875"/>
          <w:tab w:val="clear" w:pos="9242"/>
        </w:tabs>
        <w:spacing w:before="78" w:after="78"/>
        <w:rPr>
          <w:lang w:val="zh-CN"/>
        </w:rPr>
      </w:pPr>
      <w:r>
        <w:rPr>
          <w:rFonts w:hint="eastAsia"/>
        </w:rPr>
        <w:t>2规范性引用文件</w:t>
      </w:r>
      <w:r>
        <w:rPr>
          <w:lang w:val="zh-CN"/>
        </w:rPr>
        <w:tab/>
      </w:r>
      <w:r>
        <w:rPr>
          <w:rFonts w:hint="eastAsia"/>
          <w:lang w:val="zh-CN"/>
        </w:rPr>
        <w:t>1</w:t>
      </w:r>
    </w:p>
    <w:p>
      <w:pPr>
        <w:pStyle w:val="22"/>
        <w:tabs>
          <w:tab w:val="right" w:leader="dot" w:pos="9354"/>
          <w:tab w:val="clear" w:pos="1875"/>
          <w:tab w:val="clear" w:pos="9242"/>
        </w:tabs>
        <w:spacing w:before="78" w:after="78"/>
        <w:rPr>
          <w:lang w:val="zh-CN"/>
        </w:rPr>
      </w:pPr>
      <w:r>
        <w:rPr>
          <w:rFonts w:hint="eastAsia"/>
        </w:rPr>
        <w:t>3术语和定义</w:t>
      </w:r>
      <w:r>
        <w:rPr>
          <w:lang w:val="zh-CN"/>
        </w:rPr>
        <w:tab/>
      </w:r>
      <w:r>
        <w:rPr>
          <w:rFonts w:hint="eastAsia"/>
          <w:lang w:val="zh-CN"/>
        </w:rPr>
        <w:t>1</w:t>
      </w:r>
    </w:p>
    <w:p>
      <w:pPr>
        <w:pStyle w:val="22"/>
        <w:tabs>
          <w:tab w:val="right" w:leader="dot" w:pos="9354"/>
          <w:tab w:val="clear" w:pos="1875"/>
          <w:tab w:val="clear" w:pos="9242"/>
        </w:tabs>
        <w:spacing w:before="78" w:after="78"/>
        <w:rPr>
          <w:lang w:val="zh-CN"/>
        </w:rPr>
      </w:pPr>
      <w:r>
        <w:rPr>
          <w:rFonts w:hint="eastAsia"/>
        </w:rPr>
        <w:t>4基本规定</w:t>
      </w:r>
      <w:r>
        <w:rPr>
          <w:lang w:val="zh-CN"/>
        </w:rPr>
        <w:tab/>
      </w:r>
      <w:r>
        <w:rPr>
          <w:lang w:val="zh-CN"/>
        </w:rPr>
        <w:t>4</w:t>
      </w:r>
    </w:p>
    <w:p>
      <w:pPr>
        <w:pStyle w:val="22"/>
        <w:tabs>
          <w:tab w:val="right" w:leader="dot" w:pos="9354"/>
          <w:tab w:val="clear" w:pos="1875"/>
          <w:tab w:val="clear" w:pos="9242"/>
        </w:tabs>
        <w:spacing w:before="78" w:after="78"/>
        <w:rPr>
          <w:color w:val="000000" w:themeColor="text1"/>
          <w:lang w:val="zh-CN"/>
          <w14:textFill>
            <w14:solidFill>
              <w14:schemeClr w14:val="tx1"/>
            </w14:solidFill>
          </w14:textFill>
        </w:rPr>
      </w:pPr>
      <w:r>
        <w:rPr>
          <w:rFonts w:hint="eastAsia"/>
        </w:rPr>
        <w:t>5调节池运维</w:t>
      </w:r>
      <w:r>
        <w:rPr>
          <w:lang w:val="zh-CN"/>
        </w:rPr>
        <w:tab/>
      </w:r>
      <w:r>
        <w:rPr>
          <w:rFonts w:hint="eastAsia"/>
          <w:color w:val="000000" w:themeColor="text1"/>
          <w:lang w:val="zh-CN"/>
          <w14:textFill>
            <w14:solidFill>
              <w14:schemeClr w14:val="tx1"/>
            </w14:solidFill>
          </w14:textFill>
        </w:rPr>
        <w:t>6</w:t>
      </w:r>
    </w:p>
    <w:p>
      <w:pPr>
        <w:pStyle w:val="22"/>
        <w:tabs>
          <w:tab w:val="right" w:leader="dot" w:pos="9354"/>
          <w:tab w:val="clear" w:pos="1875"/>
          <w:tab w:val="clear" w:pos="9242"/>
        </w:tabs>
        <w:spacing w:before="78" w:after="78"/>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提升泵运维</w:t>
      </w:r>
      <w:r>
        <w:rPr>
          <w:color w:val="000000" w:themeColor="text1"/>
          <w:lang w:val="zh-CN"/>
          <w14:textFill>
            <w14:solidFill>
              <w14:schemeClr w14:val="tx1"/>
            </w14:solidFill>
          </w14:textFill>
        </w:rPr>
        <w:tab/>
      </w:r>
      <w:r>
        <w:rPr>
          <w:color w:val="000000" w:themeColor="text1"/>
          <w:lang w:val="zh-CN"/>
          <w14:textFill>
            <w14:solidFill>
              <w14:schemeClr w14:val="tx1"/>
            </w14:solidFill>
          </w14:textFill>
        </w:rPr>
        <w:t>6</w:t>
      </w:r>
    </w:p>
    <w:p>
      <w:pPr>
        <w:pStyle w:val="22"/>
        <w:tabs>
          <w:tab w:val="right" w:leader="dot" w:pos="9354"/>
          <w:tab w:val="clear" w:pos="1875"/>
          <w:tab w:val="clear" w:pos="9242"/>
        </w:tabs>
        <w:spacing w:before="78" w:after="78"/>
        <w:rPr>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罗茨风机运维</w:t>
      </w:r>
      <w:r>
        <w:rPr>
          <w:color w:val="000000" w:themeColor="text1"/>
          <w:lang w:val="zh-CN"/>
          <w14:textFill>
            <w14:solidFill>
              <w14:schemeClr w14:val="tx1"/>
            </w14:solidFill>
          </w14:textFill>
        </w:rPr>
        <w:tab/>
      </w:r>
      <w:r>
        <w:rPr>
          <w:color w:val="000000" w:themeColor="text1"/>
          <w:lang w:val="zh-CN"/>
          <w14:textFill>
            <w14:solidFill>
              <w14:schemeClr w14:val="tx1"/>
            </w14:solidFill>
          </w14:textFill>
        </w:rPr>
        <w:t>7</w:t>
      </w:r>
    </w:p>
    <w:p>
      <w:pPr>
        <w:pStyle w:val="22"/>
        <w:tabs>
          <w:tab w:val="right" w:leader="dot" w:pos="9354"/>
          <w:tab w:val="clear" w:pos="1875"/>
          <w:tab w:val="clear" w:pos="9242"/>
        </w:tabs>
        <w:spacing w:before="78" w:after="78"/>
        <w:rPr>
          <w:color w:val="000000" w:themeColor="text1"/>
          <w:lang w:val="zh-CN"/>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生化池运维</w:t>
      </w:r>
      <w:r>
        <w:rPr>
          <w:color w:val="000000" w:themeColor="text1"/>
          <w:lang w:val="zh-CN"/>
          <w14:textFill>
            <w14:solidFill>
              <w14:schemeClr w14:val="tx1"/>
            </w14:solidFill>
          </w14:textFill>
        </w:rPr>
        <w:tab/>
      </w:r>
      <w:r>
        <w:rPr>
          <w:color w:val="000000" w:themeColor="text1"/>
          <w:lang w:val="zh-CN"/>
          <w14:textFill>
            <w14:solidFill>
              <w14:schemeClr w14:val="tx1"/>
            </w14:solidFill>
          </w14:textFill>
        </w:rPr>
        <w:t>8</w:t>
      </w:r>
    </w:p>
    <w:p>
      <w:pPr>
        <w:pStyle w:val="22"/>
        <w:tabs>
          <w:tab w:val="right" w:leader="dot" w:pos="9354"/>
          <w:tab w:val="clear" w:pos="1875"/>
          <w:tab w:val="clear" w:pos="9242"/>
        </w:tabs>
        <w:spacing w:before="78" w:after="78"/>
        <w:rPr>
          <w:color w:val="000000" w:themeColor="text1"/>
          <w14:textFill>
            <w14:solidFill>
              <w14:schemeClr w14:val="tx1"/>
            </w14:solidFill>
          </w14:textFill>
        </w:rPr>
      </w:pPr>
      <w:r>
        <w:rPr>
          <w:rFonts w:hint="eastAsia"/>
          <w:color w:val="000000" w:themeColor="text1"/>
          <w14:textFill>
            <w14:solidFill>
              <w14:schemeClr w14:val="tx1"/>
            </w14:solidFill>
          </w14:textFill>
        </w:rPr>
        <w:t>9压缩机运维</w:t>
      </w:r>
      <w:r>
        <w:rPr>
          <w:color w:val="000000" w:themeColor="text1"/>
          <w:lang w:val="zh-CN"/>
          <w14:textFill>
            <w14:solidFill>
              <w14:schemeClr w14:val="tx1"/>
            </w14:solidFill>
          </w14:textFill>
        </w:rPr>
        <w:tab/>
      </w:r>
      <w:r>
        <w:rPr>
          <w:color w:val="000000" w:themeColor="text1"/>
          <w:lang w:val="zh-CN"/>
          <w14:textFill>
            <w14:solidFill>
              <w14:schemeClr w14:val="tx1"/>
            </w14:solidFill>
          </w14:textFill>
        </w:rPr>
        <w:t>8</w:t>
      </w:r>
    </w:p>
    <w:p>
      <w:pPr>
        <w:pStyle w:val="22"/>
        <w:tabs>
          <w:tab w:val="right" w:leader="dot" w:pos="9354"/>
          <w:tab w:val="clear" w:pos="1875"/>
          <w:tab w:val="clear" w:pos="9242"/>
        </w:tabs>
        <w:spacing w:before="78" w:after="78"/>
        <w:rPr>
          <w:color w:val="000000" w:themeColor="text1"/>
          <w14:textFill>
            <w14:solidFill>
              <w14:schemeClr w14:val="tx1"/>
            </w14:solidFill>
          </w14:textFill>
        </w:rPr>
      </w:pPr>
      <w:r>
        <w:rPr>
          <w:rFonts w:hint="eastAsia"/>
          <w:color w:val="000000" w:themeColor="text1"/>
          <w14:textFill>
            <w14:solidFill>
              <w14:schemeClr w14:val="tx1"/>
            </w14:solidFill>
          </w14:textFill>
        </w:rPr>
        <w:t>10 PLC控制系统运维</w:t>
      </w:r>
      <w:r>
        <w:rPr>
          <w:color w:val="000000" w:themeColor="text1"/>
          <w:lang w:val="zh-CN"/>
          <w14:textFill>
            <w14:solidFill>
              <w14:schemeClr w14:val="tx1"/>
            </w14:solidFill>
          </w14:textFill>
        </w:rPr>
        <w:tab/>
      </w:r>
      <w:r>
        <w:rPr>
          <w:color w:val="000000" w:themeColor="text1"/>
          <w:lang w:val="zh-CN"/>
          <w14:textFill>
            <w14:solidFill>
              <w14:schemeClr w14:val="tx1"/>
            </w14:solidFill>
          </w14:textFill>
        </w:rPr>
        <w:t>8</w:t>
      </w:r>
    </w:p>
    <w:p>
      <w:pPr>
        <w:pStyle w:val="22"/>
        <w:tabs>
          <w:tab w:val="right" w:leader="dot" w:pos="9354"/>
          <w:tab w:val="clear" w:pos="1875"/>
          <w:tab w:val="clear" w:pos="9242"/>
        </w:tabs>
        <w:spacing w:before="78" w:after="78"/>
        <w:rPr>
          <w:color w:val="000000" w:themeColor="text1"/>
          <w14:textFill>
            <w14:solidFill>
              <w14:schemeClr w14:val="tx1"/>
            </w14:solidFill>
          </w14:textFill>
        </w:rPr>
      </w:pPr>
      <w:r>
        <w:rPr>
          <w:rFonts w:hint="eastAsia"/>
          <w:color w:val="000000" w:themeColor="text1"/>
          <w14:textFill>
            <w14:solidFill>
              <w14:schemeClr w14:val="tx1"/>
            </w14:solidFill>
          </w14:textFill>
        </w:rPr>
        <w:t>11 化验与检验</w:t>
      </w:r>
      <w:r>
        <w:rPr>
          <w:color w:val="000000" w:themeColor="text1"/>
          <w:lang w:val="zh-CN"/>
          <w14:textFill>
            <w14:solidFill>
              <w14:schemeClr w14:val="tx1"/>
            </w14:solidFill>
          </w14:textFill>
        </w:rPr>
        <w:tab/>
      </w:r>
      <w:r>
        <w:rPr>
          <w:color w:val="000000" w:themeColor="text1"/>
          <w:lang w:val="zh-CN"/>
          <w14:textFill>
            <w14:solidFill>
              <w14:schemeClr w14:val="tx1"/>
            </w14:solidFill>
          </w14:textFill>
        </w:rPr>
        <w:t>9</w:t>
      </w:r>
    </w:p>
    <w:p>
      <w:pPr>
        <w:pStyle w:val="22"/>
        <w:tabs>
          <w:tab w:val="right" w:leader="dot" w:pos="9354"/>
          <w:tab w:val="clear" w:pos="1875"/>
          <w:tab w:val="clear" w:pos="9242"/>
        </w:tabs>
        <w:spacing w:before="78" w:after="78"/>
        <w:rPr>
          <w:rFonts w:hAnsi="宋体"/>
        </w:rPr>
      </w:pPr>
      <w:r>
        <w:rPr>
          <w:rFonts w:hint="eastAsia" w:hAnsi="宋体"/>
        </w:rPr>
        <w:t>附录 A(资料性附录)</w:t>
      </w:r>
      <w:r>
        <w:rPr>
          <w:rFonts w:hint="eastAsia"/>
          <w:lang w:val="zh-CN"/>
        </w:rPr>
        <w:t xml:space="preserve"> 服务区污水处理主要设备维修规程</w:t>
      </w:r>
      <w:r>
        <w:rPr>
          <w:rFonts w:hAnsi="宋体"/>
          <w:lang w:val="zh-CN"/>
        </w:rPr>
        <w:tab/>
      </w:r>
      <w:r>
        <w:rPr>
          <w:rFonts w:hAnsi="宋体"/>
          <w:color w:val="000000" w:themeColor="text1"/>
          <w:lang w:val="zh-CN"/>
          <w14:textFill>
            <w14:solidFill>
              <w14:schemeClr w14:val="tx1"/>
            </w14:solidFill>
          </w14:textFill>
        </w:rPr>
        <w:t>10</w:t>
      </w:r>
    </w:p>
    <w:p>
      <w:pPr>
        <w:pStyle w:val="22"/>
        <w:tabs>
          <w:tab w:val="right" w:leader="dot" w:pos="9354"/>
          <w:tab w:val="clear" w:pos="1875"/>
          <w:tab w:val="clear" w:pos="9242"/>
        </w:tabs>
        <w:spacing w:before="78" w:after="78"/>
        <w:rPr>
          <w:lang w:val="zh-CN"/>
        </w:rPr>
      </w:pPr>
      <w:r>
        <w:rPr>
          <w:rFonts w:hint="eastAsia" w:hAnsi="宋体"/>
        </w:rPr>
        <w:t>附录 B(资料性附录) 生化启动调试</w:t>
      </w:r>
      <w:r>
        <w:rPr>
          <w:rFonts w:hAnsi="宋体"/>
          <w:lang w:val="zh-CN"/>
        </w:rPr>
        <w:tab/>
      </w:r>
      <w:r>
        <w:rPr>
          <w:rFonts w:hint="eastAsia"/>
          <w:lang w:val="zh-CN"/>
        </w:rPr>
        <w:t>16</w:t>
      </w:r>
    </w:p>
    <w:p>
      <w:pPr>
        <w:pStyle w:val="54"/>
      </w:pPr>
      <w:r>
        <w:rPr>
          <w:rFonts w:hint="eastAsia"/>
        </w:rPr>
        <w:t>前言</w:t>
      </w:r>
    </w:p>
    <w:p>
      <w:pPr>
        <w:pStyle w:val="26"/>
        <w:spacing w:line="360" w:lineRule="auto"/>
        <w:ind w:firstLine="840" w:firstLineChars="400"/>
      </w:pPr>
      <w:r>
        <w:rPr>
          <w:rFonts w:hint="eastAsia"/>
        </w:rPr>
        <w:t>本标准按照GB/T 1.1-2009《标准化工作导则  第1部分：标准的结构和编写》给出的规则起草。</w:t>
      </w:r>
    </w:p>
    <w:p>
      <w:pPr>
        <w:pStyle w:val="26"/>
        <w:spacing w:line="360" w:lineRule="auto"/>
      </w:pPr>
      <w:r>
        <w:rPr>
          <w:rFonts w:hint="eastAsia"/>
        </w:rPr>
        <w:t>本标准由江西省交通运输厅提出并归口。</w:t>
      </w:r>
    </w:p>
    <w:p>
      <w:pPr>
        <w:pStyle w:val="26"/>
        <w:spacing w:line="360" w:lineRule="auto"/>
      </w:pPr>
      <w:r>
        <w:rPr>
          <w:rFonts w:hint="eastAsia"/>
        </w:rPr>
        <w:t>本标准起草单位：江西省交通科学研究院，江西畅行高速公路服务区开发经营有限公司。</w:t>
      </w:r>
    </w:p>
    <w:p>
      <w:pPr>
        <w:pStyle w:val="26"/>
        <w:spacing w:line="360" w:lineRule="auto"/>
        <w:sectPr>
          <w:headerReference r:id="rId6" w:type="default"/>
          <w:footerReference r:id="rId7" w:type="default"/>
          <w:pgSz w:w="11906" w:h="16838"/>
          <w:pgMar w:top="567" w:right="1134" w:bottom="1134" w:left="1418" w:header="1418" w:footer="1134" w:gutter="0"/>
          <w:pgNumType w:fmt="upperRoman" w:start="1"/>
          <w:cols w:space="425" w:num="1"/>
          <w:formProt w:val="0"/>
          <w:docGrid w:type="lines" w:linePitch="312" w:charSpace="0"/>
        </w:sectPr>
      </w:pPr>
      <w:r>
        <w:rPr>
          <w:rFonts w:hint="eastAsia"/>
        </w:rPr>
        <w:t>主要起草人：李晓宝、赵红、徐伟伟、董焕焕、夏聪聪、任天成、廖祖文，熊雅菁。</w:t>
      </w:r>
    </w:p>
    <w:p>
      <w:pPr>
        <w:pStyle w:val="54"/>
      </w:pPr>
      <w:r>
        <w:rPr>
          <w:rFonts w:hint="eastAsia"/>
        </w:rPr>
        <w:t>高速公路服务区污水处理（A/O工艺）运维指南</w:t>
      </w:r>
    </w:p>
    <w:p>
      <w:pPr>
        <w:pStyle w:val="49"/>
        <w:spacing w:before="312" w:after="312"/>
      </w:pPr>
      <w:r>
        <w:rPr>
          <w:rFonts w:hint="eastAsia"/>
        </w:rPr>
        <w:t>适用范围</w:t>
      </w:r>
    </w:p>
    <w:p>
      <w:pPr>
        <w:pStyle w:val="26"/>
      </w:pPr>
      <w:r>
        <w:rPr>
          <w:rFonts w:hint="eastAsia"/>
        </w:rPr>
        <w:t>本标准可指导高速公路服务区及相关单位对A/O污水处理工艺进行调试运行、设备操作、维护检修，指导工作人员快速调试、维护、启动污水处理系统以应对各种异常。</w:t>
      </w:r>
    </w:p>
    <w:p>
      <w:pPr>
        <w:pStyle w:val="26"/>
        <w:rPr>
          <w:highlight w:val="yellow"/>
        </w:rPr>
      </w:pPr>
      <w:r>
        <w:rPr>
          <w:rFonts w:hint="eastAsia"/>
        </w:rPr>
        <w:t>本标准适用于江西省高速公路服务区污水处理（A/O工艺）的运维管理工作，其他单位的A/O工艺运维管理可参照此标准执行。</w:t>
      </w:r>
    </w:p>
    <w:p>
      <w:pPr>
        <w:pStyle w:val="49"/>
        <w:spacing w:before="312" w:after="312"/>
      </w:pPr>
      <w:r>
        <w:rPr>
          <w:rFonts w:hint="eastAsia"/>
        </w:rPr>
        <w:t>规范性引用文件</w:t>
      </w:r>
    </w:p>
    <w:p>
      <w:pPr>
        <w:pStyle w:val="26"/>
      </w:pPr>
      <w:r>
        <w:rPr>
          <w:rFonts w:hint="eastAsia"/>
        </w:rPr>
        <w:t>下列文件对于本文件的应用是必不可少的。凡是不注日期的引用文件，其有效版本适用于本标准。</w:t>
      </w:r>
    </w:p>
    <w:p>
      <w:pPr>
        <w:pStyle w:val="26"/>
      </w:pPr>
      <w:r>
        <w:t>GB 50057</w:t>
      </w:r>
      <w:r>
        <w:rPr>
          <w:rFonts w:hint="eastAsia"/>
        </w:rPr>
        <w:t xml:space="preserve">        建筑物防雷设计规范</w:t>
      </w:r>
    </w:p>
    <w:p>
      <w:pPr>
        <w:pStyle w:val="26"/>
      </w:pPr>
      <w:r>
        <w:t>GB</w:t>
      </w:r>
      <w:r>
        <w:rPr>
          <w:rFonts w:hint="eastAsia"/>
        </w:rPr>
        <w:t xml:space="preserve"> </w:t>
      </w:r>
      <w:r>
        <w:t>50140</w:t>
      </w:r>
      <w:r>
        <w:rPr>
          <w:rFonts w:hint="eastAsia"/>
        </w:rPr>
        <w:t xml:space="preserve">    </w:t>
      </w:r>
      <w:r>
        <w:t xml:space="preserve">  </w:t>
      </w:r>
      <w:r>
        <w:rPr>
          <w:rFonts w:hint="eastAsia"/>
        </w:rPr>
        <w:t xml:space="preserve">  建筑灭火器配置设计规范</w:t>
      </w:r>
    </w:p>
    <w:p>
      <w:pPr>
        <w:pStyle w:val="26"/>
      </w:pPr>
      <w:r>
        <w:t>GB/T 2893.1</w:t>
      </w:r>
      <w:r>
        <w:rPr>
          <w:rFonts w:hint="eastAsia"/>
        </w:rPr>
        <w:t xml:space="preserve">     图形符号安全色和安全标志</w:t>
      </w:r>
    </w:p>
    <w:p>
      <w:pPr>
        <w:pStyle w:val="26"/>
      </w:pPr>
      <w:r>
        <w:t>GB 5083</w:t>
      </w:r>
      <w:r>
        <w:rPr>
          <w:rFonts w:hint="eastAsia"/>
        </w:rPr>
        <w:t xml:space="preserve">       </w:t>
      </w:r>
      <w:r>
        <w:t xml:space="preserve">  </w:t>
      </w:r>
      <w:r>
        <w:rPr>
          <w:rFonts w:hint="eastAsia"/>
        </w:rPr>
        <w:t>生产设备安全卫生设计总则</w:t>
      </w:r>
    </w:p>
    <w:p>
      <w:pPr>
        <w:pStyle w:val="26"/>
      </w:pPr>
      <w:r>
        <w:t>GB 8978</w:t>
      </w:r>
      <w:r>
        <w:rPr>
          <w:rFonts w:hint="eastAsia"/>
        </w:rPr>
        <w:t xml:space="preserve">     </w:t>
      </w:r>
      <w:r>
        <w:t xml:space="preserve">    </w:t>
      </w:r>
      <w:r>
        <w:rPr>
          <w:rFonts w:hint="eastAsia"/>
        </w:rPr>
        <w:t>污水综合排放标准</w:t>
      </w:r>
    </w:p>
    <w:p>
      <w:pPr>
        <w:pStyle w:val="26"/>
      </w:pPr>
      <w:r>
        <w:t>GB 12348</w:t>
      </w:r>
      <w:r>
        <w:rPr>
          <w:rFonts w:hint="eastAsia"/>
        </w:rPr>
        <w:t xml:space="preserve">        工业企业厂界环境噪声排放标准</w:t>
      </w:r>
    </w:p>
    <w:p>
      <w:pPr>
        <w:pStyle w:val="26"/>
        <w:rPr>
          <w:rFonts w:hint="eastAsia"/>
        </w:rPr>
      </w:pPr>
      <w:r>
        <w:t>GB 145543</w:t>
      </w:r>
      <w:r>
        <w:rPr>
          <w:rFonts w:hint="eastAsia"/>
        </w:rPr>
        <w:t xml:space="preserve">       恶臭污染物排放标准</w:t>
      </w:r>
    </w:p>
    <w:p>
      <w:pPr>
        <w:pStyle w:val="26"/>
        <w:rPr>
          <w:rFonts w:hint="default" w:eastAsia="宋体"/>
          <w:lang w:val="en-US" w:eastAsia="zh-CN"/>
        </w:rPr>
      </w:pPr>
      <w:r>
        <w:rPr>
          <w:rFonts w:hint="eastAsia"/>
        </w:rPr>
        <w:t>CJJ 60</w:t>
      </w:r>
      <w:r>
        <w:rPr>
          <w:rFonts w:hint="eastAsia"/>
          <w:lang w:val="en-US" w:eastAsia="zh-CN"/>
        </w:rPr>
        <w:t xml:space="preserve">          城镇污水处理厂运行、维护及安全技术规程 </w:t>
      </w:r>
    </w:p>
    <w:p>
      <w:pPr>
        <w:pStyle w:val="49"/>
        <w:spacing w:before="312" w:after="312"/>
      </w:pPr>
      <w:r>
        <w:rPr>
          <w:rFonts w:hint="eastAsia"/>
        </w:rPr>
        <w:t>术语和定义</w:t>
      </w:r>
    </w:p>
    <w:p>
      <w:pPr>
        <w:pStyle w:val="26"/>
      </w:pPr>
      <w:r>
        <w:rPr>
          <w:rFonts w:hint="eastAsia"/>
        </w:rPr>
        <w:t>下列术语和定义适用于本标准。</w:t>
      </w:r>
    </w:p>
    <w:p>
      <w:pPr>
        <w:pStyle w:val="49"/>
        <w:numPr>
          <w:ilvl w:val="0"/>
          <w:numId w:val="0"/>
        </w:numPr>
        <w:tabs>
          <w:tab w:val="right" w:pos="9354"/>
        </w:tabs>
        <w:spacing w:before="312" w:after="312"/>
      </w:pPr>
      <w:r>
        <w:rPr>
          <w:rFonts w:hint="eastAsia"/>
        </w:rPr>
        <w:t>3.1</w:t>
      </w:r>
      <w:r>
        <w:tab/>
      </w:r>
    </w:p>
    <w:p>
      <w:pPr>
        <w:pStyle w:val="49"/>
        <w:numPr>
          <w:ilvl w:val="0"/>
          <w:numId w:val="0"/>
        </w:numPr>
        <w:spacing w:beforeLines="0" w:afterLines="0"/>
        <w:ind w:firstLine="420" w:firstLineChars="200"/>
      </w:pPr>
      <w:r>
        <w:rPr>
          <w:rFonts w:hint="eastAsia"/>
        </w:rPr>
        <w:t xml:space="preserve">服务区污水处理 </w:t>
      </w:r>
      <w:r>
        <w:t xml:space="preserve"> service area wastewater treatment</w:t>
      </w:r>
    </w:p>
    <w:p>
      <w:pPr>
        <w:pStyle w:val="26"/>
      </w:pPr>
      <w:r>
        <w:t>指</w:t>
      </w:r>
      <w:r>
        <w:rPr>
          <w:rFonts w:hint="eastAsia"/>
        </w:rPr>
        <w:t>对</w:t>
      </w:r>
      <w:r>
        <w:t>进入服务区污水收集系统的污水进行净化处理</w:t>
      </w:r>
      <w:r>
        <w:rPr>
          <w:rFonts w:hint="eastAsia"/>
        </w:rPr>
        <w:t>。</w:t>
      </w:r>
    </w:p>
    <w:p>
      <w:pPr>
        <w:pStyle w:val="49"/>
        <w:numPr>
          <w:ilvl w:val="0"/>
          <w:numId w:val="0"/>
        </w:numPr>
        <w:tabs>
          <w:tab w:val="right" w:pos="9354"/>
        </w:tabs>
        <w:spacing w:before="312" w:after="312"/>
      </w:pPr>
      <w:r>
        <w:rPr>
          <w:rFonts w:hint="eastAsia"/>
        </w:rPr>
        <w:t>3.2</w:t>
      </w:r>
    </w:p>
    <w:p>
      <w:pPr>
        <w:pStyle w:val="49"/>
        <w:numPr>
          <w:ilvl w:val="0"/>
          <w:numId w:val="0"/>
        </w:numPr>
        <w:spacing w:beforeLines="0" w:afterLines="0"/>
        <w:ind w:firstLine="420" w:firstLineChars="200"/>
      </w:pPr>
      <w:r>
        <w:rPr>
          <w:rFonts w:hint="eastAsia"/>
        </w:rPr>
        <w:t>A/</w:t>
      </w:r>
      <w:r>
        <w:t>O水处理工艺</w:t>
      </w:r>
      <w:r>
        <w:rPr>
          <w:rFonts w:hint="eastAsia"/>
        </w:rPr>
        <w:t xml:space="preserve"> </w:t>
      </w:r>
      <w:r>
        <w:t xml:space="preserve"> A</w:t>
      </w:r>
      <w:r>
        <w:rPr>
          <w:rFonts w:hint="eastAsia"/>
        </w:rPr>
        <w:t xml:space="preserve">/O </w:t>
      </w:r>
      <w:r>
        <w:t>water treatment process</w:t>
      </w:r>
    </w:p>
    <w:p>
      <w:pPr>
        <w:shd w:val="clear" w:color="auto" w:fill="FFFFFF"/>
        <w:ind w:firstLine="420" w:firstLineChars="200"/>
      </w:pPr>
      <w:r>
        <w:t>也叫</w:t>
      </w:r>
      <w:r>
        <w:rPr>
          <w:rFonts w:hint="eastAsia"/>
          <w:lang w:val="en-US" w:eastAsia="zh-CN"/>
        </w:rPr>
        <w:t>缺氧</w:t>
      </w:r>
      <w:r>
        <w:rPr>
          <w:rFonts w:hint="eastAsia"/>
        </w:rPr>
        <w:t>好氧工艺法，指将前段缺氧段和后段好氧段串联在一起，使有机污染物得到降解的同时，进行一定的脱氮</w:t>
      </w:r>
      <w:r>
        <w:rPr>
          <w:rFonts w:hint="eastAsia"/>
          <w:lang w:val="en-US" w:eastAsia="zh-CN"/>
        </w:rPr>
        <w:t>作用</w:t>
      </w:r>
      <w:r>
        <w:rPr>
          <w:rFonts w:hint="eastAsia"/>
        </w:rPr>
        <w:t>。</w:t>
      </w:r>
    </w:p>
    <w:p>
      <w:pPr>
        <w:pStyle w:val="49"/>
        <w:numPr>
          <w:ilvl w:val="0"/>
          <w:numId w:val="0"/>
        </w:numPr>
        <w:tabs>
          <w:tab w:val="right" w:pos="9354"/>
        </w:tabs>
        <w:spacing w:before="312" w:after="312"/>
      </w:pPr>
      <w:r>
        <w:rPr>
          <w:rFonts w:hint="eastAsia"/>
        </w:rPr>
        <w:t>3.3</w:t>
      </w:r>
    </w:p>
    <w:p>
      <w:pPr>
        <w:pStyle w:val="49"/>
        <w:numPr>
          <w:ilvl w:val="0"/>
          <w:numId w:val="0"/>
        </w:numPr>
        <w:spacing w:beforeLines="0" w:afterLines="0"/>
        <w:ind w:firstLine="420" w:firstLineChars="200"/>
      </w:pPr>
      <w:r>
        <w:rPr>
          <w:rFonts w:hint="eastAsia"/>
        </w:rPr>
        <w:t xml:space="preserve">格栅 </w:t>
      </w:r>
      <w:r>
        <w:t xml:space="preserve"> grille</w:t>
      </w:r>
    </w:p>
    <w:p>
      <w:pPr>
        <w:pStyle w:val="49"/>
        <w:numPr>
          <w:ilvl w:val="0"/>
          <w:numId w:val="0"/>
        </w:numPr>
        <w:spacing w:beforeLines="0" w:afterLines="0"/>
        <w:ind w:firstLine="420" w:firstLineChars="200"/>
        <w:rPr>
          <w:rFonts w:asciiTheme="minorEastAsia" w:hAnsiTheme="minorEastAsia" w:eastAsiaTheme="minorEastAsia"/>
        </w:rPr>
      </w:pPr>
      <w:r>
        <w:rPr>
          <w:rFonts w:hint="eastAsia" w:asciiTheme="minorEastAsia" w:hAnsiTheme="minorEastAsia" w:eastAsiaTheme="minorEastAsia"/>
        </w:rPr>
        <w:t>指放在构筑物或者泵站前的一种简单过滤设备。</w:t>
      </w:r>
    </w:p>
    <w:p>
      <w:pPr>
        <w:pStyle w:val="49"/>
        <w:numPr>
          <w:ilvl w:val="0"/>
          <w:numId w:val="0"/>
        </w:numPr>
        <w:tabs>
          <w:tab w:val="right" w:pos="9354"/>
        </w:tabs>
        <w:spacing w:before="312" w:after="312"/>
      </w:pPr>
      <w:r>
        <w:rPr>
          <w:rFonts w:hint="eastAsia"/>
        </w:rPr>
        <w:t>3.4</w:t>
      </w:r>
    </w:p>
    <w:p>
      <w:pPr>
        <w:pStyle w:val="49"/>
        <w:numPr>
          <w:ilvl w:val="0"/>
          <w:numId w:val="0"/>
        </w:numPr>
        <w:spacing w:beforeLines="0" w:afterLines="0"/>
        <w:ind w:firstLine="420" w:firstLineChars="200"/>
        <w:rPr>
          <w:rFonts w:hAnsi="黑体"/>
          <w:highlight w:val="yellow"/>
        </w:rPr>
      </w:pPr>
      <w:r>
        <w:rPr>
          <w:rFonts w:hint="eastAsia" w:hAnsi="黑体"/>
        </w:rPr>
        <w:t xml:space="preserve">调节池 </w:t>
      </w:r>
      <w:r>
        <w:rPr>
          <w:rFonts w:hAnsi="黑体"/>
        </w:rPr>
        <w:t xml:space="preserve"> regulation pool</w:t>
      </w:r>
    </w:p>
    <w:p>
      <w:pPr>
        <w:pStyle w:val="49"/>
        <w:numPr>
          <w:ilvl w:val="0"/>
          <w:numId w:val="0"/>
        </w:numPr>
        <w:spacing w:beforeLines="0" w:afterLines="0"/>
        <w:ind w:firstLine="420" w:firstLineChars="200"/>
        <w:rPr>
          <w:rFonts w:ascii="宋体" w:eastAsia="宋体"/>
        </w:rPr>
      </w:pPr>
      <w:r>
        <w:rPr>
          <w:rFonts w:hint="eastAsia" w:ascii="宋体" w:eastAsia="宋体"/>
        </w:rPr>
        <w:t>用以调节</w:t>
      </w:r>
      <w:r>
        <w:rPr>
          <w:rFonts w:hint="eastAsia" w:ascii="宋体" w:eastAsia="宋体"/>
          <w:lang w:val="en-US" w:eastAsia="zh-CN"/>
        </w:rPr>
        <w:t>水质和水量</w:t>
      </w:r>
      <w:r>
        <w:rPr>
          <w:rFonts w:hint="eastAsia" w:ascii="宋体" w:eastAsia="宋体"/>
        </w:rPr>
        <w:t>的构筑物。</w:t>
      </w:r>
    </w:p>
    <w:p>
      <w:pPr>
        <w:pStyle w:val="49"/>
        <w:numPr>
          <w:ilvl w:val="0"/>
          <w:numId w:val="0"/>
        </w:numPr>
        <w:tabs>
          <w:tab w:val="right" w:pos="9354"/>
        </w:tabs>
        <w:spacing w:before="312" w:after="312"/>
      </w:pPr>
      <w:r>
        <w:rPr>
          <w:rFonts w:hint="eastAsia"/>
        </w:rPr>
        <w:t>3.5</w:t>
      </w:r>
    </w:p>
    <w:p>
      <w:pPr>
        <w:pStyle w:val="49"/>
        <w:numPr>
          <w:ilvl w:val="0"/>
          <w:numId w:val="0"/>
        </w:numPr>
        <w:spacing w:beforeLines="0" w:afterLines="0"/>
        <w:ind w:firstLine="420" w:firstLineChars="200"/>
        <w:rPr>
          <w:rFonts w:hAnsi="黑体"/>
        </w:rPr>
      </w:pPr>
      <w:r>
        <w:rPr>
          <w:rFonts w:hint="eastAsia" w:hAnsi="黑体"/>
        </w:rPr>
        <w:t xml:space="preserve">提升泵 </w:t>
      </w:r>
      <w:r>
        <w:rPr>
          <w:rFonts w:hAnsi="黑体"/>
        </w:rPr>
        <w:t xml:space="preserve"> lift pump</w:t>
      </w:r>
    </w:p>
    <w:p>
      <w:pPr>
        <w:pStyle w:val="49"/>
        <w:numPr>
          <w:ilvl w:val="0"/>
          <w:numId w:val="0"/>
        </w:numPr>
        <w:tabs>
          <w:tab w:val="right" w:pos="9354"/>
        </w:tabs>
        <w:spacing w:beforeLines="0" w:afterLines="0"/>
        <w:ind w:firstLine="420" w:firstLineChars="200"/>
        <w:rPr>
          <w:rFonts w:asciiTheme="minorEastAsia" w:hAnsiTheme="minorEastAsia" w:eastAsiaTheme="minorEastAsia"/>
        </w:rPr>
      </w:pPr>
      <w:r>
        <w:rPr>
          <w:rFonts w:hint="eastAsia" w:ascii="宋体" w:eastAsia="宋体"/>
        </w:rPr>
        <w:t>污水提升泵是指一种集泵、电机、壳体、控制系统于一体的泵类产品</w:t>
      </w:r>
      <w:r>
        <w:rPr>
          <w:rFonts w:hint="eastAsia" w:asciiTheme="minorEastAsia" w:hAnsiTheme="minorEastAsia" w:eastAsiaTheme="minorEastAsia"/>
        </w:rPr>
        <w:t>。</w:t>
      </w:r>
    </w:p>
    <w:p>
      <w:pPr>
        <w:pStyle w:val="49"/>
        <w:numPr>
          <w:ilvl w:val="0"/>
          <w:numId w:val="0"/>
        </w:numPr>
        <w:tabs>
          <w:tab w:val="right" w:pos="9354"/>
        </w:tabs>
        <w:spacing w:before="312" w:after="312"/>
      </w:pPr>
      <w:r>
        <w:rPr>
          <w:rFonts w:hint="eastAsia"/>
        </w:rPr>
        <w:t>3.6</w:t>
      </w:r>
    </w:p>
    <w:p>
      <w:pPr>
        <w:pStyle w:val="49"/>
        <w:numPr>
          <w:ilvl w:val="0"/>
          <w:numId w:val="0"/>
        </w:numPr>
        <w:spacing w:beforeLines="0" w:afterLines="0"/>
        <w:ind w:firstLine="420" w:firstLineChars="200"/>
        <w:rPr>
          <w:rFonts w:hAnsi="黑体"/>
        </w:rPr>
      </w:pPr>
      <w:r>
        <w:rPr>
          <w:rFonts w:hint="eastAsia" w:hAnsi="黑体"/>
        </w:rPr>
        <w:t xml:space="preserve">罗茨风机 </w:t>
      </w:r>
      <w:r>
        <w:rPr>
          <w:rFonts w:hAnsi="黑体"/>
        </w:rPr>
        <w:t>roots blower</w:t>
      </w:r>
    </w:p>
    <w:p>
      <w:pPr>
        <w:pStyle w:val="49"/>
        <w:numPr>
          <w:ilvl w:val="0"/>
          <w:numId w:val="0"/>
        </w:numPr>
        <w:spacing w:beforeLines="0" w:afterLines="0"/>
        <w:ind w:firstLine="420" w:firstLineChars="200"/>
        <w:rPr>
          <w:rFonts w:ascii="宋体" w:eastAsia="宋体"/>
          <w:highlight w:val="yellow"/>
        </w:rPr>
      </w:pPr>
      <w:r>
        <w:rPr>
          <w:rFonts w:hint="eastAsia" w:ascii="宋体" w:eastAsia="宋体"/>
        </w:rPr>
        <w:t>利用两个叶形转子在气缸内作相对运动来压缩和输送气体的回转压缩机。</w:t>
      </w:r>
    </w:p>
    <w:p>
      <w:pPr>
        <w:pStyle w:val="49"/>
        <w:numPr>
          <w:ilvl w:val="0"/>
          <w:numId w:val="0"/>
        </w:numPr>
        <w:tabs>
          <w:tab w:val="right" w:pos="9354"/>
        </w:tabs>
        <w:spacing w:before="312" w:after="312"/>
      </w:pPr>
      <w:r>
        <w:rPr>
          <w:rFonts w:hint="eastAsia"/>
        </w:rPr>
        <w:t>3.7</w:t>
      </w:r>
    </w:p>
    <w:p>
      <w:pPr>
        <w:pStyle w:val="49"/>
        <w:numPr>
          <w:ilvl w:val="0"/>
          <w:numId w:val="0"/>
        </w:numPr>
        <w:spacing w:beforeLines="0" w:afterLines="0"/>
        <w:ind w:firstLine="420" w:firstLineChars="200"/>
      </w:pPr>
      <w:r>
        <w:rPr>
          <w:rFonts w:hint="eastAsia"/>
        </w:rPr>
        <w:t xml:space="preserve">生化池 </w:t>
      </w:r>
      <w:r>
        <w:t xml:space="preserve"> biochemical pool</w:t>
      </w:r>
    </w:p>
    <w:p>
      <w:pPr>
        <w:pStyle w:val="26"/>
      </w:pPr>
      <w:r>
        <w:rPr>
          <w:rFonts w:hint="eastAsia"/>
        </w:rPr>
        <w:t>指利用活性污泥微生物的作用，进行缺氧、厌氧、好氧反应，去除废水中有机物和氮磷，达到净化污水的目的的一类污水处理设施。</w:t>
      </w:r>
    </w:p>
    <w:p>
      <w:pPr>
        <w:pStyle w:val="49"/>
        <w:numPr>
          <w:ilvl w:val="0"/>
          <w:numId w:val="0"/>
        </w:numPr>
        <w:tabs>
          <w:tab w:val="right" w:pos="9354"/>
        </w:tabs>
        <w:spacing w:before="312" w:after="312"/>
      </w:pPr>
      <w:r>
        <w:rPr>
          <w:rFonts w:hint="eastAsia"/>
        </w:rPr>
        <w:t>3.8</w:t>
      </w:r>
    </w:p>
    <w:p>
      <w:pPr>
        <w:pStyle w:val="49"/>
        <w:numPr>
          <w:ilvl w:val="0"/>
          <w:numId w:val="0"/>
        </w:numPr>
        <w:spacing w:beforeLines="0" w:afterLines="0"/>
        <w:ind w:firstLine="420" w:firstLineChars="200"/>
        <w:rPr>
          <w:rFonts w:hAnsi="黑体"/>
        </w:rPr>
      </w:pPr>
      <w:r>
        <w:rPr>
          <w:rFonts w:hint="eastAsia" w:hAnsi="黑体"/>
        </w:rPr>
        <w:t xml:space="preserve">PLC控制系统 </w:t>
      </w:r>
      <w:r>
        <w:rPr>
          <w:rFonts w:hAnsi="黑体"/>
        </w:rPr>
        <w:t xml:space="preserve"> programmable logic controller</w:t>
      </w:r>
    </w:p>
    <w:p>
      <w:pPr>
        <w:pStyle w:val="49"/>
        <w:numPr>
          <w:ilvl w:val="0"/>
          <w:numId w:val="0"/>
        </w:numPr>
        <w:spacing w:beforeLines="0" w:afterLines="0"/>
        <w:ind w:firstLine="420" w:firstLineChars="200"/>
        <w:rPr>
          <w:rFonts w:ascii="宋体" w:eastAsia="宋体"/>
          <w:highlight w:val="yellow"/>
        </w:rPr>
      </w:pPr>
      <w:r>
        <w:rPr>
          <w:rFonts w:hint="eastAsia" w:ascii="宋体" w:eastAsia="宋体"/>
        </w:rPr>
        <w:t>即可编程逻辑控制器，专为工业生产设计的一种数字运算操作的电子装置。</w:t>
      </w:r>
    </w:p>
    <w:p>
      <w:pPr>
        <w:pStyle w:val="49"/>
        <w:spacing w:before="312" w:after="312"/>
      </w:pPr>
      <w:bookmarkStart w:id="11" w:name="OLE_LINK6"/>
      <w:bookmarkStart w:id="12" w:name="OLE_LINK5"/>
      <w:r>
        <w:rPr>
          <w:rFonts w:hint="eastAsia"/>
        </w:rPr>
        <w:t>基本规定</w:t>
      </w:r>
    </w:p>
    <w:bookmarkEnd w:id="11"/>
    <w:bookmarkEnd w:id="12"/>
    <w:p>
      <w:pPr>
        <w:pStyle w:val="46"/>
        <w:numPr>
          <w:ilvl w:val="0"/>
          <w:numId w:val="0"/>
        </w:numPr>
        <w:spacing w:before="156" w:after="156"/>
      </w:pPr>
      <w:r>
        <w:rPr>
          <w:rFonts w:hint="eastAsia"/>
        </w:rPr>
        <w:t>4.1</w:t>
      </w:r>
      <w:r>
        <w:t xml:space="preserve">  </w:t>
      </w:r>
      <w:r>
        <w:rPr>
          <w:rFonts w:hint="eastAsia"/>
        </w:rPr>
        <w:t>运行管理</w:t>
      </w:r>
    </w:p>
    <w:p>
      <w:pPr>
        <w:pStyle w:val="26"/>
        <w:ind w:firstLine="0" w:firstLineChars="0"/>
        <w:jc w:val="left"/>
      </w:pPr>
      <w:r>
        <w:rPr>
          <w:rFonts w:hint="eastAsia" w:ascii="黑体" w:hAnsi="黑体" w:eastAsia="黑体" w:cs="黑体"/>
          <w:sz w:val="21"/>
          <w:szCs w:val="22"/>
          <w:lang w:val="en-US" w:eastAsia="zh-CN" w:bidi="ar-SA"/>
        </w:rPr>
        <w:t>4.1.1</w:t>
      </w:r>
      <w:r>
        <w:t xml:space="preserve">  </w:t>
      </w:r>
      <w:r>
        <w:rPr>
          <w:rFonts w:hint="eastAsia"/>
        </w:rPr>
        <w:t>污水运维单位各岗位生产人员应了解有关处理工艺</w:t>
      </w:r>
      <w:r>
        <w:rPr>
          <w:rFonts w:hint="eastAsia"/>
          <w:lang w:eastAsia="zh-CN"/>
        </w:rPr>
        <w:t>，</w:t>
      </w:r>
      <w:r>
        <w:rPr>
          <w:rFonts w:hint="eastAsia"/>
        </w:rPr>
        <w:t>熟悉本岗位设施、设备的技术性能和安全操作、维修规程。</w:t>
      </w:r>
    </w:p>
    <w:p>
      <w:pPr>
        <w:pStyle w:val="26"/>
        <w:ind w:firstLine="0" w:firstLineChars="0"/>
        <w:jc w:val="left"/>
      </w:pPr>
      <w:r>
        <w:rPr>
          <w:rFonts w:hint="eastAsia" w:ascii="黑体" w:hAnsi="黑体" w:eastAsia="黑体" w:cs="黑体"/>
          <w:sz w:val="21"/>
          <w:szCs w:val="22"/>
          <w:lang w:val="en-US" w:eastAsia="zh-CN" w:bidi="ar-SA"/>
        </w:rPr>
        <w:t>4.1.4</w:t>
      </w:r>
      <w:r>
        <w:t xml:space="preserve">  </w:t>
      </w:r>
      <w:r>
        <w:rPr>
          <w:rFonts w:hint="eastAsia"/>
        </w:rPr>
        <w:t>污水运维单位运行管理人员应熟悉处理工艺和设施、设备的运行要求和主要技术指标。</w:t>
      </w:r>
    </w:p>
    <w:p>
      <w:pPr>
        <w:pStyle w:val="26"/>
        <w:ind w:firstLine="0" w:firstLineChars="0"/>
        <w:jc w:val="left"/>
      </w:pPr>
      <w:r>
        <w:rPr>
          <w:rFonts w:hint="eastAsia" w:ascii="黑体" w:hAnsi="黑体" w:eastAsia="黑体" w:cs="黑体"/>
          <w:sz w:val="21"/>
          <w:szCs w:val="22"/>
          <w:lang w:val="en-US" w:eastAsia="zh-CN" w:bidi="ar-SA"/>
        </w:rPr>
        <w:t xml:space="preserve">4.1.3 </w:t>
      </w:r>
      <w:r>
        <w:t xml:space="preserve"> </w:t>
      </w:r>
      <w:r>
        <w:rPr>
          <w:rFonts w:hint="eastAsia"/>
        </w:rPr>
        <w:t>各岗位作业人员应经岗位培训后，持证上岗。</w:t>
      </w:r>
    </w:p>
    <w:p>
      <w:pPr>
        <w:pStyle w:val="26"/>
        <w:ind w:firstLine="0" w:firstLineChars="0"/>
        <w:jc w:val="left"/>
        <w:rPr>
          <w:rFonts w:hint="default" w:eastAsia="宋体"/>
          <w:lang w:val="en-US" w:eastAsia="zh-CN"/>
        </w:rPr>
      </w:pPr>
      <w:r>
        <w:rPr>
          <w:rFonts w:hint="eastAsia" w:ascii="黑体" w:hAnsi="黑体" w:eastAsia="黑体" w:cs="黑体"/>
          <w:sz w:val="21"/>
          <w:szCs w:val="22"/>
          <w:lang w:val="en-US" w:eastAsia="zh-CN" w:bidi="ar-SA"/>
        </w:rPr>
        <w:t>4.1.4</w:t>
      </w:r>
      <w:r>
        <w:t xml:space="preserve">  </w:t>
      </w:r>
      <w:r>
        <w:rPr>
          <w:rFonts w:hint="eastAsia"/>
          <w:lang w:val="en-US" w:eastAsia="zh-CN"/>
        </w:rPr>
        <w:t>污水运维单位应将日常检测产生的药剂固废、废液和日常生产时产生的其他危险废物（如灯管、油漆桶等）统一收集单独存放于专门危废的仓库中，委托有危废处理资质的厂家定期进行清运处理。</w:t>
      </w:r>
    </w:p>
    <w:p>
      <w:pPr>
        <w:pStyle w:val="26"/>
        <w:ind w:firstLine="0" w:firstLineChars="0"/>
        <w:jc w:val="left"/>
      </w:pPr>
      <w:r>
        <w:rPr>
          <w:rFonts w:hint="eastAsia" w:ascii="黑体" w:hAnsi="黑体" w:eastAsia="黑体" w:cs="黑体"/>
          <w:sz w:val="21"/>
          <w:szCs w:val="22"/>
          <w:lang w:val="en-US" w:eastAsia="zh-CN" w:bidi="ar-SA"/>
        </w:rPr>
        <w:t>4.1.5</w:t>
      </w:r>
      <w:r>
        <w:t xml:space="preserve">  </w:t>
      </w:r>
      <w:r>
        <w:rPr>
          <w:rFonts w:hint="eastAsia"/>
        </w:rPr>
        <w:t>严禁将危险废物、工业废物、建筑垃圾以及其他影响污水处理设施作业的废料堆放在污水处理设施中。</w:t>
      </w:r>
    </w:p>
    <w:p>
      <w:pPr>
        <w:pStyle w:val="26"/>
        <w:ind w:firstLine="0" w:firstLineChars="0"/>
        <w:jc w:val="left"/>
      </w:pPr>
      <w:r>
        <w:rPr>
          <w:rFonts w:hint="eastAsia" w:ascii="黑体" w:hAnsi="黑体" w:eastAsia="黑体" w:cs="黑体"/>
          <w:sz w:val="21"/>
          <w:szCs w:val="22"/>
          <w:lang w:val="en-US" w:eastAsia="zh-CN" w:bidi="ar-SA"/>
        </w:rPr>
        <w:t>4.1.6</w:t>
      </w:r>
      <w:r>
        <w:t xml:space="preserve">  </w:t>
      </w:r>
      <w:r>
        <w:rPr>
          <w:rFonts w:hint="eastAsia"/>
        </w:rPr>
        <w:t>处理设备的产生</w:t>
      </w:r>
      <w:r>
        <w:rPr>
          <w:rFonts w:hint="eastAsia"/>
          <w:lang w:val="en-US" w:eastAsia="zh-CN"/>
        </w:rPr>
        <w:t>固废</w:t>
      </w:r>
      <w:r>
        <w:rPr>
          <w:rFonts w:hint="eastAsia"/>
        </w:rPr>
        <w:t>、压滤污泥应做到</w:t>
      </w:r>
      <w:r>
        <w:rPr>
          <w:rFonts w:hint="eastAsia"/>
          <w:lang w:val="en-US" w:eastAsia="zh-CN"/>
        </w:rPr>
        <w:t>及时清理不可长时间滞留</w:t>
      </w:r>
      <w:r>
        <w:rPr>
          <w:rFonts w:hint="eastAsia"/>
        </w:rPr>
        <w:t>。</w:t>
      </w:r>
    </w:p>
    <w:p>
      <w:pPr>
        <w:pStyle w:val="26"/>
        <w:ind w:firstLine="0" w:firstLineChars="0"/>
        <w:jc w:val="left"/>
      </w:pPr>
      <w:r>
        <w:rPr>
          <w:rFonts w:hint="eastAsia" w:ascii="黑体" w:hAnsi="黑体" w:eastAsia="黑体" w:cs="黑体"/>
          <w:sz w:val="21"/>
          <w:szCs w:val="22"/>
          <w:lang w:val="en-US" w:eastAsia="zh-CN" w:bidi="ar-SA"/>
        </w:rPr>
        <w:t>4.1.7</w:t>
      </w:r>
      <w:r>
        <w:t xml:space="preserve">  </w:t>
      </w:r>
      <w:r>
        <w:rPr>
          <w:rFonts w:hint="eastAsia"/>
        </w:rPr>
        <w:t>日常使用的机械设备必须按主工艺流程，从末端向始端逆方向开机；作业结束时，应按主工艺流程，从始端向末端顺方向关机，最后关闭总开关。</w:t>
      </w:r>
    </w:p>
    <w:p>
      <w:pPr>
        <w:pStyle w:val="26"/>
        <w:ind w:firstLine="0" w:firstLineChars="0"/>
        <w:jc w:val="left"/>
      </w:pPr>
      <w:r>
        <w:rPr>
          <w:rFonts w:hint="eastAsia" w:ascii="黑体" w:hAnsi="黑体" w:eastAsia="黑体" w:cs="黑体"/>
          <w:sz w:val="21"/>
          <w:szCs w:val="22"/>
          <w:lang w:val="en-US" w:eastAsia="zh-CN" w:bidi="ar-SA"/>
        </w:rPr>
        <w:t>4.1.8</w:t>
      </w:r>
      <w:r>
        <w:t xml:space="preserve">  </w:t>
      </w:r>
      <w:r>
        <w:rPr>
          <w:rFonts w:hint="eastAsia"/>
        </w:rPr>
        <w:t>电源电压超出额定电压10%时，不应启动电机。</w:t>
      </w:r>
    </w:p>
    <w:p>
      <w:pPr>
        <w:pStyle w:val="26"/>
        <w:ind w:firstLine="0" w:firstLineChars="0"/>
        <w:jc w:val="left"/>
      </w:pPr>
      <w:r>
        <w:rPr>
          <w:rFonts w:hint="eastAsia" w:ascii="黑体" w:hAnsi="黑体" w:eastAsia="黑体" w:cs="黑体"/>
          <w:sz w:val="21"/>
          <w:szCs w:val="22"/>
          <w:lang w:val="en-US" w:eastAsia="zh-CN" w:bidi="ar-SA"/>
        </w:rPr>
        <w:t>4.1.9</w:t>
      </w:r>
      <w:r>
        <w:t xml:space="preserve">  </w:t>
      </w:r>
      <w:r>
        <w:rPr>
          <w:rFonts w:hint="eastAsia"/>
        </w:rPr>
        <w:t>开机前,生产人员应按程序检查有关设备，应点动试机正常后再正式启动机械设备。</w:t>
      </w:r>
    </w:p>
    <w:p>
      <w:pPr>
        <w:pStyle w:val="26"/>
        <w:ind w:firstLine="0" w:firstLineChars="0"/>
        <w:jc w:val="left"/>
      </w:pPr>
      <w:r>
        <w:rPr>
          <w:rFonts w:hint="eastAsia" w:ascii="黑体" w:hAnsi="黑体" w:eastAsia="黑体" w:cs="黑体"/>
          <w:sz w:val="21"/>
          <w:szCs w:val="22"/>
          <w:lang w:val="en-US" w:eastAsia="zh-CN" w:bidi="ar-SA"/>
        </w:rPr>
        <w:t>4.1.10</w:t>
      </w:r>
      <w:r>
        <w:t xml:space="preserve">  </w:t>
      </w:r>
      <w:r>
        <w:rPr>
          <w:rFonts w:hint="eastAsia"/>
        </w:rPr>
        <w:t>开机后,生产人员和管理人员应经常巡检所操作或管辖的设施、设备及仪器、仪表的运行状况,并应及时准确地做好设施、设备运转记录及其他必要的记录和报表,如实反映处理厂运行实际情况。</w:t>
      </w:r>
    </w:p>
    <w:p>
      <w:pPr>
        <w:pStyle w:val="26"/>
        <w:ind w:firstLine="0" w:firstLineChars="0"/>
        <w:jc w:val="left"/>
      </w:pPr>
      <w:r>
        <w:rPr>
          <w:rFonts w:hint="eastAsia" w:ascii="黑体" w:hAnsi="黑体" w:eastAsia="黑体" w:cs="黑体"/>
          <w:sz w:val="21"/>
          <w:szCs w:val="22"/>
          <w:lang w:val="en-US" w:eastAsia="zh-CN" w:bidi="ar-SA"/>
        </w:rPr>
        <w:t xml:space="preserve">4.1.11 </w:t>
      </w:r>
      <w:r>
        <w:t xml:space="preserve"> </w:t>
      </w:r>
      <w:r>
        <w:rPr>
          <w:rFonts w:hint="eastAsia"/>
        </w:rPr>
        <w:t>应根据各工序设备的工况条件,分别对其挂出“合格证”或“停运行证”确保安全生产。</w:t>
      </w:r>
    </w:p>
    <w:p>
      <w:pPr>
        <w:pStyle w:val="26"/>
        <w:ind w:firstLine="0" w:firstLineChars="0"/>
        <w:jc w:val="left"/>
      </w:pPr>
      <w:r>
        <w:rPr>
          <w:rFonts w:hint="eastAsia" w:ascii="黑体" w:hAnsi="黑体" w:eastAsia="黑体" w:cs="黑体"/>
          <w:sz w:val="21"/>
          <w:szCs w:val="22"/>
          <w:lang w:val="en-US" w:eastAsia="zh-CN" w:bidi="ar-SA"/>
        </w:rPr>
        <w:t xml:space="preserve">4.1.12 </w:t>
      </w:r>
      <w:r>
        <w:t xml:space="preserve"> </w:t>
      </w:r>
      <w:r>
        <w:rPr>
          <w:rFonts w:hint="eastAsia"/>
        </w:rPr>
        <w:t>生产或管理人员发现设备运行异常时</w:t>
      </w:r>
      <w:r>
        <w:rPr>
          <w:rFonts w:hint="eastAsia"/>
          <w:lang w:eastAsia="zh-CN"/>
        </w:rPr>
        <w:t>，</w:t>
      </w:r>
      <w:r>
        <w:rPr>
          <w:rFonts w:hint="eastAsia"/>
        </w:rPr>
        <w:t>应采取相应处理措施</w:t>
      </w:r>
      <w:r>
        <w:rPr>
          <w:rFonts w:hint="eastAsia"/>
          <w:lang w:eastAsia="zh-CN"/>
        </w:rPr>
        <w:t>，</w:t>
      </w:r>
      <w:r>
        <w:rPr>
          <w:rFonts w:hint="eastAsia"/>
        </w:rPr>
        <w:t>并及时上报。</w:t>
      </w:r>
    </w:p>
    <w:p>
      <w:pPr>
        <w:pStyle w:val="26"/>
        <w:ind w:firstLine="0" w:firstLineChars="0"/>
        <w:jc w:val="left"/>
      </w:pPr>
      <w:r>
        <w:rPr>
          <w:rFonts w:hint="eastAsia" w:ascii="黑体" w:hAnsi="黑体" w:eastAsia="黑体" w:cs="黑体"/>
          <w:sz w:val="21"/>
          <w:szCs w:val="22"/>
          <w:lang w:val="en-US" w:eastAsia="zh-CN" w:bidi="ar-SA"/>
        </w:rPr>
        <w:t xml:space="preserve">4.1.13 </w:t>
      </w:r>
      <w:r>
        <w:t xml:space="preserve"> </w:t>
      </w:r>
      <w:r>
        <w:rPr>
          <w:rFonts w:hint="eastAsia"/>
        </w:rPr>
        <w:t>污水运维单位内的各种计量设备、仪器、仪表应保持完好、整洁，定期委托计量部门核定</w:t>
      </w:r>
      <w:r>
        <w:rPr>
          <w:rFonts w:hint="eastAsia"/>
          <w:lang w:eastAsia="zh-CN"/>
        </w:rPr>
        <w:t>，</w:t>
      </w:r>
      <w:r>
        <w:rPr>
          <w:rFonts w:hint="eastAsia"/>
        </w:rPr>
        <w:t>检定计量系统</w:t>
      </w:r>
      <w:r>
        <w:rPr>
          <w:rFonts w:hint="eastAsia"/>
          <w:lang w:eastAsia="zh-CN"/>
        </w:rPr>
        <w:t>，</w:t>
      </w:r>
      <w:r>
        <w:rPr>
          <w:rFonts w:hint="eastAsia"/>
        </w:rPr>
        <w:t>调校精度和误差范围,并出具检验合格证明。</w:t>
      </w:r>
    </w:p>
    <w:p>
      <w:pPr>
        <w:pStyle w:val="26"/>
        <w:ind w:firstLine="0" w:firstLineChars="0"/>
        <w:jc w:val="left"/>
      </w:pPr>
      <w:r>
        <w:rPr>
          <w:rFonts w:hint="eastAsia" w:ascii="黑体" w:hAnsi="黑体" w:eastAsia="黑体" w:cs="黑体"/>
          <w:sz w:val="21"/>
          <w:szCs w:val="22"/>
          <w:lang w:val="en-US" w:eastAsia="zh-CN" w:bidi="ar-SA"/>
        </w:rPr>
        <w:t>4.1.14</w:t>
      </w:r>
      <w:r>
        <w:t xml:space="preserve">  </w:t>
      </w:r>
      <w:r>
        <w:rPr>
          <w:rFonts w:hint="eastAsia"/>
        </w:rPr>
        <w:t>服务区内排水</w:t>
      </w:r>
      <w:r>
        <w:rPr>
          <w:rFonts w:hint="eastAsia"/>
          <w:lang w:eastAsia="zh-CN"/>
        </w:rPr>
        <w:t>，</w:t>
      </w:r>
      <w:r>
        <w:rPr>
          <w:rFonts w:hint="eastAsia"/>
        </w:rPr>
        <w:t>应确保雨污分流</w:t>
      </w:r>
      <w:r>
        <w:rPr>
          <w:rFonts w:hint="eastAsia"/>
          <w:lang w:eastAsia="zh-CN"/>
        </w:rPr>
        <w:t>，</w:t>
      </w:r>
      <w:r>
        <w:rPr>
          <w:rFonts w:hint="eastAsia"/>
        </w:rPr>
        <w:t>并保证分流管线通畅。</w:t>
      </w:r>
    </w:p>
    <w:p>
      <w:pPr>
        <w:pStyle w:val="26"/>
        <w:ind w:firstLine="0" w:firstLineChars="0"/>
        <w:rPr>
          <w:rFonts w:hint="eastAsia" w:eastAsia="宋体"/>
          <w:lang w:eastAsia="zh-CN"/>
        </w:rPr>
      </w:pPr>
      <w:r>
        <w:rPr>
          <w:rFonts w:hint="eastAsia" w:ascii="黑体" w:hAnsi="黑体" w:eastAsia="黑体" w:cs="黑体"/>
          <w:sz w:val="21"/>
          <w:szCs w:val="22"/>
          <w:lang w:val="en-US" w:eastAsia="zh-CN" w:bidi="ar-SA"/>
        </w:rPr>
        <w:t xml:space="preserve">4.1.15 </w:t>
      </w:r>
      <w:r>
        <w:t xml:space="preserve"> </w:t>
      </w:r>
      <w:r>
        <w:rPr>
          <w:rFonts w:hint="eastAsia"/>
        </w:rPr>
        <w:t>厂内应制定相应的突发事件应急预案</w:t>
      </w:r>
      <w:r>
        <w:rPr>
          <w:rFonts w:hint="eastAsia"/>
          <w:lang w:eastAsia="zh-CN"/>
        </w:rPr>
        <w:t>，</w:t>
      </w:r>
      <w:r>
        <w:rPr>
          <w:rFonts w:hint="eastAsia"/>
        </w:rPr>
        <w:t>并重点制定针对生化异常、排水超标等事件的应急预案</w:t>
      </w:r>
      <w:r>
        <w:rPr>
          <w:rFonts w:hint="eastAsia"/>
          <w:lang w:eastAsia="zh-CN"/>
        </w:rPr>
        <w:t>。</w:t>
      </w:r>
    </w:p>
    <w:p>
      <w:pPr>
        <w:pStyle w:val="46"/>
        <w:numPr>
          <w:ilvl w:val="0"/>
          <w:numId w:val="0"/>
        </w:numPr>
        <w:spacing w:before="156" w:after="156"/>
      </w:pPr>
      <w:r>
        <w:rPr>
          <w:rFonts w:hint="eastAsia"/>
        </w:rPr>
        <w:t>4.2</w:t>
      </w:r>
      <w:r>
        <w:t xml:space="preserve">  </w:t>
      </w:r>
      <w:r>
        <w:rPr>
          <w:rFonts w:hint="eastAsia"/>
        </w:rPr>
        <w:t>维护保养</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4.4.1</w:t>
      </w:r>
      <w:r>
        <w:rPr>
          <w:rFonts w:ascii="宋体" w:eastAsia="宋体"/>
          <w:szCs w:val="20"/>
        </w:rPr>
        <w:t xml:space="preserve">  </w:t>
      </w:r>
      <w:r>
        <w:rPr>
          <w:rFonts w:hint="eastAsia" w:ascii="宋体" w:eastAsia="宋体"/>
          <w:szCs w:val="20"/>
        </w:rPr>
        <w:t>电气控制柜除在开启和交接班时做常规的检查外</w:t>
      </w:r>
      <w:r>
        <w:rPr>
          <w:rFonts w:hint="eastAsia" w:ascii="宋体" w:eastAsia="宋体"/>
          <w:szCs w:val="20"/>
          <w:lang w:eastAsia="zh-CN"/>
        </w:rPr>
        <w:t>，</w:t>
      </w:r>
      <w:r>
        <w:rPr>
          <w:rFonts w:hint="eastAsia" w:ascii="宋体" w:eastAsia="宋体"/>
          <w:szCs w:val="20"/>
        </w:rPr>
        <w:t>还应定期进行全面检査和系统维护。</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 xml:space="preserve">4.4.2 </w:t>
      </w:r>
      <w:r>
        <w:rPr>
          <w:rFonts w:ascii="宋体" w:eastAsia="宋体"/>
          <w:szCs w:val="20"/>
        </w:rPr>
        <w:t xml:space="preserve"> </w:t>
      </w:r>
      <w:r>
        <w:rPr>
          <w:rFonts w:hint="eastAsia" w:ascii="宋体" w:eastAsia="宋体"/>
          <w:szCs w:val="20"/>
        </w:rPr>
        <w:t>各种闸阀、开关、连锁、管道装置应定期做全面检査、调整并应及时更换损坏件</w:t>
      </w:r>
      <w:r>
        <w:rPr>
          <w:rFonts w:hint="eastAsia" w:ascii="宋体" w:eastAsia="宋体"/>
          <w:szCs w:val="20"/>
          <w:lang w:eastAsia="zh-CN"/>
        </w:rPr>
        <w:t>；</w:t>
      </w:r>
      <w:r>
        <w:rPr>
          <w:rFonts w:hint="eastAsia" w:ascii="宋体" w:eastAsia="宋体"/>
          <w:szCs w:val="20"/>
        </w:rPr>
        <w:t>闸阀应在巡视和维护时做必要的检查。</w:t>
      </w:r>
    </w:p>
    <w:p>
      <w:pPr>
        <w:pStyle w:val="46"/>
        <w:numPr>
          <w:ilvl w:val="0"/>
          <w:numId w:val="0"/>
        </w:numPr>
        <w:spacing w:beforeLines="0" w:afterLines="0"/>
        <w:rPr>
          <w:rFonts w:hint="eastAsia" w:ascii="宋体" w:eastAsia="宋体"/>
          <w:szCs w:val="20"/>
          <w:lang w:eastAsia="zh-CN"/>
        </w:rPr>
      </w:pPr>
      <w:r>
        <w:rPr>
          <w:rFonts w:hint="eastAsia" w:ascii="黑体" w:hAnsi="黑体" w:eastAsia="黑体" w:cs="黑体"/>
          <w:sz w:val="21"/>
          <w:szCs w:val="22"/>
          <w:lang w:val="en-US" w:eastAsia="zh-CN" w:bidi="ar-SA"/>
        </w:rPr>
        <w:t>4.4.3</w:t>
      </w:r>
      <w:r>
        <w:rPr>
          <w:rFonts w:ascii="宋体" w:eastAsia="宋体"/>
          <w:szCs w:val="20"/>
        </w:rPr>
        <w:t xml:space="preserve">  </w:t>
      </w:r>
      <w:r>
        <w:rPr>
          <w:rFonts w:hint="eastAsia" w:ascii="宋体" w:eastAsia="宋体"/>
          <w:szCs w:val="20"/>
        </w:rPr>
        <w:t>设备的连接件应经常进行检查和紧固。应定期检查</w:t>
      </w:r>
      <w:r>
        <w:rPr>
          <w:rFonts w:hint="eastAsia" w:ascii="宋体" w:eastAsia="宋体"/>
          <w:szCs w:val="20"/>
          <w:lang w:eastAsia="zh-CN"/>
        </w:rPr>
        <w:t>，</w:t>
      </w:r>
      <w:r>
        <w:rPr>
          <w:rFonts w:hint="eastAsia" w:ascii="宋体" w:eastAsia="宋体"/>
          <w:szCs w:val="20"/>
        </w:rPr>
        <w:t>更换连接装置的易损坏件</w:t>
      </w:r>
      <w:r>
        <w:rPr>
          <w:rFonts w:hint="eastAsia" w:ascii="宋体" w:eastAsia="宋体"/>
          <w:szCs w:val="20"/>
          <w:lang w:eastAsia="zh-CN"/>
        </w:rPr>
        <w:t>。</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4.4.4</w:t>
      </w:r>
      <w:r>
        <w:rPr>
          <w:rFonts w:ascii="宋体" w:eastAsia="宋体"/>
          <w:szCs w:val="20"/>
        </w:rPr>
        <w:t xml:space="preserve">  </w:t>
      </w:r>
      <w:r>
        <w:rPr>
          <w:rFonts w:hint="eastAsia" w:ascii="宋体" w:eastAsia="宋体"/>
          <w:szCs w:val="20"/>
        </w:rPr>
        <w:t>对各种机电设备应定期检查、维护</w:t>
      </w:r>
      <w:r>
        <w:rPr>
          <w:rFonts w:hint="eastAsia" w:ascii="宋体" w:eastAsia="宋体"/>
          <w:szCs w:val="20"/>
          <w:lang w:eastAsia="zh-CN"/>
        </w:rPr>
        <w:t>，</w:t>
      </w:r>
      <w:r>
        <w:rPr>
          <w:rFonts w:hint="eastAsia" w:ascii="宋体" w:eastAsia="宋体"/>
          <w:szCs w:val="20"/>
        </w:rPr>
        <w:t>并根据其不同要求</w:t>
      </w:r>
      <w:r>
        <w:rPr>
          <w:rFonts w:hint="eastAsia" w:ascii="宋体" w:eastAsia="宋体"/>
          <w:szCs w:val="20"/>
          <w:lang w:eastAsia="zh-CN"/>
        </w:rPr>
        <w:t>，</w:t>
      </w:r>
      <w:r>
        <w:rPr>
          <w:rFonts w:hint="eastAsia" w:ascii="宋体" w:eastAsia="宋体"/>
          <w:szCs w:val="20"/>
        </w:rPr>
        <w:t>添加或更换润滑油(脂)</w:t>
      </w:r>
      <w:r>
        <w:rPr>
          <w:rFonts w:hint="eastAsia" w:ascii="宋体" w:eastAsia="宋体"/>
          <w:szCs w:val="20"/>
          <w:lang w:eastAsia="zh-CN"/>
        </w:rPr>
        <w:t>；</w:t>
      </w:r>
      <w:r>
        <w:rPr>
          <w:rFonts w:hint="eastAsia" w:ascii="宋体" w:eastAsia="宋体"/>
          <w:szCs w:val="20"/>
        </w:rPr>
        <w:t>维护机械设备。更换的废零件、废油(脂)等不得混入污水处理设施、设备内。</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 xml:space="preserve">4.4.5 </w:t>
      </w:r>
      <w:r>
        <w:rPr>
          <w:rFonts w:ascii="宋体" w:eastAsia="宋体"/>
          <w:szCs w:val="20"/>
        </w:rPr>
        <w:t xml:space="preserve"> </w:t>
      </w:r>
      <w:r>
        <w:rPr>
          <w:rFonts w:hint="eastAsia" w:ascii="宋体" w:eastAsia="宋体"/>
          <w:szCs w:val="20"/>
        </w:rPr>
        <w:t>各种机械设备除进行必要的日常维护保养外</w:t>
      </w:r>
      <w:r>
        <w:rPr>
          <w:rFonts w:hint="eastAsia" w:ascii="宋体" w:eastAsia="宋体"/>
          <w:szCs w:val="20"/>
          <w:lang w:eastAsia="zh-CN"/>
        </w:rPr>
        <w:t>，</w:t>
      </w:r>
      <w:r>
        <w:rPr>
          <w:rFonts w:hint="eastAsia" w:ascii="宋体" w:eastAsia="宋体"/>
          <w:szCs w:val="20"/>
        </w:rPr>
        <w:t>还应按设计要求进行大、中、小修。</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4.4.6</w:t>
      </w:r>
      <w:r>
        <w:rPr>
          <w:rFonts w:ascii="宋体" w:eastAsia="宋体"/>
          <w:szCs w:val="20"/>
        </w:rPr>
        <w:t xml:space="preserve">  </w:t>
      </w:r>
      <w:r>
        <w:rPr>
          <w:rFonts w:hint="eastAsia" w:ascii="宋体" w:eastAsia="宋体"/>
          <w:szCs w:val="20"/>
        </w:rPr>
        <w:t>应定期对配套及辅助设施、设备进行检修、维护</w:t>
      </w:r>
      <w:r>
        <w:rPr>
          <w:rFonts w:hint="eastAsia" w:ascii="宋体" w:eastAsia="宋体"/>
          <w:szCs w:val="20"/>
          <w:lang w:eastAsia="zh-CN"/>
        </w:rPr>
        <w:t>，</w:t>
      </w:r>
      <w:r>
        <w:rPr>
          <w:rFonts w:hint="eastAsia" w:ascii="宋体" w:eastAsia="宋体"/>
          <w:szCs w:val="20"/>
        </w:rPr>
        <w:t>并重点对接触污水的设施设备暴露面进行防腐处理。</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 xml:space="preserve">4.4.7 </w:t>
      </w:r>
      <w:r>
        <w:rPr>
          <w:rFonts w:ascii="宋体" w:eastAsia="宋体"/>
          <w:szCs w:val="20"/>
        </w:rPr>
        <w:t xml:space="preserve"> </w:t>
      </w:r>
      <w:r>
        <w:rPr>
          <w:rFonts w:hint="eastAsia" w:ascii="宋体" w:eastAsia="宋体"/>
          <w:szCs w:val="20"/>
        </w:rPr>
        <w:t>建筑物、构筑物等的避雷、防爆装置的测试、检修应符合国家现行相关标准的规定。</w:t>
      </w:r>
    </w:p>
    <w:p>
      <w:pPr>
        <w:pStyle w:val="46"/>
        <w:numPr>
          <w:ilvl w:val="0"/>
          <w:numId w:val="0"/>
        </w:numPr>
        <w:spacing w:beforeLines="0" w:afterLines="0"/>
        <w:rPr>
          <w:rFonts w:ascii="宋体" w:eastAsia="宋体"/>
          <w:szCs w:val="20"/>
        </w:rPr>
      </w:pPr>
      <w:r>
        <w:rPr>
          <w:rFonts w:hint="eastAsia" w:ascii="黑体" w:hAnsi="黑体" w:eastAsia="黑体" w:cs="黑体"/>
          <w:sz w:val="21"/>
          <w:szCs w:val="22"/>
          <w:lang w:val="en-US" w:eastAsia="zh-CN" w:bidi="ar-SA"/>
        </w:rPr>
        <w:t xml:space="preserve">4.4.8 </w:t>
      </w:r>
      <w:r>
        <w:rPr>
          <w:rFonts w:ascii="宋体" w:eastAsia="宋体"/>
          <w:szCs w:val="20"/>
        </w:rPr>
        <w:t xml:space="preserve"> </w:t>
      </w:r>
      <w:r>
        <w:rPr>
          <w:rFonts w:hint="eastAsia" w:ascii="宋体" w:eastAsia="宋体"/>
          <w:szCs w:val="20"/>
        </w:rPr>
        <w:t>污水运维单位的各种护栏、盖板、爬梯、照明设备等应定期进行检査、维护</w:t>
      </w:r>
      <w:r>
        <w:rPr>
          <w:rFonts w:hint="eastAsia" w:ascii="宋体" w:eastAsia="宋体"/>
          <w:szCs w:val="20"/>
          <w:lang w:eastAsia="zh-CN"/>
        </w:rPr>
        <w:t>，</w:t>
      </w:r>
      <w:r>
        <w:rPr>
          <w:rFonts w:hint="eastAsia" w:ascii="宋体" w:eastAsia="宋体"/>
          <w:szCs w:val="20"/>
        </w:rPr>
        <w:t>并及时处理或更换损坏件。</w:t>
      </w:r>
    </w:p>
    <w:p>
      <w:pPr>
        <w:pStyle w:val="46"/>
        <w:numPr>
          <w:ilvl w:val="0"/>
          <w:numId w:val="0"/>
        </w:numPr>
        <w:spacing w:before="156" w:after="156"/>
      </w:pPr>
      <w:r>
        <w:rPr>
          <w:rFonts w:hint="eastAsia"/>
        </w:rPr>
        <w:t>4.3</w:t>
      </w:r>
      <w:r>
        <w:t xml:space="preserve">  </w:t>
      </w:r>
      <w:r>
        <w:rPr>
          <w:rFonts w:hint="eastAsia"/>
        </w:rPr>
        <w:t>安全操作</w:t>
      </w:r>
    </w:p>
    <w:p>
      <w:pPr>
        <w:pStyle w:val="49"/>
        <w:numPr>
          <w:ilvl w:val="0"/>
          <w:numId w:val="0"/>
        </w:numPr>
        <w:spacing w:beforeLines="0" w:afterLines="0"/>
        <w:rPr>
          <w:rFonts w:ascii="宋体" w:eastAsia="宋体"/>
        </w:rPr>
      </w:pPr>
      <w:r>
        <w:rPr>
          <w:rFonts w:hint="eastAsia" w:ascii="黑体" w:hAnsi="黑体" w:eastAsia="黑体" w:cs="黑体"/>
        </w:rPr>
        <w:t>4.3.1</w:t>
      </w:r>
      <w:r>
        <w:rPr>
          <w:rFonts w:ascii="宋体" w:eastAsia="宋体"/>
        </w:rPr>
        <w:t xml:space="preserve">  </w:t>
      </w:r>
      <w:r>
        <w:rPr>
          <w:rFonts w:hint="eastAsia" w:ascii="宋体" w:eastAsia="宋体"/>
        </w:rPr>
        <w:t>污水运维单位生产过程安全卫生管理应符合现行国家标准GB/T 14801的有关规定。各单位应根据工艺特性和具体要求</w:t>
      </w:r>
      <w:r>
        <w:rPr>
          <w:rFonts w:hint="eastAsia" w:ascii="宋体" w:eastAsia="宋体"/>
          <w:lang w:eastAsia="zh-CN"/>
        </w:rPr>
        <w:t>，</w:t>
      </w:r>
      <w:r>
        <w:rPr>
          <w:rFonts w:hint="eastAsia" w:ascii="宋体" w:eastAsia="宋体"/>
        </w:rPr>
        <w:t>制定本岗位安全操作规程</w:t>
      </w:r>
      <w:r>
        <w:rPr>
          <w:rFonts w:hint="eastAsia" w:ascii="宋体" w:eastAsia="宋体"/>
          <w:lang w:eastAsia="zh-CN"/>
        </w:rPr>
        <w:t>，</w:t>
      </w:r>
      <w:r>
        <w:rPr>
          <w:rFonts w:hint="eastAsia" w:ascii="宋体" w:eastAsia="宋体"/>
        </w:rPr>
        <w:t>并严格执行。</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4.3.2 </w:t>
      </w:r>
      <w:r>
        <w:rPr>
          <w:rFonts w:ascii="宋体" w:eastAsia="宋体"/>
        </w:rPr>
        <w:t xml:space="preserve"> </w:t>
      </w:r>
      <w:r>
        <w:rPr>
          <w:rFonts w:hint="eastAsia" w:ascii="宋体" w:eastAsia="宋体"/>
        </w:rPr>
        <w:t>应按照不同类型的工艺设备安全操作要求</w:t>
      </w:r>
      <w:r>
        <w:rPr>
          <w:rFonts w:hint="eastAsia" w:ascii="宋体" w:eastAsia="宋体"/>
          <w:lang w:eastAsia="zh-CN"/>
        </w:rPr>
        <w:t>，</w:t>
      </w:r>
      <w:r>
        <w:rPr>
          <w:rFonts w:hint="eastAsia" w:ascii="宋体" w:eastAsia="宋体"/>
        </w:rPr>
        <w:t>在各作业区设置安全黄线</w:t>
      </w:r>
      <w:r>
        <w:rPr>
          <w:rFonts w:hint="eastAsia" w:ascii="宋体" w:eastAsia="宋体"/>
          <w:lang w:eastAsia="zh-CN"/>
        </w:rPr>
        <w:t>，</w:t>
      </w:r>
      <w:r>
        <w:rPr>
          <w:rFonts w:hint="eastAsia" w:ascii="宋体" w:eastAsia="宋体"/>
        </w:rPr>
        <w:t>非本岗位作业人员不得擅自跨越警戒线。</w:t>
      </w:r>
    </w:p>
    <w:p>
      <w:pPr>
        <w:pStyle w:val="49"/>
        <w:numPr>
          <w:ilvl w:val="0"/>
          <w:numId w:val="0"/>
        </w:numPr>
        <w:spacing w:beforeLines="0" w:afterLines="0"/>
        <w:rPr>
          <w:rFonts w:ascii="宋体" w:eastAsia="宋体"/>
        </w:rPr>
      </w:pPr>
      <w:r>
        <w:rPr>
          <w:rFonts w:hint="eastAsia" w:ascii="黑体" w:hAnsi="黑体" w:eastAsia="黑体" w:cs="黑体"/>
          <w:szCs w:val="22"/>
        </w:rPr>
        <w:t>4.3.3</w:t>
      </w:r>
      <w:r>
        <w:rPr>
          <w:rFonts w:ascii="宋体" w:eastAsia="宋体"/>
        </w:rPr>
        <w:t xml:space="preserve">  </w:t>
      </w:r>
      <w:r>
        <w:rPr>
          <w:rFonts w:hint="eastAsia" w:ascii="宋体" w:eastAsia="宋体"/>
        </w:rPr>
        <w:t>作业人员应佩戴劳保和防护用品上岗作业。</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4.3.4 </w:t>
      </w:r>
      <w:r>
        <w:rPr>
          <w:rFonts w:ascii="宋体" w:eastAsia="宋体"/>
        </w:rPr>
        <w:t xml:space="preserve"> </w:t>
      </w:r>
      <w:r>
        <w:rPr>
          <w:rFonts w:hint="eastAsia" w:ascii="宋体" w:eastAsia="宋体"/>
        </w:rPr>
        <w:t>严禁酒后作业</w:t>
      </w:r>
      <w:r>
        <w:rPr>
          <w:rFonts w:hint="eastAsia" w:ascii="宋体" w:eastAsia="宋体"/>
          <w:lang w:eastAsia="zh-CN"/>
        </w:rPr>
        <w:t>，</w:t>
      </w:r>
      <w:r>
        <w:rPr>
          <w:rFonts w:hint="eastAsia" w:ascii="宋体" w:eastAsia="宋体"/>
        </w:rPr>
        <w:t>作业场所严禁吸烟。</w:t>
      </w:r>
    </w:p>
    <w:p>
      <w:pPr>
        <w:pStyle w:val="49"/>
        <w:numPr>
          <w:ilvl w:val="0"/>
          <w:numId w:val="0"/>
        </w:numPr>
        <w:spacing w:beforeLines="0" w:afterLines="0"/>
        <w:rPr>
          <w:rFonts w:ascii="宋体" w:eastAsia="宋体"/>
        </w:rPr>
      </w:pPr>
      <w:r>
        <w:rPr>
          <w:rFonts w:hint="eastAsia" w:ascii="黑体" w:hAnsi="黑体" w:eastAsia="黑体" w:cs="黑体"/>
          <w:szCs w:val="22"/>
        </w:rPr>
        <w:t>4.3.5</w:t>
      </w:r>
      <w:r>
        <w:rPr>
          <w:rFonts w:ascii="宋体" w:eastAsia="宋体"/>
        </w:rPr>
        <w:t xml:space="preserve">  </w:t>
      </w:r>
      <w:r>
        <w:rPr>
          <w:rFonts w:hint="eastAsia" w:ascii="宋体" w:eastAsia="宋体"/>
        </w:rPr>
        <w:t>密闭场所应保证通风顺畅，必要时进行换气。</w:t>
      </w:r>
    </w:p>
    <w:p>
      <w:pPr>
        <w:pStyle w:val="49"/>
        <w:numPr>
          <w:ilvl w:val="0"/>
          <w:numId w:val="0"/>
        </w:numPr>
        <w:spacing w:beforeLines="0" w:afterLines="0"/>
        <w:rPr>
          <w:rFonts w:ascii="宋体" w:eastAsia="宋体"/>
        </w:rPr>
      </w:pPr>
      <w:r>
        <w:rPr>
          <w:rFonts w:hint="eastAsia" w:ascii="黑体" w:hAnsi="黑体" w:eastAsia="黑体" w:cs="黑体"/>
          <w:szCs w:val="22"/>
        </w:rPr>
        <w:t>4.3.6</w:t>
      </w:r>
      <w:r>
        <w:rPr>
          <w:rFonts w:ascii="宋体" w:eastAsia="宋体"/>
        </w:rPr>
        <w:t xml:space="preserve">  </w:t>
      </w:r>
      <w:r>
        <w:rPr>
          <w:rFonts w:hint="eastAsia" w:ascii="宋体" w:eastAsia="宋体"/>
        </w:rPr>
        <w:t>压滤机进出料时</w:t>
      </w:r>
      <w:r>
        <w:rPr>
          <w:rFonts w:hint="eastAsia" w:ascii="宋体" w:eastAsia="宋体"/>
          <w:lang w:eastAsia="zh-CN"/>
        </w:rPr>
        <w:t>，</w:t>
      </w:r>
      <w:r>
        <w:rPr>
          <w:rFonts w:hint="eastAsia" w:ascii="宋体" w:eastAsia="宋体"/>
        </w:rPr>
        <w:t>作业人员不得离开作业岗位，出现异常及时处理。</w:t>
      </w:r>
    </w:p>
    <w:p>
      <w:pPr>
        <w:pStyle w:val="49"/>
        <w:numPr>
          <w:ilvl w:val="0"/>
          <w:numId w:val="0"/>
        </w:numPr>
        <w:spacing w:beforeLines="0" w:afterLines="0"/>
        <w:rPr>
          <w:rFonts w:ascii="宋体" w:eastAsia="宋体"/>
        </w:rPr>
      </w:pPr>
      <w:r>
        <w:rPr>
          <w:rFonts w:hint="eastAsia" w:ascii="黑体" w:hAnsi="黑体" w:eastAsia="黑体" w:cs="黑体"/>
          <w:szCs w:val="22"/>
        </w:rPr>
        <w:t>4.3.7</w:t>
      </w:r>
      <w:r>
        <w:rPr>
          <w:rFonts w:ascii="宋体" w:eastAsia="宋体"/>
        </w:rPr>
        <w:t xml:space="preserve">  </w:t>
      </w:r>
      <w:r>
        <w:rPr>
          <w:rFonts w:hint="eastAsia" w:ascii="宋体" w:eastAsia="宋体"/>
        </w:rPr>
        <w:t>吊装机械应配专人操作</w:t>
      </w:r>
      <w:r>
        <w:rPr>
          <w:rFonts w:hint="eastAsia" w:ascii="宋体" w:eastAsia="宋体"/>
          <w:lang w:eastAsia="zh-CN"/>
        </w:rPr>
        <w:t>，</w:t>
      </w:r>
      <w:r>
        <w:rPr>
          <w:rFonts w:hint="eastAsia" w:ascii="宋体" w:eastAsia="宋体"/>
        </w:rPr>
        <w:t>其操作人员持证上岗。吊装机械运行时，被吊物体下方不得有人。</w:t>
      </w:r>
    </w:p>
    <w:p>
      <w:pPr>
        <w:pStyle w:val="49"/>
        <w:numPr>
          <w:ilvl w:val="0"/>
          <w:numId w:val="0"/>
        </w:numPr>
        <w:spacing w:beforeLines="0" w:afterLines="0"/>
        <w:rPr>
          <w:rFonts w:ascii="宋体" w:eastAsia="宋体"/>
        </w:rPr>
      </w:pPr>
      <w:r>
        <w:rPr>
          <w:rFonts w:hint="eastAsia" w:ascii="黑体" w:hAnsi="黑体" w:eastAsia="黑体" w:cs="黑体"/>
          <w:szCs w:val="22"/>
        </w:rPr>
        <w:t>4.3.8</w:t>
      </w:r>
      <w:r>
        <w:rPr>
          <w:rFonts w:ascii="宋体" w:eastAsia="宋体"/>
        </w:rPr>
        <w:t xml:space="preserve">  </w:t>
      </w:r>
      <w:r>
        <w:rPr>
          <w:rFonts w:hint="eastAsia" w:ascii="宋体" w:eastAsia="宋体"/>
        </w:rPr>
        <w:t>非本岗位生产人员不得擅自启、闭生产设备及仪器。</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4.3.9 </w:t>
      </w:r>
      <w:r>
        <w:rPr>
          <w:rFonts w:ascii="宋体" w:eastAsia="宋体"/>
        </w:rPr>
        <w:t xml:space="preserve"> </w:t>
      </w:r>
      <w:r>
        <w:rPr>
          <w:rFonts w:hint="eastAsia" w:ascii="宋体" w:eastAsia="宋体"/>
        </w:rPr>
        <w:t>生产人员启、闭电气开关时，应按电工操作规程进行。</w:t>
      </w:r>
    </w:p>
    <w:p>
      <w:pPr>
        <w:pStyle w:val="49"/>
        <w:numPr>
          <w:ilvl w:val="0"/>
          <w:numId w:val="0"/>
        </w:numPr>
        <w:spacing w:beforeLines="0" w:afterLines="0"/>
        <w:rPr>
          <w:rFonts w:ascii="宋体" w:eastAsia="宋体"/>
        </w:rPr>
      </w:pPr>
      <w:r>
        <w:rPr>
          <w:rFonts w:hint="eastAsia" w:ascii="黑体" w:hAnsi="黑体" w:eastAsia="黑体" w:cs="黑体"/>
          <w:szCs w:val="22"/>
        </w:rPr>
        <w:t>4.3.10</w:t>
      </w:r>
      <w:r>
        <w:rPr>
          <w:rFonts w:ascii="宋体" w:eastAsia="宋体"/>
        </w:rPr>
        <w:t xml:space="preserve">  </w:t>
      </w:r>
      <w:r>
        <w:rPr>
          <w:rFonts w:hint="eastAsia" w:ascii="宋体" w:eastAsia="宋体"/>
        </w:rPr>
        <w:t>需断电维修的各种设备，进行检修作业前必须断电,并应在开关处悬挂维修标牌。</w:t>
      </w:r>
    </w:p>
    <w:p>
      <w:pPr>
        <w:pStyle w:val="49"/>
        <w:numPr>
          <w:ilvl w:val="0"/>
          <w:numId w:val="0"/>
        </w:numPr>
        <w:spacing w:beforeLines="0" w:afterLines="0"/>
        <w:rPr>
          <w:rFonts w:ascii="宋体" w:eastAsia="宋体"/>
        </w:rPr>
      </w:pPr>
      <w:r>
        <w:rPr>
          <w:rFonts w:hint="eastAsia" w:ascii="黑体" w:hAnsi="黑体" w:eastAsia="黑体" w:cs="黑体"/>
          <w:szCs w:val="22"/>
        </w:rPr>
        <w:t>4.3.11</w:t>
      </w:r>
      <w:r>
        <w:rPr>
          <w:rFonts w:hint="eastAsia" w:ascii="宋体" w:eastAsia="宋体"/>
        </w:rPr>
        <w:t xml:space="preserve">  维修机械设备时</w:t>
      </w:r>
      <w:r>
        <w:rPr>
          <w:rFonts w:hint="eastAsia" w:ascii="宋体" w:eastAsia="宋体"/>
          <w:lang w:eastAsia="zh-CN"/>
        </w:rPr>
        <w:t>，</w:t>
      </w:r>
      <w:r>
        <w:rPr>
          <w:rFonts w:hint="eastAsia" w:ascii="宋体" w:eastAsia="宋体"/>
        </w:rPr>
        <w:t>不得随意搭接临时动力线。</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4.3.12 </w:t>
      </w:r>
      <w:r>
        <w:rPr>
          <w:rFonts w:ascii="宋体" w:eastAsia="宋体"/>
        </w:rPr>
        <w:t xml:space="preserve"> </w:t>
      </w:r>
      <w:r>
        <w:rPr>
          <w:rFonts w:hint="eastAsia" w:ascii="宋体" w:eastAsia="宋体"/>
        </w:rPr>
        <w:t>检修电气控制柜时</w:t>
      </w:r>
      <w:r>
        <w:rPr>
          <w:rFonts w:hint="eastAsia" w:ascii="宋体" w:eastAsia="宋体"/>
          <w:lang w:eastAsia="zh-CN"/>
        </w:rPr>
        <w:t>，</w:t>
      </w:r>
      <w:r>
        <w:rPr>
          <w:rFonts w:hint="eastAsia" w:ascii="宋体" w:eastAsia="宋体"/>
        </w:rPr>
        <w:t>应先通知变、配电站切断该系统电源</w:t>
      </w:r>
      <w:r>
        <w:rPr>
          <w:rFonts w:hint="eastAsia" w:ascii="宋体" w:eastAsia="宋体"/>
          <w:lang w:eastAsia="zh-CN"/>
        </w:rPr>
        <w:t>，</w:t>
      </w:r>
      <w:r>
        <w:rPr>
          <w:rFonts w:hint="eastAsia" w:ascii="宋体" w:eastAsia="宋体"/>
        </w:rPr>
        <w:t>在检验无电后</w:t>
      </w:r>
      <w:r>
        <w:rPr>
          <w:rFonts w:hint="eastAsia" w:ascii="宋体" w:eastAsia="宋体"/>
          <w:lang w:eastAsia="zh-CN"/>
        </w:rPr>
        <w:t>，</w:t>
      </w:r>
      <w:r>
        <w:rPr>
          <w:rFonts w:hint="eastAsia" w:ascii="宋体" w:eastAsia="宋体"/>
        </w:rPr>
        <w:t>方可实施检修作业。</w:t>
      </w:r>
    </w:p>
    <w:p>
      <w:pPr>
        <w:pStyle w:val="49"/>
        <w:numPr>
          <w:ilvl w:val="0"/>
          <w:numId w:val="0"/>
        </w:numPr>
        <w:spacing w:beforeLines="0" w:afterLines="0"/>
        <w:rPr>
          <w:rFonts w:ascii="宋体" w:eastAsia="宋体"/>
        </w:rPr>
      </w:pPr>
      <w:r>
        <w:rPr>
          <w:rFonts w:hint="eastAsia" w:ascii="黑体" w:hAnsi="黑体" w:eastAsia="黑体" w:cs="黑体"/>
          <w:szCs w:val="22"/>
        </w:rPr>
        <w:t>4.3.13</w:t>
      </w:r>
      <w:r>
        <w:rPr>
          <w:rFonts w:hint="eastAsia" w:ascii="宋体" w:eastAsia="宋体"/>
        </w:rPr>
        <w:t xml:space="preserve">  清理机电设备及周围环境卫生时，严禁擦拭设备的转动部分，不得有冲洗水溅落在电缆接头或电机带电部位及润滑部位。</w:t>
      </w:r>
    </w:p>
    <w:p>
      <w:pPr>
        <w:pStyle w:val="49"/>
        <w:numPr>
          <w:ilvl w:val="0"/>
          <w:numId w:val="0"/>
        </w:numPr>
        <w:spacing w:beforeLines="0" w:afterLines="0"/>
        <w:rPr>
          <w:rFonts w:ascii="宋体" w:eastAsia="宋体"/>
        </w:rPr>
      </w:pPr>
      <w:r>
        <w:rPr>
          <w:rFonts w:hint="eastAsia" w:ascii="黑体" w:hAnsi="黑体" w:eastAsia="黑体" w:cs="黑体"/>
          <w:szCs w:val="22"/>
        </w:rPr>
        <w:t>4.3.14</w:t>
      </w:r>
      <w:r>
        <w:rPr>
          <w:rFonts w:hint="eastAsia" w:ascii="宋体" w:eastAsia="宋体"/>
        </w:rPr>
        <w:t xml:space="preserve">  当设备停机检修时，应先关闭相关的前序设备，并将有关信息传至中央控制室及后序工序。现场应有专人负责协调和安全监督。</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4.3.15 </w:t>
      </w:r>
      <w:r>
        <w:rPr>
          <w:rFonts w:hint="eastAsia" w:ascii="宋体" w:eastAsia="宋体"/>
        </w:rPr>
        <w:t xml:space="preserve"> 变配电室设备的安全操作应符合国家有关规定。</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4.3.16  </w:t>
      </w:r>
      <w:r>
        <w:rPr>
          <w:rFonts w:hint="eastAsia" w:ascii="宋体" w:eastAsia="宋体"/>
        </w:rPr>
        <w:t>污水运维单位灭火器配置场所的危险等级应按中危险级和轻危险级确定。</w:t>
      </w:r>
    </w:p>
    <w:p>
      <w:pPr>
        <w:pStyle w:val="49"/>
        <w:numPr>
          <w:ilvl w:val="0"/>
          <w:numId w:val="0"/>
        </w:numPr>
        <w:spacing w:beforeLines="0" w:afterLines="0"/>
        <w:rPr>
          <w:rFonts w:ascii="宋体" w:eastAsia="宋体"/>
        </w:rPr>
      </w:pPr>
      <w:r>
        <w:rPr>
          <w:rFonts w:hint="eastAsia" w:ascii="黑体" w:hAnsi="黑体" w:eastAsia="黑体" w:cs="黑体"/>
          <w:szCs w:val="22"/>
        </w:rPr>
        <w:t>4.3.17</w:t>
      </w:r>
      <w:r>
        <w:rPr>
          <w:rFonts w:hint="eastAsia" w:ascii="宋体" w:eastAsia="宋体"/>
        </w:rPr>
        <w:t xml:space="preserve">  污水运维单位可按A、B类火灾采取消防措施。</w:t>
      </w:r>
    </w:p>
    <w:p>
      <w:pPr>
        <w:pStyle w:val="49"/>
        <w:numPr>
          <w:ilvl w:val="0"/>
          <w:numId w:val="0"/>
        </w:numPr>
        <w:spacing w:beforeLines="0" w:afterLines="0"/>
        <w:rPr>
          <w:rFonts w:ascii="宋体" w:eastAsia="宋体"/>
        </w:rPr>
      </w:pPr>
      <w:r>
        <w:rPr>
          <w:rFonts w:hint="eastAsia" w:ascii="黑体" w:hAnsi="黑体" w:eastAsia="黑体" w:cs="黑体"/>
          <w:szCs w:val="22"/>
        </w:rPr>
        <w:t>4.3.18</w:t>
      </w:r>
      <w:r>
        <w:rPr>
          <w:rFonts w:hint="eastAsia" w:ascii="宋体" w:eastAsia="宋体"/>
        </w:rPr>
        <w:t xml:space="preserve">  消防器材设置应符合GB 50140的有关规定,并应定期检査、验核。</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4.3.19 </w:t>
      </w:r>
      <w:r>
        <w:rPr>
          <w:rFonts w:hint="eastAsia" w:ascii="宋体" w:eastAsia="宋体"/>
        </w:rPr>
        <w:t xml:space="preserve"> 污水运维单位的避雷、防爆措施应符合GB50057、GB 5083等标准的有关规定。</w:t>
      </w:r>
    </w:p>
    <w:p>
      <w:pPr>
        <w:pStyle w:val="49"/>
        <w:numPr>
          <w:ilvl w:val="0"/>
          <w:numId w:val="0"/>
        </w:numPr>
        <w:spacing w:beforeLines="0" w:afterLines="0"/>
        <w:rPr>
          <w:rFonts w:ascii="宋体" w:eastAsia="宋体"/>
        </w:rPr>
      </w:pPr>
      <w:r>
        <w:rPr>
          <w:rFonts w:hint="eastAsia" w:ascii="黑体" w:hAnsi="黑体" w:eastAsia="黑体" w:cs="黑体"/>
          <w:szCs w:val="22"/>
        </w:rPr>
        <w:t>4.3.20</w:t>
      </w:r>
      <w:r>
        <w:rPr>
          <w:rFonts w:hint="eastAsia" w:ascii="宋体" w:eastAsia="宋体"/>
        </w:rPr>
        <w:t xml:space="preserve">  应按GB14348、GB145543等的有关规定</w:t>
      </w:r>
      <w:r>
        <w:rPr>
          <w:rFonts w:hint="eastAsia" w:ascii="宋体" w:eastAsia="宋体"/>
          <w:lang w:eastAsia="zh-CN"/>
        </w:rPr>
        <w:t>，</w:t>
      </w:r>
      <w:r>
        <w:rPr>
          <w:rFonts w:hint="eastAsia" w:ascii="宋体" w:eastAsia="宋体"/>
        </w:rPr>
        <w:t>每月检测一次厂区、生产作业区的气味、噪声</w:t>
      </w:r>
      <w:r>
        <w:rPr>
          <w:rFonts w:hint="eastAsia" w:ascii="宋体" w:eastAsia="宋体"/>
          <w:lang w:eastAsia="zh-CN"/>
        </w:rPr>
        <w:t>，</w:t>
      </w:r>
      <w:r>
        <w:rPr>
          <w:rFonts w:hint="eastAsia" w:ascii="宋体" w:eastAsia="宋体"/>
        </w:rPr>
        <w:t>若厂区、生产作业区的气味及噪声超标，应采取相应的防治措施进行改善。</w:t>
      </w:r>
    </w:p>
    <w:p>
      <w:pPr>
        <w:pStyle w:val="49"/>
        <w:numPr>
          <w:ilvl w:val="0"/>
          <w:numId w:val="0"/>
        </w:numPr>
        <w:spacing w:beforeLines="0" w:afterLines="0"/>
        <w:rPr>
          <w:rFonts w:ascii="宋体" w:eastAsia="宋体"/>
        </w:rPr>
      </w:pPr>
      <w:r>
        <w:rPr>
          <w:rFonts w:hint="eastAsia" w:ascii="黑体" w:hAnsi="黑体" w:eastAsia="黑体" w:cs="黑体"/>
          <w:szCs w:val="22"/>
        </w:rPr>
        <w:t>4.3.21</w:t>
      </w:r>
      <w:r>
        <w:rPr>
          <w:rFonts w:hint="eastAsia" w:ascii="宋体" w:eastAsia="宋体"/>
        </w:rPr>
        <w:t xml:space="preserve">  应配备基本的防护救生用品及药品,将其放置在指定的、设有标志的明显位置</w:t>
      </w:r>
      <w:r>
        <w:rPr>
          <w:rFonts w:hint="eastAsia" w:ascii="宋体" w:eastAsia="宋体"/>
          <w:lang w:eastAsia="zh-CN"/>
        </w:rPr>
        <w:t>，</w:t>
      </w:r>
      <w:r>
        <w:rPr>
          <w:rFonts w:hint="eastAsia" w:ascii="宋体" w:eastAsia="宋体"/>
        </w:rPr>
        <w:t>并定期检查、更换、补充。</w:t>
      </w:r>
    </w:p>
    <w:p>
      <w:pPr>
        <w:pStyle w:val="49"/>
        <w:numPr>
          <w:ilvl w:val="0"/>
          <w:numId w:val="0"/>
        </w:numPr>
        <w:spacing w:beforeLines="0" w:afterLines="0"/>
        <w:rPr>
          <w:rFonts w:ascii="宋体" w:eastAsia="宋体"/>
        </w:rPr>
      </w:pPr>
      <w:r>
        <w:rPr>
          <w:rFonts w:hint="eastAsia" w:ascii="黑体" w:hAnsi="黑体" w:eastAsia="黑体" w:cs="黑体"/>
          <w:szCs w:val="22"/>
        </w:rPr>
        <w:t xml:space="preserve">4.3.22  </w:t>
      </w:r>
      <w:r>
        <w:rPr>
          <w:rFonts w:hint="eastAsia" w:ascii="宋体" w:eastAsia="宋体"/>
        </w:rPr>
        <w:t>应在易发事故点设置醒目的安全标志。安全标志的设置符合GB/T 4893.1的有关规定</w:t>
      </w:r>
    </w:p>
    <w:p>
      <w:pPr>
        <w:pStyle w:val="49"/>
        <w:numPr>
          <w:ilvl w:val="0"/>
          <w:numId w:val="0"/>
        </w:numPr>
        <w:spacing w:beforeLines="0" w:afterLines="0"/>
        <w:rPr>
          <w:rFonts w:ascii="宋体" w:eastAsia="宋体"/>
        </w:rPr>
      </w:pPr>
      <w:r>
        <w:rPr>
          <w:rFonts w:hint="eastAsia" w:ascii="黑体" w:hAnsi="黑体" w:eastAsia="黑体" w:cs="黑体"/>
          <w:szCs w:val="22"/>
        </w:rPr>
        <w:t>4.3.23</w:t>
      </w:r>
      <w:r>
        <w:rPr>
          <w:rFonts w:ascii="宋体" w:eastAsia="宋体"/>
        </w:rPr>
        <w:t xml:space="preserve">  </w:t>
      </w:r>
      <w:r>
        <w:rPr>
          <w:rFonts w:hint="eastAsia" w:ascii="宋体" w:eastAsia="宋体"/>
        </w:rPr>
        <w:t>污水运维单位应制定防火、防爆、防洪、防风、防疫等的应急预案和措施。</w:t>
      </w:r>
    </w:p>
    <w:p>
      <w:pPr>
        <w:pStyle w:val="49"/>
        <w:spacing w:before="312" w:after="312"/>
      </w:pPr>
      <w:r>
        <w:rPr>
          <w:rFonts w:hint="eastAsia"/>
        </w:rPr>
        <w:t>调节池运维</w:t>
      </w:r>
    </w:p>
    <w:p>
      <w:pPr>
        <w:pStyle w:val="26"/>
        <w:spacing w:before="156" w:beforeLines="50" w:after="156" w:afterLines="50"/>
        <w:ind w:firstLine="0" w:firstLineChars="0"/>
        <w:rPr>
          <w:rFonts w:ascii="黑体" w:eastAsia="黑体"/>
          <w:szCs w:val="21"/>
        </w:rPr>
      </w:pPr>
      <w:r>
        <w:rPr>
          <w:rFonts w:hint="eastAsia" w:ascii="黑体" w:eastAsia="黑体"/>
          <w:szCs w:val="21"/>
        </w:rPr>
        <w:t>5.1 日常运维</w:t>
      </w:r>
    </w:p>
    <w:p>
      <w:pPr>
        <w:pStyle w:val="26"/>
        <w:ind w:firstLine="0" w:firstLineChars="0"/>
      </w:pPr>
      <w:r>
        <w:rPr>
          <w:rFonts w:hint="eastAsia" w:ascii="黑体" w:hAnsi="黑体" w:eastAsia="黑体"/>
        </w:rPr>
        <w:t>5.1.1</w:t>
      </w:r>
      <w:r>
        <w:rPr>
          <w:rFonts w:hint="eastAsia" w:ascii="黑体" w:hAnsi="黑体" w:eastAsia="黑体"/>
          <w:lang w:val="en-US" w:eastAsia="zh-CN"/>
        </w:rPr>
        <w:t xml:space="preserve">  </w:t>
      </w:r>
      <w:r>
        <w:rPr>
          <w:rFonts w:hint="eastAsia" w:hAnsi="宋体"/>
        </w:rPr>
        <w:t>调节池应每周巡视一次观察进水、格栅、隔油、液位情况。</w:t>
      </w:r>
    </w:p>
    <w:p>
      <w:pPr>
        <w:pStyle w:val="26"/>
        <w:ind w:firstLine="0" w:firstLineChars="0"/>
      </w:pPr>
      <w:r>
        <w:rPr>
          <w:rFonts w:hint="eastAsia" w:ascii="黑体" w:hAnsi="黑体" w:eastAsia="黑体"/>
        </w:rPr>
        <w:t>5.1.</w:t>
      </w:r>
      <w:r>
        <w:rPr>
          <w:rFonts w:hint="eastAsia" w:ascii="黑体" w:hAnsi="黑体" w:eastAsia="黑体"/>
          <w:lang w:val="en-US" w:eastAsia="zh-CN"/>
        </w:rPr>
        <w:t>2</w:t>
      </w:r>
      <w:r>
        <w:rPr>
          <w:rFonts w:hint="eastAsia" w:ascii="黑体" w:hAnsi="黑体" w:eastAsia="黑体"/>
        </w:rPr>
        <w:t xml:space="preserve"> </w:t>
      </w:r>
      <w:r>
        <w:rPr>
          <w:rFonts w:ascii="黑体" w:hAnsi="黑体" w:eastAsia="黑体"/>
        </w:rPr>
        <w:t xml:space="preserve"> </w:t>
      </w:r>
      <w:r>
        <w:rPr>
          <w:rFonts w:hint="eastAsia"/>
        </w:rPr>
        <w:t>需定期清理调节池内漂浮的油污固废，频率可视实际情况而定。</w:t>
      </w:r>
    </w:p>
    <w:p>
      <w:pPr>
        <w:pStyle w:val="26"/>
        <w:ind w:firstLine="0" w:firstLineChars="0"/>
      </w:pPr>
      <w:r>
        <w:rPr>
          <w:rFonts w:hint="eastAsia" w:ascii="黑体" w:hAnsi="黑体" w:eastAsia="黑体"/>
        </w:rPr>
        <w:t>5.1.</w:t>
      </w:r>
      <w:r>
        <w:rPr>
          <w:rFonts w:hint="eastAsia" w:ascii="黑体" w:hAnsi="黑体" w:eastAsia="黑体"/>
          <w:lang w:val="en-US" w:eastAsia="zh-CN"/>
        </w:rPr>
        <w:t>3</w:t>
      </w:r>
      <w:r>
        <w:rPr>
          <w:rFonts w:hint="eastAsia" w:ascii="黑体" w:hAnsi="黑体" w:eastAsia="黑体"/>
        </w:rPr>
        <w:t xml:space="preserve"> </w:t>
      </w:r>
      <w:r>
        <w:rPr>
          <w:rFonts w:ascii="黑体" w:hAnsi="黑体" w:eastAsia="黑体"/>
        </w:rPr>
        <w:t xml:space="preserve"> </w:t>
      </w:r>
      <w:r>
        <w:rPr>
          <w:rFonts w:hint="eastAsia" w:ascii="宋体" w:hAnsi="宋体" w:eastAsia="宋体" w:cs="宋体"/>
        </w:rPr>
        <w:t>若</w:t>
      </w:r>
      <w:r>
        <w:rPr>
          <w:rFonts w:hint="eastAsia"/>
        </w:rPr>
        <w:t>出现进水管堵塞、格栅破损、固废堵塞等异常情况，应立刻进行疏通、维修、更换、清除等工作，以保证调节池运行正常。</w:t>
      </w:r>
    </w:p>
    <w:p>
      <w:pPr>
        <w:pStyle w:val="26"/>
        <w:spacing w:before="156" w:beforeLines="50" w:after="156" w:afterLines="50"/>
        <w:ind w:firstLine="0" w:firstLineChars="0"/>
        <w:rPr>
          <w:rFonts w:ascii="黑体" w:eastAsia="黑体"/>
          <w:szCs w:val="21"/>
        </w:rPr>
      </w:pPr>
      <w:r>
        <w:rPr>
          <w:rFonts w:hint="eastAsia" w:ascii="黑体" w:eastAsia="黑体"/>
          <w:szCs w:val="21"/>
        </w:rPr>
        <w:t>5.2  维修保养</w:t>
      </w:r>
    </w:p>
    <w:p>
      <w:pPr>
        <w:pStyle w:val="26"/>
        <w:ind w:firstLine="0" w:firstLineChars="0"/>
      </w:pPr>
      <w:r>
        <w:rPr>
          <w:rFonts w:ascii="黑体" w:hAnsi="黑体" w:eastAsia="黑体"/>
        </w:rPr>
        <w:t>5.2.1</w:t>
      </w:r>
      <w:r>
        <w:t xml:space="preserve"> </w:t>
      </w:r>
      <w:r>
        <w:rPr>
          <w:rFonts w:hint="eastAsia"/>
        </w:rPr>
        <w:t xml:space="preserve"> 保证不将大型固体冲入进水管以防堵塞进水管道。</w:t>
      </w:r>
    </w:p>
    <w:p>
      <w:pPr>
        <w:pStyle w:val="26"/>
        <w:ind w:firstLine="0" w:firstLineChars="0"/>
        <w:rPr>
          <w:rFonts w:asciiTheme="minorEastAsia" w:hAnsiTheme="minorEastAsia" w:eastAsiaTheme="minorEastAsia"/>
        </w:rPr>
      </w:pPr>
      <w:r>
        <w:rPr>
          <w:rFonts w:ascii="黑体" w:hAnsi="黑体" w:eastAsia="黑体"/>
        </w:rPr>
        <w:t xml:space="preserve">5.2.2  </w:t>
      </w:r>
      <w:r>
        <w:rPr>
          <w:rFonts w:hint="eastAsia" w:asciiTheme="minorEastAsia" w:hAnsiTheme="minorEastAsia" w:eastAsiaTheme="minorEastAsia"/>
        </w:rPr>
        <w:t>应保证调节池液位开关工作正常水流通畅。</w:t>
      </w:r>
    </w:p>
    <w:p>
      <w:pPr>
        <w:pStyle w:val="26"/>
        <w:ind w:firstLine="0" w:firstLineChars="0"/>
      </w:pPr>
      <w:r>
        <w:rPr>
          <w:rFonts w:ascii="黑体" w:hAnsi="黑体" w:eastAsia="黑体"/>
        </w:rPr>
        <w:t xml:space="preserve">5.2.3  </w:t>
      </w:r>
      <w:r>
        <w:rPr>
          <w:rFonts w:hint="eastAsia"/>
        </w:rPr>
        <w:t>应定期校核并记录液位开关的液位误差</w:t>
      </w:r>
      <w:r>
        <w:rPr>
          <w:rFonts w:hint="eastAsia"/>
          <w:lang w:eastAsia="zh-CN"/>
        </w:rPr>
        <w:t>，</w:t>
      </w:r>
      <w:r>
        <w:rPr>
          <w:rFonts w:hint="eastAsia"/>
        </w:rPr>
        <w:t>并应由</w:t>
      </w:r>
      <w:r>
        <w:rPr>
          <w:rFonts w:hint="eastAsia"/>
          <w:lang w:val="en-US" w:eastAsia="zh-CN"/>
        </w:rPr>
        <w:t>现场技术</w:t>
      </w:r>
      <w:r>
        <w:rPr>
          <w:rFonts w:hint="eastAsia"/>
        </w:rPr>
        <w:t>人员进行误差调整。</w:t>
      </w:r>
    </w:p>
    <w:p>
      <w:pPr>
        <w:pStyle w:val="26"/>
        <w:ind w:firstLine="0" w:firstLineChars="0"/>
      </w:pPr>
      <w:r>
        <w:rPr>
          <w:rFonts w:ascii="黑体" w:hAnsi="黑体" w:eastAsia="黑体"/>
        </w:rPr>
        <w:t xml:space="preserve">5.2.4  </w:t>
      </w:r>
      <w:r>
        <w:rPr>
          <w:rFonts w:hint="eastAsia"/>
        </w:rPr>
        <w:t>生活、生产废水的监测点，应根据排放情况设定。</w:t>
      </w:r>
    </w:p>
    <w:p>
      <w:pPr>
        <w:pStyle w:val="46"/>
        <w:numPr>
          <w:ilvl w:val="0"/>
          <w:numId w:val="0"/>
        </w:numPr>
        <w:spacing w:before="156" w:after="156"/>
      </w:pPr>
      <w:r>
        <w:t xml:space="preserve">5.3  </w:t>
      </w:r>
      <w:r>
        <w:rPr>
          <w:rFonts w:hint="eastAsia"/>
        </w:rPr>
        <w:t>安全操作</w:t>
      </w:r>
    </w:p>
    <w:p>
      <w:pPr>
        <w:pStyle w:val="26"/>
        <w:ind w:firstLine="0" w:firstLineChars="0"/>
      </w:pPr>
      <w:r>
        <w:rPr>
          <w:rFonts w:ascii="黑体" w:hAnsi="黑体" w:eastAsia="黑体"/>
        </w:rPr>
        <w:t>5.3.1</w:t>
      </w:r>
      <w:r>
        <w:t xml:space="preserve">  </w:t>
      </w:r>
      <w:r>
        <w:rPr>
          <w:rFonts w:hint="eastAsia"/>
        </w:rPr>
        <w:t>调节池前方应设置醒目的水深及限位标志(装置)</w:t>
      </w:r>
      <w:r>
        <w:rPr>
          <w:rFonts w:hint="eastAsia"/>
          <w:lang w:eastAsia="zh-CN"/>
        </w:rPr>
        <w:t>，</w:t>
      </w:r>
      <w:r>
        <w:rPr>
          <w:rFonts w:hint="eastAsia"/>
        </w:rPr>
        <w:t>防止人员不慎落水或运输车辆撞击调节池及附属设施。</w:t>
      </w:r>
    </w:p>
    <w:p>
      <w:pPr>
        <w:pStyle w:val="26"/>
        <w:ind w:firstLine="0" w:firstLineChars="0"/>
        <w:rPr>
          <w:rFonts w:hint="eastAsia"/>
        </w:rPr>
      </w:pPr>
      <w:r>
        <w:rPr>
          <w:rFonts w:ascii="黑体" w:hAnsi="黑体" w:eastAsia="黑体"/>
        </w:rPr>
        <w:t xml:space="preserve">5.3.2  </w:t>
      </w:r>
      <w:r>
        <w:rPr>
          <w:rFonts w:hint="eastAsia"/>
        </w:rPr>
        <w:t>更换格栅时须停止进水抽干调节池中的污水，且在充分通风换气确保无有害气体之后，再行更换。</w:t>
      </w:r>
    </w:p>
    <w:p>
      <w:pPr>
        <w:pStyle w:val="49"/>
        <w:spacing w:before="312" w:after="312"/>
      </w:pPr>
      <w:r>
        <w:rPr>
          <w:rFonts w:hint="eastAsia"/>
        </w:rPr>
        <w:t>提升泵运维</w:t>
      </w:r>
    </w:p>
    <w:p>
      <w:pPr>
        <w:pStyle w:val="46"/>
        <w:numPr>
          <w:ilvl w:val="0"/>
          <w:numId w:val="0"/>
        </w:numPr>
        <w:spacing w:before="156" w:after="156"/>
      </w:pPr>
      <w:r>
        <w:rPr>
          <w:rFonts w:hint="eastAsia"/>
        </w:rPr>
        <w:t>6.1</w:t>
      </w:r>
      <w:r>
        <w:t xml:space="preserve"> </w:t>
      </w:r>
      <w:r>
        <w:rPr>
          <w:rFonts w:hint="eastAsia"/>
        </w:rPr>
        <w:t>日常运行</w:t>
      </w:r>
    </w:p>
    <w:p>
      <w:pPr>
        <w:pStyle w:val="26"/>
        <w:ind w:firstLine="0" w:firstLineChars="0"/>
      </w:pPr>
      <w:r>
        <w:rPr>
          <w:rFonts w:hint="eastAsia" w:ascii="黑体" w:hAnsi="黑体" w:eastAsia="黑体"/>
          <w:szCs w:val="22"/>
        </w:rPr>
        <w:t>6.1.1</w:t>
      </w:r>
      <w:r>
        <w:rPr>
          <w:rFonts w:ascii="黑体" w:hAnsi="黑体" w:eastAsia="黑体"/>
          <w:szCs w:val="22"/>
        </w:rPr>
        <w:t xml:space="preserve">  </w:t>
      </w:r>
      <w:r>
        <w:rPr>
          <w:rFonts w:hint="eastAsia"/>
        </w:rPr>
        <w:t>水泵开机前检查运转（手盘动）和润滑情况。</w:t>
      </w:r>
    </w:p>
    <w:p>
      <w:pPr>
        <w:pStyle w:val="26"/>
        <w:ind w:firstLine="0" w:firstLineChars="0"/>
      </w:pPr>
      <w:r>
        <w:rPr>
          <w:rFonts w:hint="eastAsia" w:ascii="黑体" w:hAnsi="黑体" w:eastAsia="黑体"/>
          <w:szCs w:val="22"/>
        </w:rPr>
        <w:t>6.1.2</w:t>
      </w:r>
      <w:r>
        <w:t xml:space="preserve">  </w:t>
      </w:r>
      <w:r>
        <w:rPr>
          <w:rFonts w:hint="eastAsia"/>
        </w:rPr>
        <w:t>检查相关阀门是否处于正常位置。</w:t>
      </w:r>
    </w:p>
    <w:p>
      <w:pPr>
        <w:pStyle w:val="26"/>
        <w:ind w:firstLine="0" w:firstLineChars="0"/>
      </w:pPr>
      <w:r>
        <w:rPr>
          <w:rFonts w:hint="eastAsia" w:ascii="黑体" w:hAnsi="黑体" w:eastAsia="黑体"/>
          <w:szCs w:val="22"/>
        </w:rPr>
        <w:t xml:space="preserve">6.1.3 </w:t>
      </w:r>
      <w:r>
        <w:t xml:space="preserve"> </w:t>
      </w:r>
      <w:r>
        <w:rPr>
          <w:rFonts w:hint="eastAsia"/>
        </w:rPr>
        <w:t>通电后检查泵开启停止与液位开关联动情况确保信号正常。</w:t>
      </w:r>
    </w:p>
    <w:p>
      <w:pPr>
        <w:pStyle w:val="26"/>
        <w:ind w:firstLine="0" w:firstLineChars="0"/>
      </w:pPr>
      <w:r>
        <w:rPr>
          <w:rFonts w:hint="eastAsia" w:ascii="黑体" w:hAnsi="黑体" w:eastAsia="黑体"/>
          <w:szCs w:val="22"/>
        </w:rPr>
        <w:t>6.1.</w:t>
      </w:r>
      <w:r>
        <w:rPr>
          <w:rFonts w:hint="eastAsia" w:ascii="黑体" w:hAnsi="黑体" w:eastAsia="黑体"/>
          <w:szCs w:val="22"/>
          <w:lang w:val="en-US" w:eastAsia="zh-CN"/>
        </w:rPr>
        <w:t>4</w:t>
      </w:r>
      <w:r>
        <w:rPr>
          <w:rFonts w:hint="eastAsia" w:ascii="黑体" w:hAnsi="黑体" w:eastAsia="黑体"/>
          <w:szCs w:val="22"/>
        </w:rPr>
        <w:t xml:space="preserve"> </w:t>
      </w:r>
      <w:r>
        <w:t xml:space="preserve"> </w:t>
      </w:r>
      <w:r>
        <w:rPr>
          <w:rFonts w:hint="eastAsia"/>
        </w:rPr>
        <w:t>离心类水泵可在带压（关闭出水阀）条件下启动；停止运行时应关闭出水阀防止空气进入泵内。</w:t>
      </w:r>
    </w:p>
    <w:p>
      <w:pPr>
        <w:pStyle w:val="26"/>
        <w:ind w:firstLine="0" w:firstLineChars="0"/>
      </w:pPr>
      <w:r>
        <w:rPr>
          <w:rFonts w:hint="eastAsia" w:ascii="黑体" w:hAnsi="黑体" w:eastAsia="黑体"/>
          <w:szCs w:val="22"/>
        </w:rPr>
        <w:t xml:space="preserve">6.1.5 </w:t>
      </w:r>
      <w:r>
        <w:t xml:space="preserve"> </w:t>
      </w:r>
      <w:r>
        <w:rPr>
          <w:rFonts w:hint="eastAsia"/>
        </w:rPr>
        <w:t>严禁空泵运转和超载，确保运行中无异响，正常运转温度不宜超过65℃，防止设备事故。</w:t>
      </w:r>
    </w:p>
    <w:p>
      <w:pPr>
        <w:pStyle w:val="26"/>
        <w:spacing w:before="156" w:beforeLines="50" w:after="156" w:afterLines="50"/>
        <w:ind w:firstLine="0" w:firstLineChars="0"/>
        <w:rPr>
          <w:rFonts w:ascii="黑体" w:eastAsia="黑体"/>
          <w:szCs w:val="21"/>
        </w:rPr>
      </w:pPr>
      <w:r>
        <w:rPr>
          <w:rFonts w:hint="eastAsia" w:ascii="黑体" w:eastAsia="黑体"/>
          <w:szCs w:val="21"/>
        </w:rPr>
        <w:t xml:space="preserve">6.2 </w:t>
      </w:r>
      <w:r>
        <w:rPr>
          <w:rFonts w:ascii="黑体" w:eastAsia="黑体"/>
          <w:szCs w:val="21"/>
        </w:rPr>
        <w:t xml:space="preserve"> </w:t>
      </w:r>
      <w:r>
        <w:rPr>
          <w:rFonts w:hint="eastAsia" w:ascii="黑体" w:eastAsia="黑体"/>
          <w:szCs w:val="21"/>
        </w:rPr>
        <w:t>维护保养</w:t>
      </w:r>
    </w:p>
    <w:p>
      <w:pPr>
        <w:pStyle w:val="26"/>
        <w:ind w:firstLine="0" w:firstLineChars="0"/>
      </w:pPr>
      <w:r>
        <w:rPr>
          <w:rFonts w:hint="eastAsia" w:ascii="黑体" w:hAnsi="黑体" w:eastAsia="黑体"/>
          <w:szCs w:val="22"/>
        </w:rPr>
        <w:t>6.2.1</w:t>
      </w:r>
      <w:r>
        <w:t xml:space="preserve">  </w:t>
      </w:r>
      <w:r>
        <w:rPr>
          <w:rFonts w:hint="eastAsia"/>
        </w:rPr>
        <w:t>应保证提升泵工作电源排除电路、低压、高压等异常。</w:t>
      </w:r>
    </w:p>
    <w:p>
      <w:pPr>
        <w:pStyle w:val="26"/>
        <w:ind w:firstLine="0" w:firstLineChars="0"/>
      </w:pPr>
      <w:r>
        <w:rPr>
          <w:rFonts w:hint="eastAsia" w:ascii="黑体" w:hAnsi="黑体" w:eastAsia="黑体"/>
          <w:szCs w:val="22"/>
        </w:rPr>
        <w:t>6.2.2</w:t>
      </w:r>
      <w:r>
        <w:t xml:space="preserve">  </w:t>
      </w:r>
      <w:r>
        <w:rPr>
          <w:rFonts w:hint="eastAsia"/>
        </w:rPr>
        <w:t>应保证提升泵电机传动正常</w:t>
      </w:r>
      <w:r>
        <w:rPr>
          <w:rFonts w:hint="eastAsia"/>
          <w:lang w:val="en-US" w:eastAsia="zh-CN"/>
        </w:rPr>
        <w:t>O</w:t>
      </w:r>
      <w:r>
        <w:rPr>
          <w:rFonts w:hint="eastAsia"/>
        </w:rPr>
        <w:t>形圈密封正常机械密封正常。</w:t>
      </w:r>
    </w:p>
    <w:p>
      <w:pPr>
        <w:pStyle w:val="26"/>
        <w:ind w:firstLine="0" w:firstLineChars="0"/>
      </w:pPr>
      <w:r>
        <w:rPr>
          <w:rFonts w:hint="eastAsia" w:ascii="黑体" w:hAnsi="黑体" w:eastAsia="黑体"/>
          <w:szCs w:val="22"/>
        </w:rPr>
        <w:t xml:space="preserve">6.2.3 </w:t>
      </w:r>
      <w:r>
        <w:t xml:space="preserve"> </w:t>
      </w:r>
      <w:r>
        <w:rPr>
          <w:rFonts w:hint="eastAsia"/>
        </w:rPr>
        <w:t>应定期除锈加油防止出现电机腐蚀和摩擦发热。</w:t>
      </w:r>
    </w:p>
    <w:p>
      <w:pPr>
        <w:pStyle w:val="26"/>
        <w:ind w:firstLine="0" w:firstLineChars="0"/>
      </w:pPr>
      <w:r>
        <w:rPr>
          <w:rFonts w:hint="eastAsia" w:ascii="黑体" w:hAnsi="黑体" w:eastAsia="黑体"/>
          <w:szCs w:val="22"/>
        </w:rPr>
        <w:t>6.2.</w:t>
      </w:r>
      <w:r>
        <w:rPr>
          <w:rFonts w:hint="eastAsia" w:ascii="黑体" w:hAnsi="黑体" w:eastAsia="黑体"/>
          <w:szCs w:val="22"/>
          <w:lang w:val="en-US" w:eastAsia="zh-CN"/>
        </w:rPr>
        <w:t>4</w:t>
      </w:r>
      <w:r>
        <w:rPr>
          <w:rFonts w:hint="eastAsia" w:ascii="黑体" w:hAnsi="黑体" w:eastAsia="黑体"/>
          <w:szCs w:val="22"/>
        </w:rPr>
        <w:t xml:space="preserve"> </w:t>
      </w:r>
      <w:r>
        <w:t xml:space="preserve"> </w:t>
      </w:r>
      <w:r>
        <w:rPr>
          <w:rFonts w:hint="eastAsia"/>
        </w:rPr>
        <w:t>提升泵的异常及维修方法详见附录A。</w:t>
      </w:r>
    </w:p>
    <w:p>
      <w:pPr>
        <w:pStyle w:val="26"/>
        <w:spacing w:before="156" w:beforeLines="50" w:after="156" w:afterLines="50"/>
        <w:ind w:firstLine="0" w:firstLineChars="0"/>
        <w:rPr>
          <w:rFonts w:ascii="黑体" w:hAnsi="黑体" w:eastAsia="黑体"/>
        </w:rPr>
      </w:pPr>
      <w:r>
        <w:rPr>
          <w:rFonts w:hint="eastAsia" w:ascii="黑体" w:hAnsi="黑体" w:eastAsia="黑体"/>
        </w:rPr>
        <w:t xml:space="preserve">6.3 </w:t>
      </w:r>
      <w:r>
        <w:rPr>
          <w:rFonts w:ascii="黑体" w:hAnsi="黑体" w:eastAsia="黑体"/>
        </w:rPr>
        <w:t xml:space="preserve"> </w:t>
      </w:r>
      <w:r>
        <w:rPr>
          <w:rFonts w:hint="eastAsia" w:ascii="黑体" w:hAnsi="黑体" w:eastAsia="黑体"/>
        </w:rPr>
        <w:t>安全操作</w:t>
      </w:r>
    </w:p>
    <w:p>
      <w:pPr>
        <w:pStyle w:val="26"/>
      </w:pPr>
      <w:r>
        <w:rPr>
          <w:rFonts w:hint="eastAsia"/>
        </w:rPr>
        <w:t>提升泵出现下列情况时立即停机整修：</w:t>
      </w:r>
    </w:p>
    <w:p>
      <w:pPr>
        <w:pStyle w:val="160"/>
        <w:numPr>
          <w:ilvl w:val="0"/>
          <w:numId w:val="10"/>
        </w:numPr>
        <w:ind w:firstLineChars="0"/>
        <w:rPr>
          <w:rFonts w:ascii="宋体"/>
          <w:kern w:val="0"/>
          <w:szCs w:val="20"/>
        </w:rPr>
      </w:pPr>
      <w:r>
        <w:rPr>
          <w:rFonts w:hint="eastAsia" w:ascii="宋体"/>
          <w:kern w:val="0"/>
          <w:szCs w:val="20"/>
        </w:rPr>
        <w:t>通电后无法抽水或水流量偏小；</w:t>
      </w:r>
    </w:p>
    <w:p>
      <w:pPr>
        <w:pStyle w:val="160"/>
        <w:numPr>
          <w:ilvl w:val="0"/>
          <w:numId w:val="10"/>
        </w:numPr>
        <w:ind w:firstLineChars="0"/>
        <w:rPr>
          <w:rFonts w:ascii="宋体"/>
          <w:kern w:val="0"/>
          <w:szCs w:val="20"/>
        </w:rPr>
      </w:pPr>
      <w:r>
        <w:rPr>
          <w:rFonts w:hint="eastAsia" w:ascii="宋体"/>
          <w:kern w:val="0"/>
          <w:szCs w:val="20"/>
        </w:rPr>
        <w:t>电机发热温度高于65℃；</w:t>
      </w:r>
    </w:p>
    <w:p>
      <w:pPr>
        <w:pStyle w:val="160"/>
        <w:numPr>
          <w:ilvl w:val="0"/>
          <w:numId w:val="10"/>
        </w:numPr>
        <w:ind w:firstLineChars="0"/>
        <w:rPr>
          <w:rFonts w:ascii="宋体"/>
          <w:kern w:val="0"/>
          <w:szCs w:val="20"/>
        </w:rPr>
      </w:pPr>
      <w:r>
        <w:rPr>
          <w:rFonts w:hint="eastAsia" w:ascii="宋体"/>
          <w:kern w:val="0"/>
          <w:szCs w:val="20"/>
        </w:rPr>
        <w:t>抽水时出现异常噪声或异常震动。</w:t>
      </w:r>
    </w:p>
    <w:p>
      <w:pPr>
        <w:pStyle w:val="49"/>
        <w:spacing w:before="312" w:after="312"/>
      </w:pPr>
      <w:r>
        <w:rPr>
          <w:rFonts w:hint="eastAsia"/>
        </w:rPr>
        <w:t>罗茨风机运维</w:t>
      </w:r>
    </w:p>
    <w:p>
      <w:pPr>
        <w:pStyle w:val="46"/>
        <w:numPr>
          <w:ilvl w:val="0"/>
          <w:numId w:val="0"/>
        </w:numPr>
        <w:spacing w:before="156" w:after="156"/>
      </w:pPr>
      <w:r>
        <w:rPr>
          <w:rFonts w:hint="eastAsia"/>
        </w:rPr>
        <w:t>7.1</w:t>
      </w:r>
      <w:r>
        <w:t xml:space="preserve"> </w:t>
      </w:r>
      <w:r>
        <w:rPr>
          <w:rFonts w:hint="eastAsia"/>
        </w:rPr>
        <w:t>日常运行</w:t>
      </w:r>
    </w:p>
    <w:p>
      <w:pPr>
        <w:pStyle w:val="26"/>
        <w:ind w:firstLine="0" w:firstLineChars="0"/>
      </w:pPr>
      <w:r>
        <w:rPr>
          <w:rFonts w:hint="eastAsia" w:ascii="黑体" w:hAnsi="黑体" w:eastAsia="黑体"/>
          <w:szCs w:val="22"/>
        </w:rPr>
        <w:t xml:space="preserve">7.1.1 </w:t>
      </w:r>
      <w:r>
        <w:t xml:space="preserve"> </w:t>
      </w:r>
      <w:r>
        <w:rPr>
          <w:rFonts w:hint="eastAsia"/>
        </w:rPr>
        <w:t>开机前需检查转动和润滑情况</w:t>
      </w:r>
    </w:p>
    <w:p>
      <w:pPr>
        <w:pStyle w:val="26"/>
        <w:ind w:firstLine="0" w:firstLineChars="0"/>
      </w:pPr>
      <w:r>
        <w:rPr>
          <w:rFonts w:hint="eastAsia" w:ascii="黑体" w:hAnsi="黑体" w:eastAsia="黑体"/>
          <w:szCs w:val="22"/>
        </w:rPr>
        <w:t>7.1.</w:t>
      </w:r>
      <w:r>
        <w:rPr>
          <w:rFonts w:hint="eastAsia" w:ascii="黑体" w:hAnsi="黑体" w:eastAsia="黑体"/>
          <w:szCs w:val="22"/>
          <w:lang w:val="en-US" w:eastAsia="zh-CN"/>
        </w:rPr>
        <w:t>2</w:t>
      </w:r>
      <w:r>
        <w:t xml:space="preserve">  </w:t>
      </w:r>
      <w:r>
        <w:rPr>
          <w:rFonts w:hint="eastAsia"/>
        </w:rPr>
        <w:t>应每天在线观察罗茨风机是否正常运转。</w:t>
      </w:r>
    </w:p>
    <w:p>
      <w:pPr>
        <w:pStyle w:val="26"/>
        <w:ind w:firstLine="0" w:firstLineChars="0"/>
      </w:pPr>
      <w:r>
        <w:rPr>
          <w:rFonts w:hint="eastAsia" w:ascii="黑体" w:hAnsi="黑体" w:eastAsia="黑体"/>
          <w:szCs w:val="22"/>
        </w:rPr>
        <w:t>7.1.</w:t>
      </w:r>
      <w:r>
        <w:rPr>
          <w:rFonts w:hint="eastAsia" w:ascii="黑体" w:hAnsi="黑体" w:eastAsia="黑体"/>
          <w:szCs w:val="22"/>
          <w:lang w:val="en-US" w:eastAsia="zh-CN"/>
        </w:rPr>
        <w:t>3</w:t>
      </w:r>
      <w:r>
        <w:t xml:space="preserve">  </w:t>
      </w:r>
      <w:r>
        <w:rPr>
          <w:rFonts w:hint="eastAsia"/>
        </w:rPr>
        <w:t>应每周巡视观察罗茨风机与DO仪的联动情况观察并记录PLC信号与电磁阀的联动情况。</w:t>
      </w:r>
    </w:p>
    <w:p>
      <w:pPr>
        <w:pStyle w:val="26"/>
        <w:ind w:firstLine="0" w:firstLineChars="0"/>
      </w:pPr>
      <w:r>
        <w:rPr>
          <w:rFonts w:hint="eastAsia" w:ascii="黑体" w:hAnsi="黑体" w:eastAsia="黑体"/>
          <w:szCs w:val="22"/>
        </w:rPr>
        <w:t>7.1.</w:t>
      </w:r>
      <w:r>
        <w:rPr>
          <w:rFonts w:hint="eastAsia" w:ascii="黑体" w:hAnsi="黑体" w:eastAsia="黑体"/>
          <w:szCs w:val="22"/>
          <w:lang w:val="en-US" w:eastAsia="zh-CN"/>
        </w:rPr>
        <w:t>4</w:t>
      </w:r>
      <w:r>
        <w:t xml:space="preserve">  </w:t>
      </w:r>
      <w:r>
        <w:rPr>
          <w:rFonts w:hint="eastAsia"/>
        </w:rPr>
        <w:t>风机空载启动、启动前应保证阀门开启管道通畅。</w:t>
      </w:r>
    </w:p>
    <w:p>
      <w:pPr>
        <w:pStyle w:val="26"/>
        <w:spacing w:before="156" w:beforeLines="50" w:after="156" w:afterLines="50"/>
        <w:ind w:firstLine="0" w:firstLineChars="0"/>
        <w:rPr>
          <w:rFonts w:ascii="黑体" w:hAnsi="黑体" w:eastAsia="黑体"/>
        </w:rPr>
      </w:pPr>
      <w:r>
        <w:rPr>
          <w:rFonts w:hint="eastAsia" w:ascii="黑体" w:hAnsi="黑体" w:eastAsia="黑体"/>
        </w:rPr>
        <w:t xml:space="preserve">7.2 </w:t>
      </w:r>
      <w:r>
        <w:rPr>
          <w:rFonts w:ascii="黑体" w:hAnsi="黑体" w:eastAsia="黑体"/>
        </w:rPr>
        <w:t xml:space="preserve"> </w:t>
      </w:r>
      <w:r>
        <w:rPr>
          <w:rFonts w:hint="eastAsia" w:ascii="黑体" w:hAnsi="黑体" w:eastAsia="黑体"/>
        </w:rPr>
        <w:t>维修保养</w:t>
      </w:r>
    </w:p>
    <w:p>
      <w:pPr>
        <w:pStyle w:val="26"/>
        <w:ind w:firstLine="0" w:firstLineChars="0"/>
        <w:rPr>
          <w:rFonts w:hint="eastAsia" w:eastAsia="宋体"/>
          <w:lang w:eastAsia="zh-CN"/>
        </w:rPr>
      </w:pPr>
      <w:r>
        <w:rPr>
          <w:rFonts w:hint="eastAsia" w:ascii="黑体" w:hAnsi="黑体" w:eastAsia="黑体"/>
          <w:szCs w:val="22"/>
        </w:rPr>
        <w:t xml:space="preserve">7.2.1 </w:t>
      </w:r>
      <w:r>
        <w:t xml:space="preserve"> </w:t>
      </w:r>
      <w:r>
        <w:rPr>
          <w:rFonts w:hint="eastAsia"/>
        </w:rPr>
        <w:t>风机属于高速运转部件，开机前必须检查润滑油标，油位应处于红线以上，风机的润滑油、润滑脂需定期更换（具体更换周期根据风机说明书确定）</w:t>
      </w:r>
      <w:r>
        <w:rPr>
          <w:rFonts w:hint="eastAsia"/>
          <w:lang w:eastAsia="zh-CN"/>
        </w:rPr>
        <w:t>。</w:t>
      </w:r>
    </w:p>
    <w:p>
      <w:pPr>
        <w:pStyle w:val="26"/>
        <w:ind w:firstLine="0" w:firstLineChars="0"/>
      </w:pPr>
      <w:r>
        <w:rPr>
          <w:rFonts w:hint="eastAsia" w:ascii="黑体" w:hAnsi="黑体" w:eastAsia="黑体"/>
          <w:szCs w:val="22"/>
        </w:rPr>
        <w:t xml:space="preserve">7.2.2 </w:t>
      </w:r>
      <w:r>
        <w:t xml:space="preserve"> </w:t>
      </w:r>
      <w:r>
        <w:rPr>
          <w:rFonts w:hint="eastAsia"/>
        </w:rPr>
        <w:t>风机启动方式是保证运行安全的关键，风机启动和停止均应在空载的条件下。启动应按照下列要求进行：</w:t>
      </w:r>
    </w:p>
    <w:p>
      <w:pPr>
        <w:pStyle w:val="26"/>
        <w:numPr>
          <w:ilvl w:val="0"/>
          <w:numId w:val="11"/>
        </w:numPr>
        <w:ind w:firstLineChars="0"/>
      </w:pPr>
      <w:r>
        <w:rPr>
          <w:rFonts w:hint="eastAsia"/>
        </w:rPr>
        <w:t>手盘风机无卡滞现象；</w:t>
      </w:r>
    </w:p>
    <w:p>
      <w:pPr>
        <w:pStyle w:val="26"/>
        <w:numPr>
          <w:ilvl w:val="0"/>
          <w:numId w:val="11"/>
        </w:numPr>
        <w:ind w:firstLineChars="0"/>
      </w:pPr>
      <w:r>
        <w:rPr>
          <w:rFonts w:hint="eastAsia"/>
        </w:rPr>
        <w:t>将放空阀打开。首次启动时，曝气管阀门也应打开；</w:t>
      </w:r>
    </w:p>
    <w:p>
      <w:pPr>
        <w:pStyle w:val="26"/>
        <w:numPr>
          <w:ilvl w:val="0"/>
          <w:numId w:val="11"/>
        </w:numPr>
        <w:ind w:firstLineChars="0"/>
      </w:pPr>
      <w:r>
        <w:rPr>
          <w:rFonts w:hint="eastAsia"/>
        </w:rPr>
        <w:t>风机用专门设计的启动箱（自藕或软启动）启动；</w:t>
      </w:r>
    </w:p>
    <w:p>
      <w:pPr>
        <w:pStyle w:val="26"/>
        <w:numPr>
          <w:ilvl w:val="0"/>
          <w:numId w:val="11"/>
        </w:numPr>
        <w:ind w:firstLineChars="0"/>
      </w:pPr>
      <w:r>
        <w:rPr>
          <w:rFonts w:hint="eastAsia"/>
        </w:rPr>
        <w:t>风机应在达到额定转速后，开始缓慢关闭放空阀，同时按曝气量要求将曝气调节阀调至要求位置，直至将放空阀全部关闭为止。</w:t>
      </w:r>
    </w:p>
    <w:p>
      <w:pPr>
        <w:pStyle w:val="26"/>
        <w:numPr>
          <w:ilvl w:val="0"/>
          <w:numId w:val="11"/>
        </w:numPr>
        <w:ind w:firstLineChars="0"/>
      </w:pPr>
      <w:r>
        <w:rPr>
          <w:rFonts w:hint="eastAsia"/>
        </w:rPr>
        <w:t>风机正常运行后，轴承部位温度不宜超过说明书规定，一般应低于50℃，若不按上述方式启动，可能造成风机过载，烧坏风机。关停风机则应按反向程序进行，即先缓慢打开放空阀，再关停风机。若不按要求，突然关机可能造成池水倒灌至风机内，造成风机损坏。</w:t>
      </w:r>
    </w:p>
    <w:p>
      <w:pPr>
        <w:pStyle w:val="26"/>
        <w:ind w:firstLine="0" w:firstLineChars="0"/>
      </w:pPr>
      <w:r>
        <w:rPr>
          <w:rFonts w:hint="eastAsia" w:ascii="黑体" w:hAnsi="黑体" w:eastAsia="黑体"/>
          <w:szCs w:val="22"/>
        </w:rPr>
        <w:t xml:space="preserve">7.2.3  </w:t>
      </w:r>
      <w:r>
        <w:rPr>
          <w:rFonts w:hint="eastAsia"/>
        </w:rPr>
        <w:t>采用风冷风机，则在空气进口安装消声风管和消声器；若为水冷风机还应先期打开冷却水，停机后关停冷却水，保持良好冷却调节下运行。</w:t>
      </w:r>
    </w:p>
    <w:p>
      <w:pPr>
        <w:pStyle w:val="26"/>
        <w:ind w:firstLine="0" w:firstLineChars="0"/>
      </w:pPr>
      <w:r>
        <w:rPr>
          <w:rFonts w:hint="eastAsia" w:ascii="黑体" w:hAnsi="黑体" w:eastAsia="黑体"/>
          <w:szCs w:val="22"/>
        </w:rPr>
        <w:t xml:space="preserve">7.2.4 </w:t>
      </w:r>
      <w:r>
        <w:t xml:space="preserve"> </w:t>
      </w:r>
      <w:r>
        <w:rPr>
          <w:rFonts w:hint="eastAsia"/>
        </w:rPr>
        <w:t>风机异常及维修方法详见附录</w:t>
      </w:r>
      <w:r>
        <w:rPr>
          <w:rFonts w:hint="eastAsia"/>
          <w:lang w:val="en-US" w:eastAsia="zh-CN"/>
        </w:rPr>
        <w:t>表</w:t>
      </w:r>
      <w:r>
        <w:t>A</w:t>
      </w:r>
      <w:r>
        <w:rPr>
          <w:rFonts w:hint="eastAsia"/>
          <w:lang w:val="en-US" w:eastAsia="zh-CN"/>
        </w:rPr>
        <w:t>.2</w:t>
      </w:r>
      <w:r>
        <w:rPr>
          <w:rFonts w:hint="eastAsia"/>
        </w:rPr>
        <w:t>。</w:t>
      </w:r>
    </w:p>
    <w:p>
      <w:pPr>
        <w:pStyle w:val="46"/>
        <w:numPr>
          <w:ilvl w:val="0"/>
          <w:numId w:val="0"/>
        </w:numPr>
        <w:spacing w:before="156" w:after="156"/>
      </w:pPr>
      <w:r>
        <w:rPr>
          <w:rFonts w:hint="eastAsia"/>
        </w:rPr>
        <w:t>7.3</w:t>
      </w:r>
      <w:r>
        <w:t xml:space="preserve">  </w:t>
      </w:r>
      <w:r>
        <w:rPr>
          <w:rFonts w:hint="eastAsia"/>
        </w:rPr>
        <w:t>安全操作</w:t>
      </w:r>
    </w:p>
    <w:p>
      <w:pPr>
        <w:pStyle w:val="26"/>
        <w:ind w:firstLine="0" w:firstLineChars="0"/>
      </w:pPr>
      <w:r>
        <w:rPr>
          <w:rFonts w:hint="eastAsia" w:ascii="黑体" w:hAnsi="黑体" w:eastAsia="黑体"/>
          <w:szCs w:val="22"/>
        </w:rPr>
        <w:t xml:space="preserve">7.3.1 </w:t>
      </w:r>
      <w:r>
        <w:t xml:space="preserve"> </w:t>
      </w:r>
      <w:r>
        <w:rPr>
          <w:rFonts w:hint="eastAsia"/>
        </w:rPr>
        <w:t>风机转速极高现场必须设置醒目标志防止出现机械伤害。</w:t>
      </w:r>
    </w:p>
    <w:p>
      <w:pPr>
        <w:pStyle w:val="26"/>
        <w:ind w:firstLine="0" w:firstLineChars="0"/>
      </w:pPr>
      <w:r>
        <w:rPr>
          <w:rFonts w:hint="eastAsia" w:ascii="黑体" w:hAnsi="黑体" w:eastAsia="黑体" w:cs="黑体"/>
        </w:rPr>
        <w:t>7</w:t>
      </w:r>
      <w:r>
        <w:rPr>
          <w:rFonts w:hint="eastAsia" w:ascii="黑体" w:hAnsi="黑体" w:eastAsia="黑体"/>
          <w:szCs w:val="22"/>
        </w:rPr>
        <w:t>.3.2</w:t>
      </w:r>
      <w:r>
        <w:t xml:space="preserve">  </w:t>
      </w:r>
      <w:r>
        <w:rPr>
          <w:rFonts w:hint="eastAsia"/>
        </w:rPr>
        <w:t>风机出现以下情况时必须停机整修：</w:t>
      </w:r>
    </w:p>
    <w:p>
      <w:pPr>
        <w:pStyle w:val="160"/>
        <w:numPr>
          <w:ilvl w:val="0"/>
          <w:numId w:val="12"/>
        </w:numPr>
        <w:ind w:firstLineChars="0"/>
        <w:rPr>
          <w:rFonts w:ascii="宋体"/>
          <w:kern w:val="0"/>
          <w:szCs w:val="20"/>
        </w:rPr>
      </w:pPr>
      <w:r>
        <w:rPr>
          <w:rFonts w:hint="eastAsia" w:ascii="宋体"/>
          <w:kern w:val="0"/>
          <w:szCs w:val="20"/>
        </w:rPr>
        <w:t>开启后管道空气流量偏小风机转速明显偏慢；</w:t>
      </w:r>
    </w:p>
    <w:p>
      <w:pPr>
        <w:pStyle w:val="160"/>
        <w:numPr>
          <w:ilvl w:val="0"/>
          <w:numId w:val="12"/>
        </w:numPr>
        <w:ind w:firstLineChars="0"/>
        <w:rPr>
          <w:rFonts w:ascii="宋体"/>
          <w:kern w:val="0"/>
          <w:szCs w:val="20"/>
        </w:rPr>
      </w:pPr>
      <w:r>
        <w:rPr>
          <w:rFonts w:hint="eastAsia" w:ascii="宋体"/>
          <w:kern w:val="0"/>
          <w:szCs w:val="20"/>
        </w:rPr>
        <w:t>电机发热温度高于65℃；</w:t>
      </w:r>
    </w:p>
    <w:p>
      <w:pPr>
        <w:pStyle w:val="160"/>
        <w:numPr>
          <w:ilvl w:val="0"/>
          <w:numId w:val="12"/>
        </w:numPr>
        <w:ind w:firstLineChars="0"/>
        <w:rPr>
          <w:rFonts w:ascii="宋体"/>
          <w:kern w:val="0"/>
          <w:szCs w:val="20"/>
        </w:rPr>
      </w:pPr>
      <w:r>
        <w:rPr>
          <w:rFonts w:hint="eastAsia" w:ascii="宋体"/>
          <w:kern w:val="0"/>
          <w:szCs w:val="20"/>
        </w:rPr>
        <w:t>工作时出现异常噪声。</w:t>
      </w:r>
    </w:p>
    <w:p>
      <w:pPr>
        <w:pStyle w:val="49"/>
        <w:spacing w:before="312" w:after="312"/>
      </w:pPr>
      <w:r>
        <w:rPr>
          <w:rFonts w:hint="eastAsia"/>
        </w:rPr>
        <w:t>生化池运维</w:t>
      </w:r>
    </w:p>
    <w:p>
      <w:pPr>
        <w:pStyle w:val="46"/>
        <w:numPr>
          <w:ilvl w:val="0"/>
          <w:numId w:val="0"/>
        </w:numPr>
        <w:spacing w:before="156" w:after="156"/>
      </w:pPr>
      <w:r>
        <w:rPr>
          <w:rFonts w:hint="eastAsia"/>
        </w:rPr>
        <w:t>8.1</w:t>
      </w:r>
      <w:r>
        <w:t xml:space="preserve">  </w:t>
      </w:r>
      <w:r>
        <w:rPr>
          <w:rFonts w:hint="eastAsia"/>
        </w:rPr>
        <w:t>日常运行</w:t>
      </w:r>
    </w:p>
    <w:p>
      <w:pPr>
        <w:pStyle w:val="26"/>
        <w:ind w:firstLine="0" w:firstLineChars="0"/>
        <w:rPr>
          <w:rFonts w:hint="eastAsia"/>
        </w:rPr>
      </w:pPr>
      <w:r>
        <w:rPr>
          <w:rFonts w:hint="eastAsia" w:ascii="黑体" w:hAnsi="黑体" w:eastAsia="黑体" w:cs="黑体"/>
          <w:szCs w:val="22"/>
        </w:rPr>
        <w:t xml:space="preserve">8.1.1 </w:t>
      </w:r>
      <w:r>
        <w:rPr>
          <w:rFonts w:hint="eastAsia"/>
        </w:rPr>
        <w:t>应每天在线观察生化池的运行情况并记录总悬浮物含量内外回流和排泥情况，观察并调整好氧池内DO使之在正常范围内。</w:t>
      </w:r>
    </w:p>
    <w:p>
      <w:pPr>
        <w:pStyle w:val="26"/>
        <w:ind w:firstLine="0" w:firstLineChars="0"/>
        <w:rPr>
          <w:rFonts w:hint="default" w:eastAsia="宋体"/>
          <w:lang w:val="en-US" w:eastAsia="zh-CN"/>
        </w:rPr>
      </w:pPr>
      <w:r>
        <w:rPr>
          <w:rFonts w:hint="eastAsia" w:ascii="黑体" w:hAnsi="黑体" w:eastAsia="黑体" w:cs="黑体"/>
          <w:szCs w:val="22"/>
        </w:rPr>
        <w:t>8.1.2</w:t>
      </w:r>
      <w:r>
        <w:t xml:space="preserve">  </w:t>
      </w:r>
      <w:r>
        <w:rPr>
          <w:rFonts w:hint="eastAsia"/>
        </w:rPr>
        <w:t>应每周巡视生化池运行情况观察并记录二沉池出水状况、污泥生长状态和各传感器的通讯状况。</w:t>
      </w:r>
      <w:r>
        <w:rPr>
          <w:rFonts w:hint="eastAsia"/>
          <w:lang w:val="en-US" w:eastAsia="zh-CN"/>
        </w:rPr>
        <w:t>确保厌氧池DO值小于0.2mg/L，好氧池DO值维持在2~4mg/L。</w:t>
      </w:r>
    </w:p>
    <w:p>
      <w:pPr>
        <w:pStyle w:val="26"/>
        <w:ind w:firstLine="0" w:firstLineChars="0"/>
      </w:pPr>
      <w:r>
        <w:rPr>
          <w:rFonts w:hint="eastAsia" w:ascii="黑体" w:hAnsi="黑体" w:eastAsia="黑体" w:cs="黑体"/>
          <w:szCs w:val="22"/>
        </w:rPr>
        <w:t xml:space="preserve">8.1.3 </w:t>
      </w:r>
      <w:r>
        <w:t xml:space="preserve"> </w:t>
      </w:r>
      <w:r>
        <w:rPr>
          <w:rFonts w:hint="eastAsia"/>
        </w:rPr>
        <w:t>当生化池出现污泥膨胀、污泥老化、污泥解体等状况是应及时调整生化参数遏制污泥异常具体生化异常及处理办法详见附录</w:t>
      </w:r>
      <w:r>
        <w:t>B</w:t>
      </w:r>
      <w:r>
        <w:rPr>
          <w:rFonts w:hint="eastAsia"/>
        </w:rPr>
        <w:t>。</w:t>
      </w:r>
    </w:p>
    <w:p>
      <w:pPr>
        <w:pStyle w:val="26"/>
        <w:ind w:firstLine="0" w:firstLineChars="0"/>
      </w:pPr>
      <w:r>
        <w:rPr>
          <w:rFonts w:hint="eastAsia" w:ascii="黑体" w:hAnsi="黑体" w:eastAsia="黑体" w:cs="黑体"/>
          <w:szCs w:val="22"/>
        </w:rPr>
        <w:t xml:space="preserve">8.1.4 </w:t>
      </w:r>
      <w:r>
        <w:t xml:space="preserve"> </w:t>
      </w:r>
      <w:r>
        <w:rPr>
          <w:rFonts w:hint="eastAsia"/>
        </w:rPr>
        <w:t>当生化崩溃去除率急剧下降时必须进行生化重启具体生化启动方法详见附录</w:t>
      </w:r>
      <w:r>
        <w:t>B</w:t>
      </w:r>
      <w:r>
        <w:rPr>
          <w:rFonts w:hint="eastAsia"/>
        </w:rPr>
        <w:t>。</w:t>
      </w:r>
    </w:p>
    <w:p>
      <w:pPr>
        <w:pStyle w:val="46"/>
        <w:numPr>
          <w:ilvl w:val="0"/>
          <w:numId w:val="0"/>
        </w:numPr>
        <w:spacing w:before="156" w:after="156"/>
        <w:rPr>
          <w:rFonts w:hAnsi="黑体"/>
        </w:rPr>
      </w:pPr>
      <w:r>
        <w:rPr>
          <w:rFonts w:hint="eastAsia" w:hAnsi="黑体"/>
        </w:rPr>
        <w:t>8.2</w:t>
      </w:r>
      <w:r>
        <w:rPr>
          <w:rFonts w:hAnsi="黑体"/>
        </w:rPr>
        <w:t xml:space="preserve">  </w:t>
      </w:r>
      <w:r>
        <w:rPr>
          <w:rFonts w:hint="eastAsia" w:hAnsi="黑体"/>
        </w:rPr>
        <w:t>维护保养</w:t>
      </w:r>
    </w:p>
    <w:p>
      <w:pPr>
        <w:pStyle w:val="26"/>
        <w:ind w:firstLine="0" w:firstLineChars="0"/>
      </w:pPr>
      <w:r>
        <w:rPr>
          <w:rFonts w:hint="eastAsia" w:ascii="黑体" w:hAnsi="黑体" w:eastAsia="黑体" w:cs="黑体"/>
          <w:szCs w:val="22"/>
        </w:rPr>
        <w:t>8.2.1</w:t>
      </w:r>
      <w:r>
        <w:t xml:space="preserve"> </w:t>
      </w:r>
      <w:r>
        <w:rPr>
          <w:rFonts w:hint="eastAsia"/>
          <w:lang w:val="en-US" w:eastAsia="zh-CN"/>
        </w:rPr>
        <w:t xml:space="preserve"> </w:t>
      </w:r>
      <w:r>
        <w:rPr>
          <w:rFonts w:hint="eastAsia"/>
        </w:rPr>
        <w:t>应保证生化培养的必备营养，必要时可使用外部投入的方式补充营养物质。根据季节和现场情况调整处理量，保证生化池处理负荷在设计最低负荷和最高负荷之间，处理量的调整需缓慢进行，不能急剧波动。</w:t>
      </w:r>
    </w:p>
    <w:p>
      <w:pPr>
        <w:pStyle w:val="26"/>
        <w:ind w:firstLine="0" w:firstLineChars="0"/>
      </w:pPr>
      <w:r>
        <w:rPr>
          <w:rFonts w:hint="eastAsia" w:ascii="黑体" w:hAnsi="黑体" w:eastAsia="黑体" w:cs="黑体"/>
          <w:szCs w:val="22"/>
        </w:rPr>
        <w:t xml:space="preserve">8.2.2 </w:t>
      </w:r>
      <w:r>
        <w:t xml:space="preserve"> </w:t>
      </w:r>
      <w:r>
        <w:rPr>
          <w:rFonts w:hint="eastAsia"/>
        </w:rPr>
        <w:t>应保证回流泵工作正常污泥回流、排泥通畅。</w:t>
      </w:r>
    </w:p>
    <w:p>
      <w:pPr>
        <w:pStyle w:val="26"/>
        <w:ind w:firstLine="0" w:firstLineChars="0"/>
      </w:pPr>
      <w:r>
        <w:rPr>
          <w:rFonts w:hint="eastAsia" w:ascii="黑体" w:hAnsi="黑体" w:eastAsia="黑体" w:cs="黑体"/>
          <w:szCs w:val="22"/>
        </w:rPr>
        <w:t xml:space="preserve">8.2.3 </w:t>
      </w:r>
      <w:r>
        <w:t xml:space="preserve"> </w:t>
      </w:r>
      <w:r>
        <w:rPr>
          <w:rFonts w:hint="eastAsia"/>
        </w:rPr>
        <w:t>应定期校核DO仪悬浮物总量仪的误差,并应由计量认证部门的专业人员进行误差调整。</w:t>
      </w:r>
    </w:p>
    <w:p>
      <w:pPr>
        <w:pStyle w:val="26"/>
        <w:ind w:firstLine="0" w:firstLineChars="0"/>
      </w:pPr>
      <w:r>
        <w:rPr>
          <w:rFonts w:hint="eastAsia" w:ascii="黑体" w:hAnsi="黑体" w:eastAsia="黑体" w:cs="黑体"/>
          <w:szCs w:val="22"/>
        </w:rPr>
        <w:t xml:space="preserve">8.2.4 </w:t>
      </w:r>
      <w:r>
        <w:t xml:space="preserve"> </w:t>
      </w:r>
      <w:r>
        <w:rPr>
          <w:rFonts w:hint="eastAsia"/>
        </w:rPr>
        <w:t>定期保养各池体防止出现污水渗出。</w:t>
      </w:r>
    </w:p>
    <w:p>
      <w:pPr>
        <w:pStyle w:val="46"/>
        <w:numPr>
          <w:ilvl w:val="0"/>
          <w:numId w:val="0"/>
        </w:numPr>
        <w:spacing w:before="156" w:after="156"/>
      </w:pPr>
      <w:bookmarkStart w:id="13" w:name="OLE_LINK20"/>
      <w:bookmarkStart w:id="14" w:name="OLE_LINK21"/>
      <w:r>
        <w:rPr>
          <w:rFonts w:hint="eastAsia"/>
        </w:rPr>
        <w:t>8.3</w:t>
      </w:r>
      <w:r>
        <w:t xml:space="preserve">  </w:t>
      </w:r>
      <w:r>
        <w:rPr>
          <w:rFonts w:hint="eastAsia"/>
        </w:rPr>
        <w:t>安全操作</w:t>
      </w:r>
    </w:p>
    <w:p>
      <w:pPr>
        <w:pStyle w:val="26"/>
        <w:spacing w:before="156" w:beforeLines="50" w:after="156" w:afterLines="50"/>
        <w:ind w:firstLine="0" w:firstLineChars="0"/>
      </w:pPr>
      <w:r>
        <w:rPr>
          <w:rFonts w:hint="eastAsia" w:ascii="黑体" w:hAnsi="黑体" w:eastAsia="黑体" w:cs="黑体"/>
          <w:szCs w:val="22"/>
        </w:rPr>
        <w:t>8.3.1</w:t>
      </w:r>
      <w:r>
        <w:t xml:space="preserve">  </w:t>
      </w:r>
      <w:r>
        <w:rPr>
          <w:rFonts w:hint="eastAsia"/>
        </w:rPr>
        <w:t>生化池前方应设置醒目的水深及限位标志(装置)</w:t>
      </w:r>
      <w:r>
        <w:rPr>
          <w:rFonts w:hint="eastAsia"/>
          <w:lang w:eastAsia="zh-CN"/>
        </w:rPr>
        <w:t>，</w:t>
      </w:r>
      <w:r>
        <w:rPr>
          <w:rFonts w:hint="eastAsia"/>
        </w:rPr>
        <w:t>防止工作人员不慎落水或运输车辆撞击池体及附属设施。</w:t>
      </w:r>
    </w:p>
    <w:p>
      <w:pPr>
        <w:pStyle w:val="26"/>
        <w:spacing w:before="156" w:beforeLines="50" w:after="156" w:afterLines="50"/>
        <w:ind w:firstLine="0" w:firstLineChars="0"/>
      </w:pPr>
      <w:r>
        <w:rPr>
          <w:rFonts w:hint="eastAsia" w:ascii="黑体" w:hAnsi="黑体" w:eastAsia="黑体" w:cs="黑体"/>
          <w:szCs w:val="22"/>
        </w:rPr>
        <w:t>8.3.2</w:t>
      </w:r>
      <w:r>
        <w:t xml:space="preserve">  </w:t>
      </w:r>
      <w:r>
        <w:rPr>
          <w:rFonts w:hint="eastAsia"/>
        </w:rPr>
        <w:t>维修保养池体时须停止进水抽干池中的污水再行更换。</w:t>
      </w:r>
    </w:p>
    <w:p>
      <w:pPr>
        <w:pStyle w:val="26"/>
        <w:spacing w:before="312" w:beforeLines="100" w:after="312" w:afterLines="100"/>
        <w:ind w:firstLine="0" w:firstLineChars="0"/>
        <w:rPr>
          <w:rFonts w:ascii="黑体" w:hAnsi="黑体" w:eastAsia="黑体"/>
        </w:rPr>
      </w:pPr>
      <w:r>
        <w:rPr>
          <w:rFonts w:hint="eastAsia" w:ascii="黑体" w:hAnsi="黑体" w:eastAsia="黑体"/>
        </w:rPr>
        <w:t xml:space="preserve">9 </w:t>
      </w:r>
      <w:r>
        <w:rPr>
          <w:rFonts w:ascii="黑体" w:hAnsi="黑体" w:eastAsia="黑体"/>
        </w:rPr>
        <w:t xml:space="preserve"> </w:t>
      </w:r>
      <w:r>
        <w:rPr>
          <w:rFonts w:hint="eastAsia" w:ascii="黑体" w:hAnsi="黑体" w:eastAsia="黑体"/>
        </w:rPr>
        <w:t>压</w:t>
      </w:r>
      <w:r>
        <w:rPr>
          <w:rFonts w:hint="eastAsia" w:ascii="黑体" w:hAnsi="黑体" w:eastAsia="黑体"/>
          <w:lang w:val="en-US" w:eastAsia="zh-CN"/>
        </w:rPr>
        <w:t>滤</w:t>
      </w:r>
      <w:r>
        <w:rPr>
          <w:rFonts w:hint="eastAsia" w:ascii="黑体" w:hAnsi="黑体" w:eastAsia="黑体"/>
        </w:rPr>
        <w:t>机运维</w:t>
      </w:r>
    </w:p>
    <w:p>
      <w:pPr>
        <w:pStyle w:val="26"/>
        <w:spacing w:before="156" w:beforeLines="50" w:after="156" w:afterLines="50"/>
        <w:ind w:firstLine="0" w:firstLineChars="0"/>
        <w:rPr>
          <w:rFonts w:ascii="黑体" w:hAnsi="黑体" w:eastAsia="黑体"/>
        </w:rPr>
      </w:pPr>
      <w:r>
        <w:rPr>
          <w:rFonts w:hint="eastAsia" w:ascii="黑体" w:hAnsi="黑体" w:eastAsia="黑体"/>
        </w:rPr>
        <w:t>9.1  日常运行</w:t>
      </w:r>
    </w:p>
    <w:p>
      <w:pPr>
        <w:pStyle w:val="26"/>
        <w:ind w:firstLine="0" w:firstLineChars="0"/>
      </w:pPr>
      <w:r>
        <w:rPr>
          <w:rFonts w:hint="eastAsia" w:ascii="黑体" w:hAnsi="黑体" w:eastAsia="黑体" w:cs="黑体"/>
          <w:szCs w:val="22"/>
        </w:rPr>
        <w:t xml:space="preserve">9.1.1 </w:t>
      </w:r>
      <w:r>
        <w:t xml:space="preserve"> </w:t>
      </w:r>
      <w:r>
        <w:rPr>
          <w:rFonts w:hint="eastAsia"/>
        </w:rPr>
        <w:t>机器应经安装、调整、确认无误后方可投入使用。</w:t>
      </w:r>
    </w:p>
    <w:p>
      <w:pPr>
        <w:pStyle w:val="26"/>
        <w:ind w:firstLine="0" w:firstLineChars="0"/>
      </w:pPr>
      <w:r>
        <w:rPr>
          <w:rFonts w:hint="eastAsia" w:ascii="黑体" w:hAnsi="黑体" w:eastAsia="黑体" w:cs="黑体"/>
          <w:szCs w:val="22"/>
        </w:rPr>
        <w:t>9.1.2</w:t>
      </w:r>
      <w:r>
        <w:t xml:space="preserve">  </w:t>
      </w:r>
      <w:r>
        <w:rPr>
          <w:rFonts w:hint="eastAsia"/>
        </w:rPr>
        <w:t>应每次使用前检查滤布状况，滤布不得折叠和破损。</w:t>
      </w:r>
    </w:p>
    <w:p>
      <w:pPr>
        <w:pStyle w:val="26"/>
        <w:ind w:firstLine="0" w:firstLineChars="0"/>
      </w:pPr>
      <w:r>
        <w:rPr>
          <w:rFonts w:hint="eastAsia" w:ascii="黑体" w:hAnsi="黑体" w:eastAsia="黑体" w:cs="黑体"/>
          <w:szCs w:val="22"/>
        </w:rPr>
        <w:t>9.1.3</w:t>
      </w:r>
      <w:r>
        <w:t xml:space="preserve">  </w:t>
      </w:r>
      <w:r>
        <w:rPr>
          <w:rFonts w:hint="eastAsia"/>
        </w:rPr>
        <w:t>每月应检查各关口接头松动情况，法兰螺栓旋紧情况，垫片情况。</w:t>
      </w:r>
    </w:p>
    <w:p>
      <w:pPr>
        <w:pStyle w:val="46"/>
        <w:numPr>
          <w:ilvl w:val="0"/>
          <w:numId w:val="0"/>
        </w:numPr>
        <w:spacing w:before="156" w:after="156"/>
      </w:pPr>
      <w:r>
        <w:rPr>
          <w:rFonts w:hint="eastAsia"/>
        </w:rPr>
        <w:t>9.2</w:t>
      </w:r>
      <w:r>
        <w:t xml:space="preserve">  </w:t>
      </w:r>
      <w:r>
        <w:rPr>
          <w:rFonts w:hint="eastAsia"/>
        </w:rPr>
        <w:t>维护保养</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 xml:space="preserve">9.2.1 </w:t>
      </w:r>
      <w:r>
        <w:rPr>
          <w:rFonts w:ascii="宋体"/>
          <w:kern w:val="0"/>
          <w:szCs w:val="20"/>
        </w:rPr>
        <w:t xml:space="preserve"> </w:t>
      </w:r>
      <w:r>
        <w:rPr>
          <w:rFonts w:hint="eastAsia" w:ascii="宋体"/>
          <w:kern w:val="0"/>
          <w:szCs w:val="20"/>
        </w:rPr>
        <w:t>保证压滤机工作部件润滑，保证液压油液位正常，应定期进行润滑补油工作。</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9.2.2</w:t>
      </w:r>
      <w:r>
        <w:rPr>
          <w:rFonts w:ascii="宋体"/>
          <w:kern w:val="0"/>
          <w:szCs w:val="20"/>
        </w:rPr>
        <w:t xml:space="preserve">  </w:t>
      </w:r>
      <w:r>
        <w:rPr>
          <w:rFonts w:hint="eastAsia" w:ascii="宋体"/>
          <w:kern w:val="0"/>
          <w:szCs w:val="20"/>
        </w:rPr>
        <w:t>保证压滤机及其部件工作正常，应定期进行电路维护和设备防锈工作。</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9.2.3</w:t>
      </w:r>
      <w:r>
        <w:rPr>
          <w:rFonts w:ascii="宋体"/>
          <w:kern w:val="0"/>
          <w:szCs w:val="20"/>
        </w:rPr>
        <w:t xml:space="preserve">  </w:t>
      </w:r>
      <w:r>
        <w:rPr>
          <w:rFonts w:hint="eastAsia" w:ascii="宋体"/>
          <w:kern w:val="0"/>
          <w:szCs w:val="20"/>
        </w:rPr>
        <w:t>启动周期超过30d时应每个月空载启动一次。</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 xml:space="preserve">9.2.4 </w:t>
      </w:r>
      <w:r>
        <w:rPr>
          <w:rFonts w:ascii="宋体"/>
          <w:kern w:val="0"/>
          <w:szCs w:val="20"/>
        </w:rPr>
        <w:t xml:space="preserve"> </w:t>
      </w:r>
      <w:r>
        <w:rPr>
          <w:rFonts w:hint="eastAsia" w:ascii="宋体"/>
          <w:kern w:val="0"/>
          <w:szCs w:val="20"/>
        </w:rPr>
        <w:t>定期保养管道配件防止出现漏水漏油。</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 xml:space="preserve">9.2.5 </w:t>
      </w:r>
      <w:r>
        <w:rPr>
          <w:rFonts w:ascii="宋体"/>
          <w:kern w:val="0"/>
          <w:szCs w:val="20"/>
        </w:rPr>
        <w:t xml:space="preserve"> </w:t>
      </w:r>
      <w:r>
        <w:rPr>
          <w:rFonts w:hint="eastAsia" w:ascii="宋体"/>
          <w:kern w:val="0"/>
          <w:szCs w:val="20"/>
        </w:rPr>
        <w:t>压滤机异常及维修方法详见附录</w:t>
      </w:r>
      <w:r>
        <w:rPr>
          <w:rFonts w:hint="eastAsia" w:ascii="宋体"/>
          <w:kern w:val="0"/>
          <w:szCs w:val="20"/>
          <w:lang w:val="en-US" w:eastAsia="zh-CN"/>
        </w:rPr>
        <w:t>表A.4</w:t>
      </w:r>
      <w:r>
        <w:rPr>
          <w:rFonts w:hint="eastAsia" w:ascii="宋体"/>
          <w:kern w:val="0"/>
          <w:szCs w:val="20"/>
        </w:rPr>
        <w:t>。</w:t>
      </w:r>
    </w:p>
    <w:p>
      <w:pPr>
        <w:pStyle w:val="46"/>
        <w:numPr>
          <w:ilvl w:val="0"/>
          <w:numId w:val="0"/>
        </w:numPr>
        <w:spacing w:before="156" w:after="156"/>
      </w:pPr>
      <w:r>
        <w:rPr>
          <w:rFonts w:hint="eastAsia"/>
        </w:rPr>
        <w:t xml:space="preserve">9.3 </w:t>
      </w:r>
      <w:r>
        <w:t xml:space="preserve"> </w:t>
      </w:r>
      <w:r>
        <w:rPr>
          <w:rFonts w:hint="eastAsia"/>
        </w:rPr>
        <w:t>安全操作</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 xml:space="preserve">9.3.1 </w:t>
      </w:r>
      <w:r>
        <w:rPr>
          <w:rFonts w:ascii="宋体"/>
          <w:kern w:val="0"/>
          <w:szCs w:val="20"/>
        </w:rPr>
        <w:t xml:space="preserve"> </w:t>
      </w:r>
      <w:r>
        <w:rPr>
          <w:rFonts w:hint="eastAsia" w:ascii="宋体"/>
          <w:kern w:val="0"/>
          <w:szCs w:val="20"/>
        </w:rPr>
        <w:t>压滤机工作时不可接近液压杆。</w:t>
      </w:r>
    </w:p>
    <w:p>
      <w:pPr>
        <w:widowControl/>
        <w:tabs>
          <w:tab w:val="clear" w:pos="1875"/>
        </w:tabs>
        <w:jc w:val="left"/>
        <w:rPr>
          <w:rFonts w:ascii="宋体"/>
          <w:kern w:val="0"/>
          <w:szCs w:val="20"/>
        </w:rPr>
      </w:pPr>
      <w:r>
        <w:rPr>
          <w:rFonts w:hint="eastAsia" w:ascii="黑体" w:hAnsi="黑体" w:eastAsia="黑体" w:cs="黑体"/>
          <w:kern w:val="0"/>
          <w:sz w:val="21"/>
          <w:szCs w:val="22"/>
          <w:lang w:val="en-US" w:eastAsia="zh-CN" w:bidi="ar-SA"/>
        </w:rPr>
        <w:t>9.3.2</w:t>
      </w:r>
      <w:r>
        <w:rPr>
          <w:rFonts w:ascii="宋体"/>
          <w:kern w:val="0"/>
          <w:szCs w:val="20"/>
        </w:rPr>
        <w:t xml:space="preserve">  </w:t>
      </w:r>
      <w:r>
        <w:rPr>
          <w:rFonts w:hint="eastAsia" w:ascii="宋体"/>
          <w:kern w:val="0"/>
          <w:szCs w:val="20"/>
        </w:rPr>
        <w:t>开关机严格按照作业流程进行出现异常应及时急停。</w:t>
      </w:r>
    </w:p>
    <w:p>
      <w:pPr>
        <w:widowControl/>
        <w:tabs>
          <w:tab w:val="clear" w:pos="1875"/>
        </w:tabs>
        <w:jc w:val="left"/>
        <w:rPr>
          <w:rFonts w:hint="eastAsia" w:ascii="宋体"/>
          <w:kern w:val="0"/>
          <w:szCs w:val="20"/>
        </w:rPr>
      </w:pPr>
      <w:r>
        <w:rPr>
          <w:rFonts w:hint="eastAsia" w:ascii="黑体" w:hAnsi="黑体" w:eastAsia="黑体" w:cs="黑体"/>
          <w:kern w:val="0"/>
          <w:sz w:val="21"/>
          <w:szCs w:val="22"/>
          <w:lang w:val="en-US" w:eastAsia="zh-CN" w:bidi="ar-SA"/>
        </w:rPr>
        <w:t>9.3.3</w:t>
      </w:r>
      <w:r>
        <w:rPr>
          <w:rFonts w:ascii="宋体"/>
          <w:kern w:val="0"/>
          <w:szCs w:val="20"/>
        </w:rPr>
        <w:t xml:space="preserve">  </w:t>
      </w:r>
      <w:r>
        <w:rPr>
          <w:rFonts w:hint="eastAsia" w:ascii="宋体"/>
          <w:kern w:val="0"/>
          <w:szCs w:val="20"/>
        </w:rPr>
        <w:t>工作时应佩戴相关劳保用品，并按标准作业流程，不可更改操作步骤。</w:t>
      </w:r>
    </w:p>
    <w:p>
      <w:pPr>
        <w:widowControl/>
        <w:tabs>
          <w:tab w:val="clear" w:pos="1875"/>
        </w:tabs>
        <w:jc w:val="left"/>
        <w:rPr>
          <w:rFonts w:hint="default" w:ascii="宋体" w:eastAsia="宋体"/>
          <w:kern w:val="0"/>
          <w:szCs w:val="20"/>
          <w:lang w:val="en-US" w:eastAsia="zh-CN"/>
        </w:rPr>
      </w:pPr>
      <w:r>
        <w:rPr>
          <w:rFonts w:hint="eastAsia" w:ascii="黑体" w:hAnsi="黑体" w:eastAsia="黑体" w:cs="黑体"/>
          <w:kern w:val="0"/>
          <w:sz w:val="21"/>
          <w:szCs w:val="22"/>
          <w:lang w:val="en-US" w:eastAsia="zh-CN" w:bidi="ar-SA"/>
        </w:rPr>
        <w:t xml:space="preserve">9.3.4 </w:t>
      </w:r>
      <w:r>
        <w:rPr>
          <w:rFonts w:hint="eastAsia" w:ascii="宋体"/>
          <w:kern w:val="0"/>
          <w:szCs w:val="20"/>
          <w:lang w:val="en-US" w:eastAsia="zh-CN"/>
        </w:rPr>
        <w:t xml:space="preserve"> 压滤的污泥必须委托有资质的普通固废处理厂家进行处理，当天产生的污泥必须当天进行清理不能过夜。不能将化学分析废弃药剂、废液等危险废物混入普通固废中一起处理。生产过程中产生的危废必须收集起来委托有危废处理资质的厂家进行处理。</w:t>
      </w:r>
    </w:p>
    <w:p>
      <w:pPr>
        <w:pStyle w:val="26"/>
        <w:spacing w:before="312" w:beforeLines="100" w:after="312" w:afterLines="100"/>
        <w:ind w:firstLine="0" w:firstLineChars="0"/>
        <w:rPr>
          <w:rFonts w:ascii="黑体" w:hAnsi="黑体" w:eastAsia="黑体"/>
        </w:rPr>
      </w:pPr>
      <w:r>
        <w:rPr>
          <w:rFonts w:hint="eastAsia" w:ascii="黑体" w:hAnsi="黑体" w:eastAsia="黑体"/>
        </w:rPr>
        <w:t>10  PLC控制系统运维</w:t>
      </w:r>
    </w:p>
    <w:p>
      <w:pPr>
        <w:pStyle w:val="26"/>
        <w:spacing w:before="156" w:beforeLines="50" w:after="156" w:afterLines="50"/>
        <w:ind w:firstLine="0" w:firstLineChars="0"/>
        <w:rPr>
          <w:rFonts w:ascii="黑体" w:hAnsi="黑体" w:eastAsia="黑体"/>
        </w:rPr>
      </w:pPr>
      <w:r>
        <w:rPr>
          <w:rFonts w:hint="eastAsia" w:ascii="黑体" w:hAnsi="黑体" w:eastAsia="黑体"/>
        </w:rPr>
        <w:t>10.1  日常运行</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10.1.1</w:t>
      </w:r>
      <w:r>
        <w:rPr>
          <w:rFonts w:ascii="宋体" w:eastAsia="宋体"/>
          <w:szCs w:val="20"/>
        </w:rPr>
        <w:t xml:space="preserve">  </w:t>
      </w:r>
      <w:r>
        <w:rPr>
          <w:rFonts w:hint="eastAsia" w:ascii="宋体" w:eastAsia="宋体"/>
          <w:szCs w:val="20"/>
        </w:rPr>
        <w:t>本地控制系统宜采用PLC自动控制系统处理主要技术参数并应进行自动化管理。</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10.1.2</w:t>
      </w:r>
      <w:r>
        <w:rPr>
          <w:rFonts w:ascii="宋体" w:eastAsia="宋体"/>
          <w:szCs w:val="20"/>
        </w:rPr>
        <w:t xml:space="preserve">  </w:t>
      </w:r>
      <w:r>
        <w:rPr>
          <w:rFonts w:hint="eastAsia" w:ascii="宋体" w:eastAsia="宋体"/>
          <w:szCs w:val="20"/>
        </w:rPr>
        <w:t>工艺设施(设备)运行前,应检查控制与监测仪器设备是否处于完好状态，应每日查看控制系统数据是否正常。</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 xml:space="preserve">10.1.3 </w:t>
      </w:r>
      <w:r>
        <w:rPr>
          <w:rFonts w:ascii="宋体" w:eastAsia="宋体"/>
          <w:szCs w:val="20"/>
        </w:rPr>
        <w:t xml:space="preserve"> </w:t>
      </w:r>
      <w:r>
        <w:rPr>
          <w:rFonts w:hint="eastAsia" w:ascii="宋体" w:eastAsia="宋体"/>
          <w:szCs w:val="20"/>
        </w:rPr>
        <w:t>本地PLC控制系统应具备联网功能实现远程监控。</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 xml:space="preserve">10.1.4 </w:t>
      </w:r>
      <w:r>
        <w:rPr>
          <w:rFonts w:ascii="宋体" w:eastAsia="宋体"/>
          <w:szCs w:val="20"/>
        </w:rPr>
        <w:t xml:space="preserve"> </w:t>
      </w:r>
      <w:r>
        <w:rPr>
          <w:rFonts w:hint="eastAsia" w:ascii="宋体" w:eastAsia="宋体"/>
          <w:szCs w:val="20"/>
        </w:rPr>
        <w:t>由PLC控制的工序应同时具备各工序独立控制功能。</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 xml:space="preserve">10.1.5 </w:t>
      </w:r>
      <w:r>
        <w:rPr>
          <w:rFonts w:ascii="宋体" w:eastAsia="宋体"/>
          <w:szCs w:val="20"/>
        </w:rPr>
        <w:t xml:space="preserve"> </w:t>
      </w:r>
      <w:r>
        <w:rPr>
          <w:rFonts w:hint="eastAsia" w:ascii="宋体" w:eastAsia="宋体"/>
          <w:szCs w:val="20"/>
        </w:rPr>
        <w:t>远程监控系统每天将有关情况发送至各有关单位。</w:t>
      </w:r>
    </w:p>
    <w:p>
      <w:pPr>
        <w:pStyle w:val="46"/>
        <w:numPr>
          <w:ilvl w:val="0"/>
          <w:numId w:val="0"/>
        </w:numPr>
        <w:spacing w:before="156" w:after="156"/>
      </w:pPr>
      <w:r>
        <w:rPr>
          <w:rFonts w:hint="eastAsia"/>
        </w:rPr>
        <w:t>10.2</w:t>
      </w:r>
      <w:r>
        <w:t xml:space="preserve">  </w:t>
      </w:r>
      <w:r>
        <w:rPr>
          <w:rFonts w:hint="eastAsia"/>
        </w:rPr>
        <w:t>维护保养</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10.2.1</w:t>
      </w:r>
      <w:r>
        <w:rPr>
          <w:rFonts w:ascii="宋体" w:eastAsia="宋体"/>
          <w:szCs w:val="20"/>
        </w:rPr>
        <w:t xml:space="preserve">  </w:t>
      </w:r>
      <w:r>
        <w:rPr>
          <w:rFonts w:hint="eastAsia" w:ascii="宋体" w:eastAsia="宋体"/>
          <w:szCs w:val="20"/>
        </w:rPr>
        <w:t>控制与监测设备应定期维护和定期检验。</w:t>
      </w: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10.2.2</w:t>
      </w:r>
      <w:r>
        <w:rPr>
          <w:rFonts w:ascii="宋体" w:eastAsia="宋体"/>
          <w:szCs w:val="20"/>
        </w:rPr>
        <w:t xml:space="preserve">  </w:t>
      </w:r>
      <w:r>
        <w:rPr>
          <w:rFonts w:hint="eastAsia" w:ascii="宋体" w:eastAsia="宋体"/>
          <w:szCs w:val="20"/>
        </w:rPr>
        <w:t>各指标控制监测仪器应定期校准、维护和检验。</w:t>
      </w:r>
    </w:p>
    <w:p>
      <w:pPr>
        <w:pStyle w:val="46"/>
        <w:numPr>
          <w:ilvl w:val="0"/>
          <w:numId w:val="0"/>
        </w:numPr>
        <w:spacing w:before="156" w:after="156"/>
      </w:pPr>
      <w:r>
        <w:rPr>
          <w:rFonts w:hint="eastAsia"/>
        </w:rPr>
        <w:t xml:space="preserve">10.3 </w:t>
      </w:r>
      <w:r>
        <w:t xml:space="preserve"> </w:t>
      </w:r>
      <w:r>
        <w:rPr>
          <w:rFonts w:hint="eastAsia"/>
        </w:rPr>
        <w:t>安全操作</w:t>
      </w:r>
    </w:p>
    <w:p>
      <w:pPr>
        <w:pStyle w:val="26"/>
        <w:ind w:firstLine="0" w:firstLineChars="0"/>
      </w:pPr>
      <w:r>
        <w:rPr>
          <w:rFonts w:hint="eastAsia" w:ascii="黑体" w:hAnsi="黑体" w:eastAsia="黑体" w:cs="黑体"/>
          <w:kern w:val="0"/>
          <w:sz w:val="21"/>
          <w:szCs w:val="22"/>
          <w:lang w:val="en-US" w:eastAsia="zh-CN" w:bidi="ar-SA"/>
        </w:rPr>
        <w:t xml:space="preserve">10.3.1 </w:t>
      </w:r>
      <w:r>
        <w:t xml:space="preserve"> </w:t>
      </w:r>
      <w:r>
        <w:rPr>
          <w:rFonts w:hint="eastAsia"/>
        </w:rPr>
        <w:t>非工作人员未经允许不得操作远程和本地PLC控制系统。</w:t>
      </w:r>
    </w:p>
    <w:p>
      <w:pPr>
        <w:pStyle w:val="26"/>
        <w:ind w:firstLine="0" w:firstLineChars="0"/>
      </w:pPr>
      <w:r>
        <w:rPr>
          <w:rFonts w:hint="eastAsia" w:ascii="黑体" w:hAnsi="黑体" w:eastAsia="黑体" w:cs="黑体"/>
          <w:kern w:val="0"/>
          <w:sz w:val="21"/>
          <w:szCs w:val="22"/>
          <w:lang w:val="en-US" w:eastAsia="zh-CN" w:bidi="ar-SA"/>
        </w:rPr>
        <w:t>10.3.2</w:t>
      </w:r>
      <w:r>
        <w:t xml:space="preserve">  </w:t>
      </w:r>
      <w:r>
        <w:rPr>
          <w:rFonts w:hint="eastAsia"/>
        </w:rPr>
        <w:t>控制与监测仪器仪表应在规定的电压、温度下工作。</w:t>
      </w:r>
    </w:p>
    <w:p>
      <w:pPr>
        <w:pStyle w:val="26"/>
        <w:ind w:firstLine="0" w:firstLineChars="0"/>
      </w:pPr>
      <w:r>
        <w:rPr>
          <w:rFonts w:hint="eastAsia" w:ascii="黑体" w:hAnsi="黑体" w:eastAsia="黑体" w:cs="黑体"/>
          <w:kern w:val="0"/>
          <w:sz w:val="21"/>
          <w:szCs w:val="22"/>
          <w:lang w:val="en-US" w:eastAsia="zh-CN" w:bidi="ar-SA"/>
        </w:rPr>
        <w:t xml:space="preserve">10.3.3 </w:t>
      </w:r>
      <w:r>
        <w:t xml:space="preserve"> </w:t>
      </w:r>
      <w:r>
        <w:rPr>
          <w:rFonts w:hint="eastAsia"/>
        </w:rPr>
        <w:t>应保持远近程控制系统与各检测点通讯畅通。</w:t>
      </w:r>
    </w:p>
    <w:p>
      <w:pPr>
        <w:pStyle w:val="26"/>
        <w:spacing w:before="312" w:beforeLines="100" w:after="312" w:afterLines="100"/>
        <w:ind w:firstLine="0" w:firstLineChars="0"/>
        <w:rPr>
          <w:rFonts w:ascii="黑体" w:hAnsi="黑体" w:eastAsia="黑体"/>
        </w:rPr>
      </w:pPr>
      <w:r>
        <w:rPr>
          <w:rFonts w:hint="eastAsia" w:ascii="黑体" w:hAnsi="黑体" w:eastAsia="黑体"/>
        </w:rPr>
        <w:t>11  化验与检验</w:t>
      </w:r>
    </w:p>
    <w:p>
      <w:pPr>
        <w:pStyle w:val="46"/>
        <w:numPr>
          <w:ilvl w:val="0"/>
          <w:numId w:val="0"/>
        </w:numPr>
        <w:spacing w:before="156" w:after="156"/>
        <w:rPr>
          <w:rFonts w:ascii="宋体" w:eastAsia="宋体"/>
          <w:szCs w:val="20"/>
        </w:rPr>
      </w:pPr>
      <w:r>
        <w:rPr>
          <w:rFonts w:hint="eastAsia" w:ascii="黑体" w:hAnsi="黑体" w:eastAsia="黑体" w:cs="黑体"/>
          <w:kern w:val="0"/>
          <w:sz w:val="21"/>
          <w:szCs w:val="22"/>
          <w:lang w:val="en-US" w:eastAsia="zh-CN" w:bidi="ar-SA"/>
        </w:rPr>
        <w:t>11.1</w:t>
      </w:r>
      <w:r>
        <w:rPr>
          <w:rFonts w:ascii="宋体" w:eastAsia="宋体"/>
          <w:szCs w:val="20"/>
        </w:rPr>
        <w:t xml:space="preserve">  </w:t>
      </w:r>
      <w:r>
        <w:rPr>
          <w:rFonts w:hint="eastAsia" w:ascii="宋体" w:eastAsia="宋体"/>
          <w:szCs w:val="20"/>
        </w:rPr>
        <w:t>服务区污水处理检测项目应符合下列规定:</w:t>
      </w:r>
    </w:p>
    <w:p>
      <w:pPr>
        <w:pStyle w:val="160"/>
        <w:numPr>
          <w:ilvl w:val="0"/>
          <w:numId w:val="13"/>
        </w:numPr>
        <w:ind w:firstLineChars="0"/>
        <w:rPr>
          <w:rFonts w:ascii="宋体"/>
          <w:kern w:val="0"/>
          <w:szCs w:val="20"/>
        </w:rPr>
      </w:pPr>
      <w:r>
        <w:rPr>
          <w:rFonts w:hint="eastAsia" w:ascii="宋体"/>
          <w:kern w:val="0"/>
          <w:szCs w:val="20"/>
        </w:rPr>
        <w:t>检测项目应包括:COD、氨氮、总磷、石油类、SS等污水排放指标。</w:t>
      </w:r>
    </w:p>
    <w:p>
      <w:pPr>
        <w:pStyle w:val="160"/>
        <w:numPr>
          <w:ilvl w:val="0"/>
          <w:numId w:val="13"/>
        </w:numPr>
        <w:ind w:firstLineChars="0"/>
        <w:rPr>
          <w:rFonts w:ascii="宋体"/>
          <w:kern w:val="0"/>
          <w:szCs w:val="20"/>
        </w:rPr>
      </w:pPr>
      <w:r>
        <w:rPr>
          <w:rFonts w:hint="eastAsia" w:ascii="宋体"/>
          <w:kern w:val="0"/>
          <w:szCs w:val="20"/>
        </w:rPr>
        <w:t>检测方法应符合</w:t>
      </w:r>
      <w:r>
        <w:rPr>
          <w:rFonts w:ascii="宋体"/>
          <w:kern w:val="0"/>
          <w:szCs w:val="20"/>
        </w:rPr>
        <w:t>GB 8978</w:t>
      </w:r>
      <w:r>
        <w:rPr>
          <w:rFonts w:hint="eastAsia" w:ascii="宋体"/>
          <w:kern w:val="0"/>
          <w:szCs w:val="20"/>
        </w:rPr>
        <w:t>中的相关规定。</w:t>
      </w:r>
    </w:p>
    <w:p>
      <w:pPr>
        <w:pStyle w:val="160"/>
        <w:numPr>
          <w:ilvl w:val="0"/>
          <w:numId w:val="13"/>
        </w:numPr>
        <w:ind w:firstLineChars="0"/>
        <w:rPr>
          <w:rFonts w:ascii="宋体"/>
          <w:kern w:val="0"/>
          <w:szCs w:val="20"/>
        </w:rPr>
      </w:pPr>
      <w:r>
        <w:rPr>
          <w:rFonts w:hint="eastAsia" w:ascii="宋体"/>
          <w:kern w:val="0"/>
          <w:szCs w:val="20"/>
        </w:rPr>
        <w:t>不能现场检测的项目应</w:t>
      </w:r>
      <w:r>
        <w:rPr>
          <w:rFonts w:hint="eastAsia" w:ascii="宋体"/>
          <w:kern w:val="0"/>
          <w:szCs w:val="20"/>
          <w:lang w:val="en-US" w:eastAsia="zh-CN"/>
        </w:rPr>
        <w:t>委托第三方</w:t>
      </w:r>
      <w:r>
        <w:rPr>
          <w:rFonts w:hint="eastAsia" w:ascii="宋体"/>
          <w:kern w:val="0"/>
          <w:szCs w:val="20"/>
        </w:rPr>
        <w:t>实验室检测。</w:t>
      </w:r>
    </w:p>
    <w:p>
      <w:pPr>
        <w:pStyle w:val="160"/>
        <w:numPr>
          <w:ilvl w:val="0"/>
          <w:numId w:val="13"/>
        </w:numPr>
        <w:ind w:firstLineChars="0"/>
        <w:rPr>
          <w:rFonts w:ascii="宋体"/>
          <w:kern w:val="0"/>
          <w:szCs w:val="20"/>
        </w:rPr>
      </w:pPr>
      <w:r>
        <w:rPr>
          <w:rFonts w:hint="eastAsia" w:ascii="宋体"/>
          <w:kern w:val="0"/>
          <w:szCs w:val="20"/>
          <w:lang w:val="en-US" w:eastAsia="zh-CN"/>
        </w:rPr>
        <w:t>检测产生的药剂固废和废液必须进行收集与其他生产中产生的危废一起委托具有危废处理资质的厂家进行处理。</w:t>
      </w:r>
    </w:p>
    <w:p>
      <w:pPr>
        <w:pStyle w:val="46"/>
        <w:numPr>
          <w:ilvl w:val="0"/>
          <w:numId w:val="0"/>
        </w:numPr>
        <w:spacing w:before="156" w:after="156"/>
        <w:rPr>
          <w:rFonts w:asciiTheme="minorEastAsia" w:hAnsiTheme="minorEastAsia" w:eastAsiaTheme="minorEastAsia"/>
        </w:rPr>
      </w:pPr>
      <w:r>
        <w:rPr>
          <w:rFonts w:hint="eastAsia" w:ascii="黑体" w:hAnsi="黑体" w:eastAsia="黑体" w:cs="黑体"/>
          <w:kern w:val="0"/>
          <w:sz w:val="21"/>
          <w:szCs w:val="22"/>
          <w:lang w:val="en-US" w:eastAsia="zh-CN" w:bidi="ar-SA"/>
        </w:rPr>
        <w:t xml:space="preserve">11.2 </w:t>
      </w:r>
      <w:r>
        <w:rPr>
          <w:rFonts w:asciiTheme="minorEastAsia" w:hAnsiTheme="minorEastAsia" w:eastAsiaTheme="minorEastAsia"/>
        </w:rPr>
        <w:t xml:space="preserve"> </w:t>
      </w:r>
      <w:r>
        <w:rPr>
          <w:rFonts w:hint="eastAsia" w:asciiTheme="minorEastAsia" w:hAnsiTheme="minorEastAsia" w:eastAsiaTheme="minorEastAsia"/>
        </w:rPr>
        <w:t>服务区污水检测项目及频率应符合下表规定:</w:t>
      </w:r>
    </w:p>
    <w:p>
      <w:pPr>
        <w:pStyle w:val="26"/>
        <w:jc w:val="center"/>
        <w:rPr>
          <w:rFonts w:ascii="黑体" w:hAnsi="黑体" w:eastAsia="黑体"/>
        </w:rPr>
      </w:pPr>
      <w:r>
        <w:rPr>
          <w:rFonts w:hint="eastAsia" w:ascii="黑体" w:hAnsi="黑体" w:eastAsia="黑体"/>
        </w:rPr>
        <w:t>表1</w:t>
      </w:r>
      <w:r>
        <w:rPr>
          <w:rFonts w:ascii="黑体" w:hAnsi="黑体" w:eastAsia="黑体"/>
        </w:rPr>
        <w:t xml:space="preserve"> </w:t>
      </w:r>
      <w:r>
        <w:rPr>
          <w:rFonts w:hint="eastAsia" w:ascii="黑体" w:hAnsi="黑体" w:eastAsia="黑体"/>
        </w:rPr>
        <w:t>服务区污水检测项目及频率</w:t>
      </w:r>
    </w:p>
    <w:tbl>
      <w:tblPr>
        <w:tblStyle w:val="36"/>
        <w:tblW w:w="93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4"/>
        <w:gridCol w:w="3115"/>
        <w:gridCol w:w="3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4"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311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项目</w:t>
            </w:r>
          </w:p>
        </w:tc>
        <w:tc>
          <w:tcPr>
            <w:tcW w:w="385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频次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4"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311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COD</w:t>
            </w:r>
          </w:p>
        </w:tc>
        <w:tc>
          <w:tcPr>
            <w:tcW w:w="385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每月一次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4"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311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氨氮</w:t>
            </w:r>
          </w:p>
        </w:tc>
        <w:tc>
          <w:tcPr>
            <w:tcW w:w="385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每月一次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4"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311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总磷</w:t>
            </w:r>
          </w:p>
        </w:tc>
        <w:tc>
          <w:tcPr>
            <w:tcW w:w="385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每月一次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4"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311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SS</w:t>
            </w:r>
          </w:p>
        </w:tc>
        <w:tc>
          <w:tcPr>
            <w:tcW w:w="385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每月一次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4"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5</w:t>
            </w:r>
          </w:p>
        </w:tc>
        <w:tc>
          <w:tcPr>
            <w:tcW w:w="311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石油类</w:t>
            </w:r>
          </w:p>
        </w:tc>
        <w:tc>
          <w:tcPr>
            <w:tcW w:w="3855" w:type="dxa"/>
          </w:tcPr>
          <w:p>
            <w:pPr>
              <w:pStyle w:val="26"/>
              <w:ind w:firstLine="0" w:firstLineChars="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每月一次</w:t>
            </w:r>
          </w:p>
        </w:tc>
      </w:tr>
    </w:tbl>
    <w:p>
      <w:pPr>
        <w:pStyle w:val="26"/>
        <w:jc w:val="center"/>
        <w:rPr>
          <w:rFonts w:ascii="黑体" w:hAnsi="黑体" w:eastAsia="黑体"/>
        </w:rPr>
      </w:pPr>
    </w:p>
    <w:p>
      <w:pPr>
        <w:pStyle w:val="46"/>
        <w:numPr>
          <w:ilvl w:val="0"/>
          <w:numId w:val="0"/>
        </w:numPr>
        <w:spacing w:beforeLines="0" w:afterLines="0"/>
        <w:rPr>
          <w:rFonts w:ascii="宋体" w:eastAsia="宋体"/>
          <w:szCs w:val="20"/>
        </w:rPr>
      </w:pPr>
      <w:r>
        <w:rPr>
          <w:rFonts w:hint="eastAsia" w:ascii="黑体" w:hAnsi="黑体" w:eastAsia="黑体" w:cs="黑体"/>
          <w:kern w:val="0"/>
          <w:sz w:val="21"/>
          <w:szCs w:val="22"/>
          <w:lang w:val="en-US" w:eastAsia="zh-CN" w:bidi="ar-SA"/>
        </w:rPr>
        <w:t xml:space="preserve">11.3 </w:t>
      </w:r>
      <w:r>
        <w:rPr>
          <w:rFonts w:ascii="宋体" w:eastAsia="宋体"/>
          <w:szCs w:val="20"/>
        </w:rPr>
        <w:t xml:space="preserve"> </w:t>
      </w:r>
      <w:r>
        <w:rPr>
          <w:rFonts w:hint="eastAsia" w:ascii="宋体" w:eastAsia="宋体"/>
          <w:szCs w:val="20"/>
        </w:rPr>
        <w:t>化验与检测人员应对检测样品编号、登记。化验检测报表应按年、月、日逐一分类整理归档</w:t>
      </w:r>
      <w:r>
        <w:rPr>
          <w:rFonts w:hint="eastAsia" w:ascii="宋体" w:eastAsia="宋体"/>
          <w:szCs w:val="20"/>
          <w:lang w:eastAsia="zh-CN"/>
        </w:rPr>
        <w:t>，</w:t>
      </w:r>
      <w:r>
        <w:rPr>
          <w:rFonts w:hint="eastAsia" w:ascii="宋体" w:eastAsia="宋体"/>
          <w:szCs w:val="20"/>
        </w:rPr>
        <w:t>检验数据结果宜采用计算机处理及管理。</w:t>
      </w:r>
    </w:p>
    <w:p>
      <w:pPr>
        <w:pStyle w:val="26"/>
        <w:ind w:firstLine="0" w:firstLineChars="0"/>
      </w:pPr>
      <w:r>
        <w:rPr>
          <w:rFonts w:hint="eastAsia" w:ascii="黑体" w:hAnsi="黑体" w:eastAsia="黑体" w:cs="黑体"/>
          <w:kern w:val="0"/>
          <w:sz w:val="21"/>
          <w:szCs w:val="22"/>
          <w:lang w:val="en-US" w:eastAsia="zh-CN" w:bidi="ar-SA"/>
        </w:rPr>
        <w:t xml:space="preserve">11.4 </w:t>
      </w:r>
      <w:r>
        <w:t xml:space="preserve"> </w:t>
      </w:r>
      <w:r>
        <w:rPr>
          <w:rFonts w:hint="eastAsia"/>
        </w:rPr>
        <w:t>用于现场检测的各种仪器、设备、药品及检测样品应分门别类摆放整齐</w:t>
      </w:r>
      <w:r>
        <w:rPr>
          <w:rFonts w:hint="eastAsia"/>
          <w:lang w:eastAsia="zh-CN"/>
        </w:rPr>
        <w:t>，</w:t>
      </w:r>
      <w:r>
        <w:rPr>
          <w:rFonts w:hint="eastAsia"/>
        </w:rPr>
        <w:t>并应设置明显标志。</w:t>
      </w:r>
    </w:p>
    <w:p>
      <w:pPr>
        <w:pStyle w:val="26"/>
        <w:ind w:firstLine="0" w:firstLineChars="0"/>
      </w:pPr>
    </w:p>
    <w:p>
      <w:pPr>
        <w:pStyle w:val="26"/>
        <w:spacing w:before="312" w:beforeLines="100" w:after="312" w:afterLines="100"/>
        <w:ind w:firstLine="0" w:firstLineChars="0"/>
        <w:rPr>
          <w:rFonts w:ascii="黑体" w:hAnsi="黑体" w:eastAsia="黑体"/>
        </w:rPr>
      </w:pPr>
    </w:p>
    <w:p>
      <w:pPr>
        <w:widowControl/>
        <w:tabs>
          <w:tab w:val="clear" w:pos="1875"/>
        </w:tabs>
        <w:jc w:val="center"/>
        <w:rPr>
          <w:rFonts w:ascii="黑体" w:hAnsi="黑体" w:eastAsia="黑体" w:cs="黑体"/>
          <w:color w:val="000000"/>
          <w:szCs w:val="21"/>
        </w:rPr>
      </w:pPr>
      <w:r>
        <w:rPr>
          <w:rFonts w:ascii="宋体"/>
          <w:kern w:val="0"/>
          <w:szCs w:val="20"/>
        </w:rPr>
        <w:br w:type="page"/>
      </w:r>
      <w:bookmarkEnd w:id="13"/>
      <w:bookmarkEnd w:id="14"/>
      <w:r>
        <w:rPr>
          <w:rFonts w:ascii="黑体" w:hAnsi="黑体" w:eastAsia="黑体" w:cs="黑体"/>
          <w:color w:val="000000"/>
          <w:szCs w:val="21"/>
        </w:rPr>
        <w:t>附录A</w:t>
      </w:r>
    </w:p>
    <w:p>
      <w:pPr>
        <w:spacing w:before="265"/>
        <w:ind w:right="-68"/>
        <w:jc w:val="center"/>
        <w:rPr>
          <w:rFonts w:ascii="黑体" w:hAnsi="黑体" w:eastAsia="黑体" w:cs="黑体"/>
          <w:color w:val="000000"/>
          <w:szCs w:val="21"/>
        </w:rPr>
      </w:pPr>
      <w:r>
        <w:rPr>
          <w:rFonts w:hint="eastAsia" w:ascii="黑体" w:hAnsi="黑体" w:eastAsia="黑体" w:cs="黑体"/>
          <w:color w:val="000000"/>
          <w:szCs w:val="21"/>
        </w:rPr>
        <w:t>（</w:t>
      </w:r>
      <w:r>
        <w:rPr>
          <w:rFonts w:ascii="黑体" w:hAnsi="黑体" w:eastAsia="黑体" w:cs="黑体"/>
          <w:color w:val="000000"/>
          <w:szCs w:val="21"/>
        </w:rPr>
        <w:t>资料性附录</w:t>
      </w:r>
      <w:r>
        <w:rPr>
          <w:rFonts w:hint="eastAsia" w:ascii="黑体" w:hAnsi="黑体" w:eastAsia="黑体" w:cs="黑体"/>
          <w:color w:val="000000"/>
          <w:szCs w:val="21"/>
        </w:rPr>
        <w:t>）</w:t>
      </w:r>
    </w:p>
    <w:p>
      <w:pPr>
        <w:spacing w:before="265"/>
        <w:ind w:right="-68"/>
        <w:jc w:val="center"/>
        <w:rPr>
          <w:rFonts w:ascii="黑体" w:hAnsi="黑体" w:eastAsia="黑体" w:cs="黑体"/>
          <w:color w:val="000000"/>
          <w:szCs w:val="21"/>
        </w:rPr>
      </w:pPr>
      <w:r>
        <w:rPr>
          <w:rFonts w:ascii="黑体" w:hAnsi="黑体" w:eastAsia="黑体" w:cs="黑体"/>
          <w:color w:val="000000"/>
          <w:szCs w:val="21"/>
        </w:rPr>
        <w:t>服务区污水处理主要设备维修规程</w:t>
      </w:r>
    </w:p>
    <w:p>
      <w:pPr>
        <w:spacing w:before="265" w:line="495" w:lineRule="exact"/>
        <w:ind w:right="-68"/>
        <w:rPr>
          <w:rFonts w:cs="宋体"/>
          <w:color w:val="000000"/>
          <w:szCs w:val="21"/>
        </w:rPr>
      </w:pPr>
    </w:p>
    <w:p>
      <w:pPr>
        <w:jc w:val="center"/>
        <w:rPr>
          <w:rFonts w:ascii="黑体" w:hAnsi="黑体" w:eastAsia="黑体" w:cs="黑体"/>
          <w:szCs w:val="21"/>
        </w:rPr>
      </w:pPr>
      <w:r>
        <w:rPr>
          <w:rFonts w:ascii="黑体" w:hAnsi="黑体" w:eastAsia="黑体" w:cs="黑体"/>
          <w:color w:val="000000"/>
          <w:szCs w:val="21"/>
        </w:rPr>
        <w:t>表A.1</w:t>
      </w:r>
      <w:r>
        <w:rPr>
          <w:rFonts w:ascii="黑体" w:hAnsi="黑体" w:eastAsia="黑体" w:cs="黑体"/>
          <w:szCs w:val="21"/>
        </w:rPr>
        <w:t>提升泵故障原因及排除</w:t>
      </w:r>
    </w:p>
    <w:tbl>
      <w:tblPr>
        <w:tblStyle w:val="36"/>
        <w:tblW w:w="971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
        <w:gridCol w:w="1249"/>
        <w:gridCol w:w="3923"/>
        <w:gridCol w:w="40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trPr>
        <w:tc>
          <w:tcPr>
            <w:tcW w:w="497"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序号</w:t>
            </w:r>
          </w:p>
        </w:tc>
        <w:tc>
          <w:tcPr>
            <w:tcW w:w="1249"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故障类型</w:t>
            </w:r>
          </w:p>
        </w:tc>
        <w:tc>
          <w:tcPr>
            <w:tcW w:w="3923"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原因分析</w:t>
            </w:r>
          </w:p>
        </w:tc>
        <w:tc>
          <w:tcPr>
            <w:tcW w:w="4045"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处理措施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1" w:hRule="atLeast"/>
        </w:trPr>
        <w:tc>
          <w:tcPr>
            <w:tcW w:w="497"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1</w:t>
            </w:r>
          </w:p>
        </w:tc>
        <w:tc>
          <w:tcPr>
            <w:tcW w:w="1249"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不出水或水量不足</w:t>
            </w:r>
          </w:p>
        </w:tc>
        <w:tc>
          <w:tcPr>
            <w:tcW w:w="3923" w:type="dxa"/>
            <w:vAlign w:val="center"/>
          </w:tcPr>
          <w:p>
            <w:pPr>
              <w:jc w:val="left"/>
              <w:rPr>
                <w:rFonts w:cs="黑体" w:asciiTheme="minorEastAsia" w:hAnsiTheme="minorEastAsia" w:eastAsiaTheme="minorEastAsia"/>
                <w:szCs w:val="21"/>
              </w:rPr>
            </w:pPr>
            <w:r>
              <w:rPr>
                <w:rFonts w:hint="eastAsia" w:cs="黑体" w:asciiTheme="minorEastAsia" w:hAnsiTheme="minorEastAsia" w:eastAsiaTheme="minorEastAsia"/>
                <w:szCs w:val="21"/>
              </w:rPr>
              <w:t>泵倒转管道、叶轮被堵 电机不转或转速太低水位太低或阀门没打开 密封环磨损液体密度较大或粘度较高</w:t>
            </w:r>
          </w:p>
        </w:tc>
        <w:tc>
          <w:tcPr>
            <w:tcW w:w="4045" w:type="dxa"/>
            <w:vAlign w:val="center"/>
          </w:tcPr>
          <w:p>
            <w:pPr>
              <w:jc w:val="left"/>
              <w:rPr>
                <w:rFonts w:cs="黑体" w:asciiTheme="minorEastAsia" w:hAnsiTheme="minorEastAsia" w:eastAsiaTheme="minorEastAsia"/>
                <w:szCs w:val="21"/>
              </w:rPr>
            </w:pPr>
            <w:r>
              <w:rPr>
                <w:rFonts w:hint="eastAsia" w:cs="黑体" w:asciiTheme="minorEastAsia" w:hAnsiTheme="minorEastAsia" w:eastAsiaTheme="minorEastAsia"/>
                <w:szCs w:val="21"/>
              </w:rPr>
              <w:t>调整电机转向、清除堵塞物、检查电器设备及电压电流调整、检查水位开关和阀门、更换密封环、改变抽送的液体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trPr>
        <w:tc>
          <w:tcPr>
            <w:tcW w:w="497"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2</w:t>
            </w:r>
          </w:p>
        </w:tc>
        <w:tc>
          <w:tcPr>
            <w:tcW w:w="1249"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泵运行不平稳</w:t>
            </w:r>
          </w:p>
        </w:tc>
        <w:tc>
          <w:tcPr>
            <w:tcW w:w="3923" w:type="dxa"/>
            <w:vAlign w:val="center"/>
          </w:tcPr>
          <w:p>
            <w:pPr>
              <w:rPr>
                <w:rFonts w:cs="黑体" w:asciiTheme="minorEastAsia" w:hAnsiTheme="minorEastAsia" w:eastAsiaTheme="minorEastAsia"/>
                <w:szCs w:val="21"/>
              </w:rPr>
            </w:pPr>
            <w:r>
              <w:rPr>
                <w:rFonts w:hint="eastAsia" w:cs="黑体" w:asciiTheme="minorEastAsia" w:hAnsiTheme="minorEastAsia" w:eastAsiaTheme="minorEastAsia"/>
                <w:szCs w:val="21"/>
              </w:rPr>
              <w:t>转子或叶轮不平衡轴承磨损</w:t>
            </w:r>
          </w:p>
        </w:tc>
        <w:tc>
          <w:tcPr>
            <w:tcW w:w="4045" w:type="dxa"/>
            <w:vAlign w:val="center"/>
          </w:tcPr>
          <w:p>
            <w:pPr>
              <w:jc w:val="left"/>
              <w:rPr>
                <w:rFonts w:cs="黑体" w:asciiTheme="minorEastAsia" w:hAnsiTheme="minorEastAsia" w:eastAsiaTheme="minorEastAsia"/>
                <w:szCs w:val="21"/>
              </w:rPr>
            </w:pPr>
            <w:r>
              <w:rPr>
                <w:rFonts w:hint="eastAsia" w:cs="黑体" w:asciiTheme="minorEastAsia" w:hAnsiTheme="minorEastAsia" w:eastAsiaTheme="minorEastAsia"/>
                <w:szCs w:val="21"/>
              </w:rPr>
              <w:t>送制造厂校正或更换、更换轴承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5" w:hRule="atLeast"/>
        </w:trPr>
        <w:tc>
          <w:tcPr>
            <w:tcW w:w="497"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3</w:t>
            </w:r>
          </w:p>
        </w:tc>
        <w:tc>
          <w:tcPr>
            <w:tcW w:w="1249" w:type="dxa"/>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绝缘电阻低或机组发热</w:t>
            </w:r>
          </w:p>
        </w:tc>
        <w:tc>
          <w:tcPr>
            <w:tcW w:w="3923" w:type="dxa"/>
            <w:vAlign w:val="center"/>
          </w:tcPr>
          <w:p>
            <w:pPr>
              <w:jc w:val="left"/>
              <w:rPr>
                <w:rFonts w:cs="黑体" w:asciiTheme="minorEastAsia" w:hAnsiTheme="minorEastAsia" w:eastAsiaTheme="minorEastAsia"/>
                <w:szCs w:val="21"/>
              </w:rPr>
            </w:pPr>
            <w:r>
              <w:rPr>
                <w:rFonts w:hint="eastAsia" w:cs="黑体" w:asciiTheme="minorEastAsia" w:hAnsiTheme="minorEastAsia" w:eastAsiaTheme="minorEastAsia"/>
                <w:szCs w:val="21"/>
              </w:rPr>
              <w:t>电缆破损或电源接线端渗漏、电源电压低或电源引线过细、机械密封损坏、各O型密封圈失效、在大流量低扬程区域</w:t>
            </w:r>
          </w:p>
        </w:tc>
        <w:tc>
          <w:tcPr>
            <w:tcW w:w="4045" w:type="dxa"/>
            <w:vAlign w:val="center"/>
          </w:tcPr>
          <w:p>
            <w:pPr>
              <w:jc w:val="left"/>
              <w:rPr>
                <w:rFonts w:cs="黑体" w:asciiTheme="minorEastAsia" w:hAnsiTheme="minorEastAsia" w:eastAsiaTheme="minorEastAsia"/>
                <w:szCs w:val="21"/>
              </w:rPr>
            </w:pPr>
            <w:r>
              <w:rPr>
                <w:rFonts w:hint="eastAsia" w:cs="黑体" w:asciiTheme="minorEastAsia" w:hAnsiTheme="minorEastAsia" w:eastAsiaTheme="minorEastAsia"/>
                <w:szCs w:val="21"/>
              </w:rPr>
              <w:t>更换并拧紧压紧螺母、调整工作电压和引线、更换机械密封、更换O型圈、调整至额定工作点</w:t>
            </w:r>
          </w:p>
        </w:tc>
      </w:tr>
    </w:tbl>
    <w:p>
      <w:pPr>
        <w:jc w:val="cente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jc w:val="center"/>
        <w:rPr>
          <w:rFonts w:ascii="黑体" w:hAnsi="黑体" w:eastAsia="黑体" w:cs="黑体"/>
          <w:szCs w:val="21"/>
        </w:rPr>
      </w:pPr>
      <w:r>
        <w:rPr>
          <w:rFonts w:ascii="黑体" w:hAnsi="黑体" w:eastAsia="黑体" w:cs="黑体"/>
          <w:szCs w:val="21"/>
        </w:rPr>
        <w:t>表A.2罗茨鼓风机故障诊断及排除</w:t>
      </w:r>
    </w:p>
    <w:p>
      <w:pPr>
        <w:rPr>
          <w:rFonts w:ascii="黑体" w:hAnsi="黑体" w:eastAsia="黑体" w:cs="黑体"/>
          <w:szCs w:val="21"/>
        </w:rPr>
      </w:pPr>
    </w:p>
    <w:tbl>
      <w:tblPr>
        <w:tblStyle w:val="35"/>
        <w:tblW w:w="849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34"/>
        <w:gridCol w:w="3104"/>
        <w:gridCol w:w="34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846" w:type="dxa"/>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序号</w:t>
            </w:r>
          </w:p>
        </w:tc>
        <w:tc>
          <w:tcPr>
            <w:tcW w:w="1134" w:type="dxa"/>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故障类型</w:t>
            </w:r>
          </w:p>
        </w:tc>
        <w:tc>
          <w:tcPr>
            <w:tcW w:w="3104" w:type="dxa"/>
            <w:vAlign w:val="center"/>
          </w:tcPr>
          <w:p>
            <w:pPr>
              <w:spacing w:before="156" w:beforeLines="50" w:after="156" w:afterLines="50"/>
              <w:ind w:firstLine="480"/>
              <w:jc w:val="center"/>
              <w:rPr>
                <w:rFonts w:cs="宋体" w:asciiTheme="minorEastAsia" w:hAnsiTheme="minorEastAsia" w:eastAsiaTheme="minorEastAsia"/>
                <w:szCs w:val="21"/>
              </w:rPr>
            </w:pPr>
            <w:r>
              <w:rPr>
                <w:rFonts w:cs="宋体" w:asciiTheme="minorEastAsia" w:hAnsiTheme="minorEastAsia" w:eastAsiaTheme="minorEastAsia"/>
                <w:szCs w:val="21"/>
              </w:rPr>
              <w:t>原因分析</w:t>
            </w:r>
          </w:p>
        </w:tc>
        <w:tc>
          <w:tcPr>
            <w:tcW w:w="3411" w:type="dxa"/>
            <w:vAlign w:val="center"/>
          </w:tcPr>
          <w:p>
            <w:pPr>
              <w:spacing w:before="156" w:beforeLines="50" w:after="156" w:afterLines="50"/>
              <w:ind w:firstLine="480"/>
              <w:jc w:val="center"/>
              <w:rPr>
                <w:rFonts w:cs="宋体" w:asciiTheme="minorEastAsia" w:hAnsiTheme="minorEastAsia" w:eastAsiaTheme="minorEastAsia"/>
                <w:szCs w:val="21"/>
              </w:rPr>
            </w:pPr>
            <w:r>
              <w:rPr>
                <w:rFonts w:cs="宋体" w:asciiTheme="minorEastAsia" w:hAnsiTheme="minorEastAsia" w:eastAsiaTheme="minorEastAsia"/>
                <w:szCs w:val="21"/>
              </w:rPr>
              <w:t>处理措施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6" w:type="dxa"/>
            <w:vMerge w:val="restart"/>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1</w:t>
            </w:r>
          </w:p>
        </w:tc>
        <w:tc>
          <w:tcPr>
            <w:tcW w:w="1134" w:type="dxa"/>
            <w:vMerge w:val="restart"/>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风量不足</w:t>
            </w:r>
          </w:p>
        </w:tc>
        <w:tc>
          <w:tcPr>
            <w:tcW w:w="3104"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皮带打滑掉转速</w:t>
            </w:r>
          </w:p>
        </w:tc>
        <w:tc>
          <w:tcPr>
            <w:tcW w:w="3411"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调整皮带张紧或更换新皮带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间隙增大</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调校间隙或更换转子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进口阻力大</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清洗过滤器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restart"/>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2</w:t>
            </w:r>
          </w:p>
        </w:tc>
        <w:tc>
          <w:tcPr>
            <w:tcW w:w="1134" w:type="dxa"/>
            <w:vMerge w:val="restart"/>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电机超载</w:t>
            </w:r>
          </w:p>
        </w:tc>
        <w:tc>
          <w:tcPr>
            <w:tcW w:w="3104"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过滤网眼堵塞负荷增大</w:t>
            </w:r>
          </w:p>
        </w:tc>
        <w:tc>
          <w:tcPr>
            <w:tcW w:w="3411"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清洗或更换虑网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压力超过铭牌规定</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控制实际工作压力不超过规定值</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叶轮与气缸壁有摩擦</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调整间隙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restart"/>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3</w:t>
            </w:r>
          </w:p>
        </w:tc>
        <w:tc>
          <w:tcPr>
            <w:tcW w:w="1134" w:type="dxa"/>
            <w:vMerge w:val="restart"/>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过热</w:t>
            </w:r>
          </w:p>
        </w:tc>
        <w:tc>
          <w:tcPr>
            <w:tcW w:w="3104"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升压增大</w:t>
            </w:r>
          </w:p>
        </w:tc>
        <w:tc>
          <w:tcPr>
            <w:tcW w:w="3411"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检查吸入和排出压力</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油箱冷却不良</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检查冷却水路畅通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转子与气缸壁有摩擦</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调整间隙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润滑油过多</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控制油标油位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restart"/>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4</w:t>
            </w:r>
          </w:p>
        </w:tc>
        <w:tc>
          <w:tcPr>
            <w:tcW w:w="1134" w:type="dxa"/>
            <w:vMerge w:val="restart"/>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异响</w:t>
            </w:r>
          </w:p>
        </w:tc>
        <w:tc>
          <w:tcPr>
            <w:tcW w:w="3104"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可调齿轮和转子的位置失调</w:t>
            </w:r>
          </w:p>
        </w:tc>
        <w:tc>
          <w:tcPr>
            <w:tcW w:w="3411"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按规定位置矫正，锁紧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轴承磨损严重</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换轴承</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不正常的压力上升</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检查压力上升原因</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齿轮损伤</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换齿轮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restart"/>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5</w:t>
            </w:r>
          </w:p>
        </w:tc>
        <w:tc>
          <w:tcPr>
            <w:tcW w:w="1134" w:type="dxa"/>
            <w:vMerge w:val="restart"/>
            <w:vAlign w:val="center"/>
          </w:tcPr>
          <w:p>
            <w:pPr>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无法</w:t>
            </w:r>
            <w:r>
              <w:rPr>
                <w:rFonts w:cs="宋体" w:asciiTheme="minorEastAsia" w:hAnsiTheme="minorEastAsia" w:eastAsiaTheme="minorEastAsia"/>
                <w:szCs w:val="21"/>
              </w:rPr>
              <w:t>启动</w:t>
            </w:r>
          </w:p>
        </w:tc>
        <w:tc>
          <w:tcPr>
            <w:tcW w:w="3104"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进排气口堵塞或阀门未打开</w:t>
            </w:r>
          </w:p>
        </w:tc>
        <w:tc>
          <w:tcPr>
            <w:tcW w:w="3411"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撤除堵塞物或打开阀门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电机接线不对或其它电器问题</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检查接线或其它电器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restart"/>
            <w:vAlign w:val="center"/>
          </w:tcPr>
          <w:p>
            <w:pPr>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6</w:t>
            </w:r>
          </w:p>
        </w:tc>
        <w:tc>
          <w:tcPr>
            <w:tcW w:w="1134" w:type="dxa"/>
            <w:vMerge w:val="restart"/>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润滑油泄漏</w:t>
            </w:r>
          </w:p>
        </w:tc>
        <w:tc>
          <w:tcPr>
            <w:tcW w:w="3104"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油位过高</w:t>
            </w:r>
          </w:p>
        </w:tc>
        <w:tc>
          <w:tcPr>
            <w:tcW w:w="3411" w:type="dxa"/>
            <w:vAlign w:val="center"/>
          </w:tcPr>
          <w:p>
            <w:pPr>
              <w:spacing w:before="156" w:beforeLines="50" w:after="156" w:afterLines="50"/>
              <w:rPr>
                <w:rFonts w:cs="宋体" w:asciiTheme="minorEastAsia" w:hAnsiTheme="minorEastAsia" w:eastAsiaTheme="minorEastAsia"/>
                <w:szCs w:val="21"/>
              </w:rPr>
            </w:pPr>
            <w:r>
              <w:rPr>
                <w:rFonts w:cs="宋体" w:asciiTheme="minorEastAsia" w:hAnsiTheme="minorEastAsia" w:eastAsiaTheme="minorEastAsia"/>
                <w:szCs w:val="21"/>
              </w:rPr>
              <w:t>静态油位在油位线上方3～5mm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0" w:hRule="atLeast"/>
          <w:jc w:val="center"/>
        </w:trPr>
        <w:tc>
          <w:tcPr>
            <w:tcW w:w="846" w:type="dxa"/>
            <w:vMerge w:val="continue"/>
            <w:vAlign w:val="center"/>
          </w:tcPr>
          <w:p>
            <w:pPr>
              <w:spacing w:before="156" w:beforeLines="50" w:after="156" w:afterLines="50"/>
              <w:ind w:firstLine="480"/>
              <w:jc w:val="center"/>
              <w:rPr>
                <w:rFonts w:cs="宋体" w:asciiTheme="minorEastAsia" w:hAnsiTheme="minorEastAsia" w:eastAsiaTheme="minorEastAsia"/>
                <w:szCs w:val="21"/>
              </w:rPr>
            </w:pPr>
          </w:p>
        </w:tc>
        <w:tc>
          <w:tcPr>
            <w:tcW w:w="1134" w:type="dxa"/>
            <w:vMerge w:val="continue"/>
            <w:vAlign w:val="center"/>
          </w:tcPr>
          <w:p>
            <w:pPr>
              <w:spacing w:before="156" w:beforeLines="50" w:after="156" w:afterLines="50"/>
              <w:ind w:firstLine="480"/>
              <w:rPr>
                <w:rFonts w:cs="宋体" w:asciiTheme="minorEastAsia" w:hAnsiTheme="minorEastAsia" w:eastAsiaTheme="minorEastAsia"/>
                <w:szCs w:val="21"/>
              </w:rPr>
            </w:pPr>
          </w:p>
        </w:tc>
        <w:tc>
          <w:tcPr>
            <w:tcW w:w="3104"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密封失效</w:t>
            </w:r>
          </w:p>
        </w:tc>
        <w:tc>
          <w:tcPr>
            <w:tcW w:w="3411" w:type="dxa"/>
            <w:vAlign w:val="center"/>
          </w:tcPr>
          <w:p>
            <w:pPr>
              <w:tabs>
                <w:tab w:val="left" w:pos="1440"/>
              </w:tabs>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换密封件</w:t>
            </w:r>
          </w:p>
        </w:tc>
      </w:tr>
    </w:tbl>
    <w:p>
      <w:pPr>
        <w:tabs>
          <w:tab w:val="left" w:pos="947"/>
          <w:tab w:val="clear" w:pos="1875"/>
        </w:tabs>
        <w:rPr>
          <w:rFonts w:ascii="黑体" w:hAnsi="黑体" w:eastAsia="黑体" w:cs="黑体"/>
          <w:szCs w:val="21"/>
        </w:rPr>
      </w:pPr>
    </w:p>
    <w:tbl>
      <w:tblPr>
        <w:tblStyle w:val="36"/>
        <w:tblW w:w="8647"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1134"/>
        <w:gridCol w:w="3119"/>
        <w:gridCol w:w="3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992" w:type="dxa"/>
            <w:vAlign w:val="center"/>
          </w:tcPr>
          <w:p>
            <w:pPr>
              <w:jc w:val="center"/>
              <w:rPr>
                <w:rFonts w:cs="黑体" w:asciiTheme="minorEastAsia" w:hAnsiTheme="minorEastAsia" w:eastAsiaTheme="minorEastAsia"/>
                <w:szCs w:val="21"/>
              </w:rPr>
            </w:pPr>
            <w:r>
              <w:rPr>
                <w:rFonts w:cs="黑体" w:asciiTheme="minorEastAsia" w:hAnsiTheme="minorEastAsia" w:eastAsiaTheme="minorEastAsia"/>
                <w:szCs w:val="21"/>
              </w:rPr>
              <w:t>序号</w:t>
            </w:r>
          </w:p>
        </w:tc>
        <w:tc>
          <w:tcPr>
            <w:tcW w:w="1134" w:type="dxa"/>
          </w:tcPr>
          <w:p>
            <w:pPr>
              <w:rPr>
                <w:rFonts w:cs="黑体" w:asciiTheme="minorEastAsia" w:hAnsiTheme="minorEastAsia" w:eastAsiaTheme="minorEastAsia"/>
                <w:szCs w:val="21"/>
              </w:rPr>
            </w:pPr>
            <w:r>
              <w:rPr>
                <w:rFonts w:cs="黑体" w:asciiTheme="minorEastAsia" w:hAnsiTheme="minorEastAsia" w:eastAsiaTheme="minorEastAsia"/>
                <w:szCs w:val="21"/>
              </w:rPr>
              <w:t>故障类型</w:t>
            </w:r>
          </w:p>
        </w:tc>
        <w:tc>
          <w:tcPr>
            <w:tcW w:w="3119" w:type="dxa"/>
          </w:tcPr>
          <w:p>
            <w:pPr>
              <w:rPr>
                <w:rFonts w:cs="黑体" w:asciiTheme="minorEastAsia" w:hAnsiTheme="minorEastAsia" w:eastAsiaTheme="minorEastAsia"/>
                <w:szCs w:val="21"/>
              </w:rPr>
            </w:pPr>
            <w:r>
              <w:rPr>
                <w:rFonts w:cs="黑体" w:asciiTheme="minorEastAsia" w:hAnsiTheme="minorEastAsia" w:eastAsiaTheme="minorEastAsia"/>
                <w:szCs w:val="21"/>
              </w:rPr>
              <w:t>原因分析</w:t>
            </w:r>
          </w:p>
        </w:tc>
        <w:tc>
          <w:tcPr>
            <w:tcW w:w="3402" w:type="dxa"/>
          </w:tcPr>
          <w:p>
            <w:pPr>
              <w:rPr>
                <w:rFonts w:cs="黑体" w:asciiTheme="minorEastAsia" w:hAnsiTheme="minorEastAsia" w:eastAsiaTheme="minorEastAsia"/>
                <w:szCs w:val="21"/>
              </w:rPr>
            </w:pPr>
            <w:r>
              <w:rPr>
                <w:rFonts w:cs="黑体" w:asciiTheme="minorEastAsia" w:hAnsiTheme="minorEastAsia" w:eastAsiaTheme="minorEastAsia"/>
                <w:szCs w:val="21"/>
              </w:rPr>
              <w:t>处理措施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992" w:type="dxa"/>
            <w:vMerge w:val="restart"/>
            <w:vAlign w:val="center"/>
          </w:tcPr>
          <w:p>
            <w:pPr>
              <w:jc w:val="center"/>
              <w:rPr>
                <w:rFonts w:cs="黑体" w:asciiTheme="minorEastAsia" w:hAnsiTheme="minorEastAsia" w:eastAsiaTheme="minorEastAsia"/>
                <w:szCs w:val="21"/>
              </w:rPr>
            </w:pPr>
            <w:r>
              <w:rPr>
                <w:rFonts w:hint="eastAsia" w:cs="黑体" w:asciiTheme="minorEastAsia" w:hAnsiTheme="minorEastAsia" w:eastAsiaTheme="minorEastAsia"/>
                <w:szCs w:val="21"/>
              </w:rPr>
              <w:t>7</w:t>
            </w:r>
          </w:p>
        </w:tc>
        <w:tc>
          <w:tcPr>
            <w:tcW w:w="1134" w:type="dxa"/>
            <w:vMerge w:val="restart"/>
            <w:vAlign w:val="center"/>
          </w:tcPr>
          <w:p>
            <w:pPr>
              <w:jc w:val="center"/>
              <w:rPr>
                <w:rFonts w:cs="黑体" w:asciiTheme="minorEastAsia" w:hAnsiTheme="minorEastAsia" w:eastAsiaTheme="minorEastAsia"/>
                <w:szCs w:val="21"/>
              </w:rPr>
            </w:pPr>
            <w:r>
              <w:rPr>
                <w:rFonts w:cs="宋体" w:asciiTheme="minorEastAsia" w:hAnsiTheme="minorEastAsia" w:eastAsiaTheme="minorEastAsia"/>
                <w:szCs w:val="21"/>
              </w:rPr>
              <w:t>振动大</w:t>
            </w:r>
          </w:p>
        </w:tc>
        <w:tc>
          <w:tcPr>
            <w:tcW w:w="3119" w:type="dxa"/>
          </w:tcPr>
          <w:p>
            <w:pPr>
              <w:rPr>
                <w:rFonts w:cs="黑体" w:asciiTheme="minorEastAsia" w:hAnsiTheme="minorEastAsia" w:eastAsiaTheme="minorEastAsia"/>
                <w:szCs w:val="21"/>
              </w:rPr>
            </w:pPr>
            <w:r>
              <w:rPr>
                <w:rFonts w:cs="宋体" w:asciiTheme="minorEastAsia" w:hAnsiTheme="minorEastAsia" w:eastAsiaTheme="minorEastAsia"/>
                <w:szCs w:val="21"/>
              </w:rPr>
              <w:t>基础不稳固</w:t>
            </w:r>
          </w:p>
        </w:tc>
        <w:tc>
          <w:tcPr>
            <w:tcW w:w="3402" w:type="dxa"/>
          </w:tcPr>
          <w:p>
            <w:pPr>
              <w:rPr>
                <w:rFonts w:cs="黑体" w:asciiTheme="minorEastAsia" w:hAnsiTheme="minorEastAsia" w:eastAsiaTheme="minorEastAsia"/>
                <w:szCs w:val="21"/>
              </w:rPr>
            </w:pPr>
            <w:r>
              <w:rPr>
                <w:rFonts w:cs="宋体" w:asciiTheme="minorEastAsia" w:hAnsiTheme="minorEastAsia" w:eastAsiaTheme="minorEastAsia"/>
                <w:szCs w:val="21"/>
              </w:rPr>
              <w:t>加固、紧牢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992" w:type="dxa"/>
            <w:vMerge w:val="continue"/>
          </w:tcPr>
          <w:p>
            <w:pPr>
              <w:rPr>
                <w:rFonts w:cs="黑体" w:asciiTheme="minorEastAsia" w:hAnsiTheme="minorEastAsia" w:eastAsiaTheme="minorEastAsia"/>
                <w:szCs w:val="21"/>
              </w:rPr>
            </w:pPr>
          </w:p>
        </w:tc>
        <w:tc>
          <w:tcPr>
            <w:tcW w:w="1134" w:type="dxa"/>
            <w:vMerge w:val="continue"/>
          </w:tcPr>
          <w:p>
            <w:pPr>
              <w:rPr>
                <w:rFonts w:cs="黑体" w:asciiTheme="minorEastAsia" w:hAnsiTheme="minorEastAsia" w:eastAsiaTheme="minorEastAsia"/>
                <w:szCs w:val="21"/>
              </w:rPr>
            </w:pPr>
          </w:p>
        </w:tc>
        <w:tc>
          <w:tcPr>
            <w:tcW w:w="3119" w:type="dxa"/>
          </w:tcPr>
          <w:p>
            <w:pPr>
              <w:rPr>
                <w:rFonts w:cs="黑体" w:asciiTheme="minorEastAsia" w:hAnsiTheme="minorEastAsia" w:eastAsiaTheme="minorEastAsia"/>
                <w:szCs w:val="21"/>
              </w:rPr>
            </w:pPr>
            <w:r>
              <w:rPr>
                <w:rFonts w:hint="eastAsia" w:cs="宋体" w:asciiTheme="minorEastAsia" w:hAnsiTheme="minorEastAsia" w:eastAsiaTheme="minorEastAsia"/>
                <w:szCs w:val="21"/>
              </w:rPr>
              <w:t>电机风机对中性不好</w:t>
            </w:r>
          </w:p>
        </w:tc>
        <w:tc>
          <w:tcPr>
            <w:tcW w:w="3402" w:type="dxa"/>
          </w:tcPr>
          <w:p>
            <w:pPr>
              <w:rPr>
                <w:rFonts w:cs="黑体" w:asciiTheme="minorEastAsia" w:hAnsiTheme="minorEastAsia" w:eastAsiaTheme="minorEastAsia"/>
                <w:szCs w:val="21"/>
              </w:rPr>
            </w:pPr>
            <w:r>
              <w:rPr>
                <w:rFonts w:hint="eastAsia" w:cs="宋体" w:asciiTheme="minorEastAsia" w:hAnsiTheme="minorEastAsia" w:eastAsiaTheme="minorEastAsia"/>
                <w:szCs w:val="21"/>
              </w:rPr>
              <w:t>按说明书找正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992" w:type="dxa"/>
            <w:vMerge w:val="continue"/>
          </w:tcPr>
          <w:p>
            <w:pPr>
              <w:rPr>
                <w:rFonts w:ascii="黑体" w:hAnsi="黑体" w:eastAsia="黑体" w:cs="黑体"/>
                <w:szCs w:val="21"/>
              </w:rPr>
            </w:pPr>
          </w:p>
        </w:tc>
        <w:tc>
          <w:tcPr>
            <w:tcW w:w="1134" w:type="dxa"/>
            <w:vMerge w:val="continue"/>
          </w:tcPr>
          <w:p>
            <w:pPr>
              <w:rPr>
                <w:rFonts w:ascii="黑体" w:hAnsi="黑体" w:eastAsia="黑体" w:cs="黑体"/>
                <w:szCs w:val="21"/>
              </w:rPr>
            </w:pPr>
          </w:p>
        </w:tc>
        <w:tc>
          <w:tcPr>
            <w:tcW w:w="3119" w:type="dxa"/>
          </w:tcPr>
          <w:p>
            <w:pPr>
              <w:rPr>
                <w:rFonts w:ascii="黑体" w:hAnsi="黑体" w:eastAsia="黑体" w:cs="黑体"/>
                <w:szCs w:val="21"/>
              </w:rPr>
            </w:pPr>
            <w:r>
              <w:rPr>
                <w:rFonts w:hint="eastAsia" w:cs="宋体" w:asciiTheme="minorEastAsia" w:hAnsiTheme="minorEastAsia" w:eastAsiaTheme="minorEastAsia"/>
                <w:szCs w:val="21"/>
              </w:rPr>
              <w:t>轴承磨损</w:t>
            </w:r>
          </w:p>
        </w:tc>
        <w:tc>
          <w:tcPr>
            <w:tcW w:w="3402" w:type="dxa"/>
          </w:tcPr>
          <w:p>
            <w:pPr>
              <w:rPr>
                <w:rFonts w:ascii="黑体" w:hAnsi="黑体" w:eastAsia="黑体" w:cs="黑体"/>
                <w:szCs w:val="21"/>
              </w:rPr>
            </w:pPr>
            <w:r>
              <w:rPr>
                <w:rFonts w:hint="eastAsia" w:cs="宋体" w:asciiTheme="minorEastAsia" w:hAnsiTheme="minorEastAsia" w:eastAsiaTheme="minorEastAsia"/>
                <w:szCs w:val="21"/>
              </w:rPr>
              <w:t>换轴承</w:t>
            </w:r>
          </w:p>
        </w:tc>
      </w:tr>
    </w:tbl>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r>
        <w:rPr>
          <w:rFonts w:ascii="黑体" w:hAnsi="黑体" w:eastAsia="黑体" w:cs="黑体"/>
          <w:szCs w:val="21"/>
        </w:rPr>
        <w:br w:type="page"/>
      </w:r>
    </w:p>
    <w:p>
      <w:pPr>
        <w:rPr>
          <w:rFonts w:ascii="黑体" w:hAnsi="黑体" w:eastAsia="黑体" w:cs="黑体"/>
          <w:szCs w:val="21"/>
        </w:rPr>
      </w:pPr>
    </w:p>
    <w:p>
      <w:pPr>
        <w:jc w:val="center"/>
        <w:rPr>
          <w:rFonts w:ascii="黑体" w:hAnsi="黑体" w:eastAsia="黑体" w:cs="黑体"/>
          <w:szCs w:val="21"/>
        </w:rPr>
      </w:pPr>
      <w:r>
        <w:rPr>
          <w:rFonts w:ascii="黑体" w:hAnsi="黑体" w:eastAsia="黑体" w:cs="黑体"/>
          <w:szCs w:val="21"/>
        </w:rPr>
        <w:t>表A.3 pH/DO仪常见故障及排除</w:t>
      </w:r>
    </w:p>
    <w:p>
      <w:pPr>
        <w:rPr>
          <w:rFonts w:ascii="黑体" w:hAnsi="黑体" w:eastAsia="黑体" w:cs="黑体"/>
          <w:szCs w:val="21"/>
        </w:rPr>
      </w:pPr>
    </w:p>
    <w:tbl>
      <w:tblPr>
        <w:tblStyle w:val="35"/>
        <w:tblW w:w="852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06"/>
        <w:gridCol w:w="612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2406" w:type="dxa"/>
            <w:vAlign w:val="center"/>
          </w:tcPr>
          <w:p>
            <w:pPr>
              <w:spacing w:before="156" w:beforeLines="50" w:after="156" w:afterLines="50"/>
              <w:ind w:firstLine="735" w:firstLineChars="350"/>
              <w:rPr>
                <w:rFonts w:cs="宋体"/>
                <w:szCs w:val="21"/>
              </w:rPr>
            </w:pPr>
            <w:r>
              <w:rPr>
                <w:rFonts w:cs="宋体"/>
                <w:szCs w:val="21"/>
              </w:rPr>
              <w:t>故 障</w:t>
            </w:r>
          </w:p>
        </w:tc>
        <w:tc>
          <w:tcPr>
            <w:tcW w:w="6122" w:type="dxa"/>
            <w:vAlign w:val="center"/>
          </w:tcPr>
          <w:p>
            <w:pPr>
              <w:spacing w:before="156" w:beforeLines="50" w:after="156" w:afterLines="50"/>
              <w:ind w:firstLine="735" w:firstLineChars="350"/>
              <w:rPr>
                <w:rFonts w:cs="宋体"/>
                <w:szCs w:val="21"/>
              </w:rPr>
            </w:pPr>
            <w:r>
              <w:rPr>
                <w:rFonts w:cs="宋体"/>
                <w:szCs w:val="21"/>
              </w:rPr>
              <w:t>原因及处理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406" w:type="dxa"/>
            <w:vMerge w:val="restart"/>
            <w:vAlign w:val="center"/>
          </w:tcPr>
          <w:p>
            <w:pPr>
              <w:spacing w:before="156" w:beforeLines="50" w:after="156" w:afterLines="50"/>
              <w:rPr>
                <w:rFonts w:cs="宋体"/>
                <w:szCs w:val="21"/>
              </w:rPr>
            </w:pPr>
            <w:r>
              <w:rPr>
                <w:rFonts w:cs="宋体"/>
                <w:szCs w:val="21"/>
              </w:rPr>
              <w:t>电源已接，开机无显示</w:t>
            </w:r>
          </w:p>
        </w:tc>
        <w:tc>
          <w:tcPr>
            <w:tcW w:w="6122" w:type="dxa"/>
            <w:vAlign w:val="center"/>
          </w:tcPr>
          <w:p>
            <w:pPr>
              <w:spacing w:before="156" w:beforeLines="50" w:after="156" w:afterLines="50"/>
              <w:rPr>
                <w:rFonts w:cs="宋体"/>
                <w:szCs w:val="21"/>
              </w:rPr>
            </w:pPr>
            <w:r>
              <w:rPr>
                <w:rFonts w:cs="宋体"/>
                <w:szCs w:val="21"/>
              </w:rPr>
              <w:t>电源开关或变压器坏。修理或更换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保险丝坏。更换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仪器内部有故障。检修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7" w:hRule="atLeast"/>
        </w:trPr>
        <w:tc>
          <w:tcPr>
            <w:tcW w:w="2406" w:type="dxa"/>
            <w:vMerge w:val="restart"/>
            <w:vAlign w:val="center"/>
          </w:tcPr>
          <w:p>
            <w:pPr>
              <w:spacing w:before="156" w:beforeLines="50" w:after="156" w:afterLines="50"/>
              <w:rPr>
                <w:rFonts w:cs="宋体"/>
                <w:szCs w:val="21"/>
              </w:rPr>
            </w:pPr>
            <w:r>
              <w:rPr>
                <w:rFonts w:cs="宋体"/>
                <w:szCs w:val="21"/>
              </w:rPr>
              <w:t>开机后显示乱跳</w:t>
            </w:r>
          </w:p>
        </w:tc>
        <w:tc>
          <w:tcPr>
            <w:tcW w:w="6122" w:type="dxa"/>
            <w:vAlign w:val="center"/>
          </w:tcPr>
          <w:p>
            <w:pPr>
              <w:spacing w:before="156" w:beforeLines="50" w:after="156" w:afterLines="50"/>
              <w:rPr>
                <w:rFonts w:cs="宋体"/>
                <w:szCs w:val="21"/>
              </w:rPr>
            </w:pPr>
            <w:r>
              <w:rPr>
                <w:rFonts w:cs="宋体"/>
                <w:szCs w:val="21"/>
              </w:rPr>
              <w:t>仪器输入端开路。插上短路插头或接上电极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6"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选择开关接触不良。修理或更换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406" w:type="dxa"/>
            <w:vMerge w:val="restart"/>
            <w:vAlign w:val="center"/>
          </w:tcPr>
          <w:p>
            <w:pPr>
              <w:spacing w:before="156" w:beforeLines="50" w:after="156" w:afterLines="50"/>
              <w:rPr>
                <w:rFonts w:cs="宋体"/>
                <w:szCs w:val="21"/>
              </w:rPr>
            </w:pPr>
            <w:r>
              <w:rPr>
                <w:rFonts w:cs="宋体"/>
                <w:szCs w:val="21"/>
              </w:rPr>
              <w:t>“定位”调节不到6.86pH</w:t>
            </w:r>
          </w:p>
        </w:tc>
        <w:tc>
          <w:tcPr>
            <w:tcW w:w="6122" w:type="dxa"/>
            <w:vAlign w:val="center"/>
          </w:tcPr>
          <w:p>
            <w:pPr>
              <w:spacing w:before="156" w:beforeLines="50" w:after="156" w:afterLines="50"/>
              <w:rPr>
                <w:rFonts w:cs="宋体"/>
                <w:szCs w:val="21"/>
              </w:rPr>
            </w:pPr>
            <w:r>
              <w:rPr>
                <w:rFonts w:cs="宋体"/>
                <w:szCs w:val="21"/>
              </w:rPr>
              <w:t>标准溶液失效。重新配置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电极失效。更换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“定位”电位器坏。更换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复合电极内溶液干固。补充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“斜率”电位器可能坏。更换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2406" w:type="dxa"/>
            <w:vMerge w:val="restart"/>
            <w:vAlign w:val="center"/>
          </w:tcPr>
          <w:p>
            <w:pPr>
              <w:spacing w:before="156" w:beforeLines="50" w:after="156" w:afterLines="50"/>
              <w:rPr>
                <w:rFonts w:cs="宋体"/>
                <w:szCs w:val="21"/>
              </w:rPr>
            </w:pPr>
            <w:r>
              <w:rPr>
                <w:rFonts w:cs="宋体"/>
                <w:szCs w:val="21"/>
              </w:rPr>
              <w:t>“斜率”调节不到pH9.18或pH4.00</w:t>
            </w:r>
          </w:p>
        </w:tc>
        <w:tc>
          <w:tcPr>
            <w:tcW w:w="6122" w:type="dxa"/>
            <w:vAlign w:val="center"/>
          </w:tcPr>
          <w:p>
            <w:pPr>
              <w:spacing w:before="156" w:beforeLines="50" w:after="156" w:afterLines="50"/>
              <w:rPr>
                <w:rFonts w:cs="宋体"/>
                <w:szCs w:val="21"/>
              </w:rPr>
            </w:pPr>
            <w:r>
              <w:rPr>
                <w:rFonts w:cs="宋体"/>
                <w:szCs w:val="21"/>
              </w:rPr>
              <w:t>标准溶液失效。重新配置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“斜率”电位器坏。更换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电极斜率下。更换电极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2406" w:type="dxa"/>
            <w:vMerge w:val="restart"/>
            <w:vAlign w:val="center"/>
          </w:tcPr>
          <w:p>
            <w:pPr>
              <w:spacing w:before="156" w:beforeLines="50" w:after="156" w:afterLines="50"/>
              <w:rPr>
                <w:rFonts w:cs="宋体"/>
                <w:szCs w:val="21"/>
              </w:rPr>
            </w:pPr>
            <w:r>
              <w:rPr>
                <w:rFonts w:cs="宋体"/>
                <w:szCs w:val="21"/>
              </w:rPr>
              <w:t>pH测量时，数字不稳定，变化缓慢</w:t>
            </w:r>
          </w:p>
        </w:tc>
        <w:tc>
          <w:tcPr>
            <w:tcW w:w="6122" w:type="dxa"/>
            <w:vAlign w:val="center"/>
          </w:tcPr>
          <w:p>
            <w:pPr>
              <w:spacing w:before="156" w:beforeLines="50" w:after="156" w:afterLines="50"/>
              <w:rPr>
                <w:rFonts w:cs="宋体"/>
                <w:szCs w:val="21"/>
              </w:rPr>
            </w:pPr>
            <w:r>
              <w:rPr>
                <w:rFonts w:cs="宋体"/>
                <w:szCs w:val="21"/>
              </w:rPr>
              <w:t>复合电极内氯化钾溶液消耗完。补充溶液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电极阻抗增大，使用寿命已到。更换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接地线接触不良。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406" w:type="dxa"/>
            <w:vMerge w:val="restart"/>
            <w:vAlign w:val="center"/>
          </w:tcPr>
          <w:p>
            <w:pPr>
              <w:spacing w:before="156" w:beforeLines="50" w:after="156" w:afterLines="50"/>
              <w:rPr>
                <w:rFonts w:cs="宋体"/>
                <w:szCs w:val="21"/>
              </w:rPr>
            </w:pPr>
            <w:r>
              <w:rPr>
                <w:rFonts w:cs="宋体"/>
                <w:szCs w:val="21"/>
              </w:rPr>
              <w:t>“自动”补偿时，数字溢出或示值不变</w:t>
            </w:r>
          </w:p>
        </w:tc>
        <w:tc>
          <w:tcPr>
            <w:tcW w:w="6122" w:type="dxa"/>
            <w:vAlign w:val="center"/>
          </w:tcPr>
          <w:p>
            <w:pPr>
              <w:spacing w:before="156" w:beforeLines="50" w:after="156" w:afterLines="50"/>
              <w:rPr>
                <w:rFonts w:cs="宋体"/>
                <w:szCs w:val="21"/>
              </w:rPr>
            </w:pPr>
            <w:r>
              <w:rPr>
                <w:rFonts w:cs="宋体"/>
                <w:szCs w:val="21"/>
              </w:rPr>
              <w:t>温度补偿电极未接好或已坏。更换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仪器后面板上温度补偿选择开关坏。更换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3"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温度补偿电极插座内部接线断。维修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3" w:hRule="atLeast"/>
        </w:trPr>
        <w:tc>
          <w:tcPr>
            <w:tcW w:w="2406" w:type="dxa"/>
            <w:vMerge w:val="continue"/>
            <w:vAlign w:val="center"/>
          </w:tcPr>
          <w:p>
            <w:pPr>
              <w:spacing w:before="156" w:beforeLines="50" w:after="156" w:afterLines="50"/>
              <w:rPr>
                <w:rFonts w:cs="宋体"/>
                <w:szCs w:val="21"/>
              </w:rPr>
            </w:pPr>
          </w:p>
        </w:tc>
        <w:tc>
          <w:tcPr>
            <w:tcW w:w="6122" w:type="dxa"/>
            <w:vAlign w:val="center"/>
          </w:tcPr>
          <w:p>
            <w:pPr>
              <w:spacing w:before="156" w:beforeLines="50" w:after="156" w:afterLines="50"/>
              <w:rPr>
                <w:rFonts w:cs="宋体"/>
                <w:szCs w:val="21"/>
              </w:rPr>
            </w:pPr>
            <w:r>
              <w:rPr>
                <w:rFonts w:cs="宋体"/>
                <w:szCs w:val="21"/>
              </w:rPr>
              <w:t>仪器内部元器件坏。维修</w:t>
            </w:r>
          </w:p>
        </w:tc>
      </w:tr>
    </w:tbl>
    <w:p>
      <w:pPr>
        <w:rPr>
          <w:rFonts w:cs="宋体"/>
          <w:szCs w:val="21"/>
        </w:rPr>
      </w:pPr>
      <w:r>
        <w:rPr>
          <w:rFonts w:cs="宋体"/>
          <w:szCs w:val="21"/>
        </w:rPr>
        <w:t xml:space="preserve"> </w:t>
      </w: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rPr>
          <w:rFonts w:ascii="黑体" w:hAnsi="黑体" w:eastAsia="黑体" w:cs="黑体"/>
          <w:szCs w:val="21"/>
        </w:rPr>
      </w:pPr>
    </w:p>
    <w:p>
      <w:pPr>
        <w:jc w:val="center"/>
        <w:rPr>
          <w:rFonts w:ascii="黑体" w:hAnsi="黑体" w:eastAsia="黑体" w:cs="黑体"/>
          <w:szCs w:val="21"/>
        </w:rPr>
      </w:pPr>
      <w:r>
        <w:rPr>
          <w:rFonts w:ascii="黑体" w:hAnsi="黑体" w:eastAsia="黑体" w:cs="黑体"/>
          <w:szCs w:val="21"/>
        </w:rPr>
        <w:t>表A.4 板框压滤机故障诊断及排除</w:t>
      </w:r>
    </w:p>
    <w:p>
      <w:pPr>
        <w:rPr>
          <w:rFonts w:ascii="黑体" w:hAnsi="黑体" w:eastAsia="黑体" w:cs="黑体"/>
          <w:szCs w:val="21"/>
        </w:rPr>
      </w:pPr>
    </w:p>
    <w:tbl>
      <w:tblPr>
        <w:tblStyle w:val="36"/>
        <w:tblW w:w="87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
        <w:gridCol w:w="1275"/>
        <w:gridCol w:w="3969"/>
        <w:gridCol w:w="28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3" w:hRule="atLeast"/>
        </w:trPr>
        <w:tc>
          <w:tcPr>
            <w:tcW w:w="705" w:type="dxa"/>
            <w:vAlign w:val="center"/>
          </w:tcPr>
          <w:p>
            <w:pPr>
              <w:jc w:val="center"/>
              <w:rPr>
                <w:rFonts w:ascii="宋体" w:cs="宋体"/>
                <w:szCs w:val="21"/>
              </w:rPr>
            </w:pPr>
            <w:r>
              <w:rPr>
                <w:rFonts w:ascii="宋体" w:cs="宋体"/>
                <w:szCs w:val="21"/>
              </w:rPr>
              <w:t>序号</w:t>
            </w:r>
          </w:p>
        </w:tc>
        <w:tc>
          <w:tcPr>
            <w:tcW w:w="1275" w:type="dxa"/>
            <w:vAlign w:val="center"/>
          </w:tcPr>
          <w:p>
            <w:pPr>
              <w:jc w:val="center"/>
              <w:rPr>
                <w:rFonts w:ascii="宋体" w:cs="宋体"/>
                <w:szCs w:val="21"/>
              </w:rPr>
            </w:pPr>
            <w:r>
              <w:rPr>
                <w:rFonts w:ascii="宋体" w:cs="宋体"/>
                <w:szCs w:val="21"/>
              </w:rPr>
              <w:t>故障</w:t>
            </w:r>
          </w:p>
        </w:tc>
        <w:tc>
          <w:tcPr>
            <w:tcW w:w="3969" w:type="dxa"/>
            <w:vAlign w:val="center"/>
          </w:tcPr>
          <w:p>
            <w:pPr>
              <w:jc w:val="center"/>
              <w:rPr>
                <w:rFonts w:ascii="宋体" w:cs="宋体"/>
                <w:szCs w:val="21"/>
              </w:rPr>
            </w:pPr>
            <w:r>
              <w:rPr>
                <w:rFonts w:ascii="宋体" w:cs="宋体"/>
                <w:szCs w:val="21"/>
              </w:rPr>
              <w:t>原因分析</w:t>
            </w:r>
          </w:p>
        </w:tc>
        <w:tc>
          <w:tcPr>
            <w:tcW w:w="2811" w:type="dxa"/>
            <w:vAlign w:val="center"/>
          </w:tcPr>
          <w:p>
            <w:pPr>
              <w:jc w:val="center"/>
              <w:rPr>
                <w:rFonts w:ascii="宋体" w:cs="宋体"/>
                <w:szCs w:val="21"/>
              </w:rPr>
            </w:pPr>
            <w:r>
              <w:rPr>
                <w:rFonts w:ascii="宋体" w:cs="宋体"/>
                <w:szCs w:val="21"/>
              </w:rPr>
              <w:t>处理措施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5" w:hRule="atLeast"/>
        </w:trPr>
        <w:tc>
          <w:tcPr>
            <w:tcW w:w="705" w:type="dxa"/>
            <w:vMerge w:val="restart"/>
            <w:vAlign w:val="center"/>
          </w:tcPr>
          <w:p>
            <w:pPr>
              <w:jc w:val="center"/>
              <w:rPr>
                <w:rFonts w:ascii="宋体" w:cs="宋体"/>
                <w:szCs w:val="21"/>
              </w:rPr>
            </w:pPr>
            <w:r>
              <w:rPr>
                <w:rFonts w:ascii="宋体" w:cs="宋体"/>
                <w:szCs w:val="21"/>
              </w:rPr>
              <w:t>1</w:t>
            </w:r>
          </w:p>
        </w:tc>
        <w:tc>
          <w:tcPr>
            <w:tcW w:w="1275" w:type="dxa"/>
            <w:vMerge w:val="restart"/>
            <w:vAlign w:val="center"/>
          </w:tcPr>
          <w:p>
            <w:pPr>
              <w:jc w:val="center"/>
              <w:rPr>
                <w:rFonts w:ascii="宋体" w:cs="宋体"/>
                <w:szCs w:val="21"/>
              </w:rPr>
            </w:pPr>
            <w:r>
              <w:rPr>
                <w:rFonts w:ascii="宋体" w:cs="宋体"/>
                <w:szCs w:val="21"/>
              </w:rPr>
              <w:t>板块本身的损坏</w:t>
            </w:r>
          </w:p>
        </w:tc>
        <w:tc>
          <w:tcPr>
            <w:tcW w:w="3969" w:type="dxa"/>
          </w:tcPr>
          <w:p>
            <w:pPr>
              <w:spacing w:before="156" w:beforeLines="50" w:after="156" w:afterLines="50"/>
              <w:jc w:val="left"/>
              <w:rPr>
                <w:rFonts w:ascii="宋体" w:cs="宋体"/>
                <w:szCs w:val="21"/>
              </w:rPr>
            </w:pPr>
            <w:r>
              <w:rPr>
                <w:rFonts w:ascii="宋体" w:cs="宋体"/>
                <w:szCs w:val="21"/>
              </w:rPr>
              <w:t>当污泥过稠或干块遗留时，就会造成供料口的堵塞，此时滤板间没有了介质只剩下液压系统本身的压力，此时板块本身由于长时间受压极易造成损坏。</w:t>
            </w:r>
          </w:p>
        </w:tc>
        <w:tc>
          <w:tcPr>
            <w:tcW w:w="2811" w:type="dxa"/>
          </w:tcPr>
          <w:p>
            <w:pPr>
              <w:spacing w:before="156" w:beforeLines="50" w:after="156" w:afterLines="50"/>
              <w:jc w:val="left"/>
              <w:rPr>
                <w:rFonts w:ascii="宋体" w:cs="宋体"/>
                <w:szCs w:val="21"/>
              </w:rPr>
            </w:pPr>
            <w:r>
              <w:rPr>
                <w:rFonts w:ascii="宋体" w:cs="宋体"/>
                <w:szCs w:val="21"/>
              </w:rPr>
              <w:t>使用尼龙的清洗刮刀，除去进料口的泥</w:t>
            </w:r>
            <w:r>
              <w:rPr>
                <w:rFonts w:hint="eastAsia" w:ascii="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trPr>
        <w:tc>
          <w:tcPr>
            <w:tcW w:w="705" w:type="dxa"/>
            <w:vMerge w:val="continue"/>
            <w:vAlign w:val="center"/>
          </w:tcPr>
          <w:p>
            <w:pPr>
              <w:jc w:val="center"/>
              <w:rPr>
                <w:rFonts w:ascii="宋体" w:cs="宋体"/>
                <w:szCs w:val="21"/>
              </w:rPr>
            </w:pPr>
          </w:p>
        </w:tc>
        <w:tc>
          <w:tcPr>
            <w:tcW w:w="1275" w:type="dxa"/>
            <w:vMerge w:val="continue"/>
            <w:vAlign w:val="center"/>
          </w:tcPr>
          <w:p>
            <w:pPr>
              <w:jc w:val="center"/>
              <w:rPr>
                <w:rFonts w:ascii="宋体" w:cs="宋体"/>
                <w:szCs w:val="21"/>
              </w:rPr>
            </w:pPr>
          </w:p>
        </w:tc>
        <w:tc>
          <w:tcPr>
            <w:tcW w:w="3969" w:type="dxa"/>
          </w:tcPr>
          <w:p>
            <w:pPr>
              <w:spacing w:before="156" w:beforeLines="50" w:after="156" w:afterLines="50"/>
              <w:jc w:val="left"/>
              <w:rPr>
                <w:rFonts w:ascii="宋体" w:cs="宋体"/>
                <w:szCs w:val="21"/>
              </w:rPr>
            </w:pPr>
            <w:r>
              <w:rPr>
                <w:rFonts w:ascii="宋体" w:cs="宋体"/>
                <w:szCs w:val="21"/>
              </w:rPr>
              <w:t>供料不足或供料中含有不合适的固体颗粒时，同样会造成板框本身受力过多以至于损坏</w:t>
            </w:r>
          </w:p>
        </w:tc>
        <w:tc>
          <w:tcPr>
            <w:tcW w:w="2811" w:type="dxa"/>
          </w:tcPr>
          <w:p>
            <w:pPr>
              <w:spacing w:before="156" w:beforeLines="50" w:after="156" w:afterLines="50"/>
              <w:jc w:val="left"/>
              <w:rPr>
                <w:rFonts w:ascii="宋体" w:cs="宋体"/>
                <w:szCs w:val="21"/>
              </w:rPr>
            </w:pPr>
            <w:r>
              <w:rPr>
                <w:rFonts w:ascii="宋体" w:cs="宋体"/>
                <w:szCs w:val="21"/>
              </w:rPr>
              <w:t>完成这个周期，减少滤板容积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4" w:hRule="atLeast"/>
        </w:trPr>
        <w:tc>
          <w:tcPr>
            <w:tcW w:w="705" w:type="dxa"/>
            <w:vMerge w:val="continue"/>
            <w:vAlign w:val="center"/>
          </w:tcPr>
          <w:p>
            <w:pPr>
              <w:jc w:val="center"/>
              <w:rPr>
                <w:rFonts w:ascii="宋体" w:cs="宋体"/>
                <w:szCs w:val="21"/>
              </w:rPr>
            </w:pPr>
          </w:p>
        </w:tc>
        <w:tc>
          <w:tcPr>
            <w:tcW w:w="1275" w:type="dxa"/>
            <w:vMerge w:val="continue"/>
            <w:vAlign w:val="center"/>
          </w:tcPr>
          <w:p>
            <w:pPr>
              <w:jc w:val="center"/>
              <w:rPr>
                <w:rFonts w:ascii="宋体" w:cs="宋体"/>
                <w:szCs w:val="21"/>
              </w:rPr>
            </w:pPr>
          </w:p>
        </w:tc>
        <w:tc>
          <w:tcPr>
            <w:tcW w:w="3969" w:type="dxa"/>
          </w:tcPr>
          <w:p>
            <w:pPr>
              <w:spacing w:before="156" w:beforeLines="50" w:after="156" w:afterLines="50"/>
              <w:jc w:val="left"/>
              <w:rPr>
                <w:rFonts w:ascii="宋体" w:cs="宋体"/>
                <w:szCs w:val="21"/>
              </w:rPr>
            </w:pPr>
            <w:r>
              <w:rPr>
                <w:rFonts w:ascii="宋体" w:cs="宋体"/>
                <w:szCs w:val="21"/>
              </w:rPr>
              <w:t>如果流出口被固体堵塞或启动时关闭了供料阀或出阀，压力无处外泄，以至于造成损坏</w:t>
            </w:r>
          </w:p>
        </w:tc>
        <w:tc>
          <w:tcPr>
            <w:tcW w:w="2811" w:type="dxa"/>
          </w:tcPr>
          <w:p>
            <w:pPr>
              <w:spacing w:before="156" w:beforeLines="50" w:after="156" w:afterLines="50"/>
              <w:jc w:val="left"/>
              <w:rPr>
                <w:rFonts w:ascii="宋体" w:cs="宋体"/>
                <w:szCs w:val="21"/>
              </w:rPr>
            </w:pPr>
            <w:r>
              <w:rPr>
                <w:rFonts w:ascii="宋体" w:cs="宋体"/>
                <w:szCs w:val="21"/>
              </w:rPr>
              <w:t>检查滤布，清理排水口，检查出口，打开相应阀门，释放压力</w:t>
            </w:r>
            <w:r>
              <w:rPr>
                <w:rFonts w:hint="eastAsia" w:ascii="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705" w:type="dxa"/>
            <w:vMerge w:val="continue"/>
            <w:vAlign w:val="center"/>
          </w:tcPr>
          <w:p>
            <w:pPr>
              <w:jc w:val="center"/>
              <w:rPr>
                <w:rFonts w:ascii="宋体" w:cs="宋体"/>
                <w:szCs w:val="21"/>
              </w:rPr>
            </w:pPr>
          </w:p>
        </w:tc>
        <w:tc>
          <w:tcPr>
            <w:tcW w:w="1275" w:type="dxa"/>
            <w:vMerge w:val="continue"/>
            <w:vAlign w:val="center"/>
          </w:tcPr>
          <w:p>
            <w:pPr>
              <w:jc w:val="center"/>
              <w:rPr>
                <w:rFonts w:ascii="宋体" w:cs="宋体"/>
                <w:szCs w:val="21"/>
              </w:rPr>
            </w:pPr>
          </w:p>
        </w:tc>
        <w:tc>
          <w:tcPr>
            <w:tcW w:w="3969" w:type="dxa"/>
          </w:tcPr>
          <w:p>
            <w:pPr>
              <w:spacing w:before="156" w:beforeLines="50" w:after="156" w:afterLines="50"/>
              <w:jc w:val="left"/>
              <w:rPr>
                <w:rFonts w:ascii="宋体" w:cs="宋体"/>
                <w:szCs w:val="21"/>
              </w:rPr>
            </w:pPr>
            <w:r>
              <w:rPr>
                <w:rFonts w:ascii="宋体" w:cs="宋体"/>
                <w:szCs w:val="21"/>
              </w:rPr>
              <w:t>滤板清理不净时，有时会造成介质外泄，一旦外泄，板框边缘就会被冲刷出一道一道的小沟来，介质的大量外泄造成压力无法升高，泥饼无法形成。</w:t>
            </w:r>
          </w:p>
        </w:tc>
        <w:tc>
          <w:tcPr>
            <w:tcW w:w="2811" w:type="dxa"/>
          </w:tcPr>
          <w:p>
            <w:pPr>
              <w:spacing w:before="156" w:beforeLines="50" w:after="156" w:afterLines="50"/>
              <w:jc w:val="left"/>
              <w:rPr>
                <w:rFonts w:ascii="宋体" w:cs="宋体"/>
                <w:szCs w:val="21"/>
              </w:rPr>
            </w:pPr>
            <w:r>
              <w:rPr>
                <w:rFonts w:ascii="宋体" w:cs="宋体"/>
                <w:szCs w:val="21"/>
              </w:rPr>
              <w:t>仔细清理滤板，修复滤板</w:t>
            </w:r>
            <w:r>
              <w:rPr>
                <w:rFonts w:hint="eastAsia" w:ascii="宋体" w:cs="宋体"/>
                <w:szCs w:val="21"/>
              </w:rPr>
              <w:t>。</w:t>
            </w:r>
          </w:p>
          <w:p>
            <w:pPr>
              <w:spacing w:before="156" w:beforeLines="50" w:after="156" w:afterLines="50"/>
              <w:jc w:val="left"/>
              <w:rPr>
                <w:rFonts w:ascii="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6" w:hRule="atLeast"/>
        </w:trPr>
        <w:tc>
          <w:tcPr>
            <w:tcW w:w="705" w:type="dxa"/>
            <w:vAlign w:val="center"/>
          </w:tcPr>
          <w:p>
            <w:pPr>
              <w:rPr>
                <w:rFonts w:ascii="宋体" w:cs="宋体"/>
                <w:szCs w:val="21"/>
              </w:rPr>
            </w:pPr>
            <w:r>
              <w:rPr>
                <w:rFonts w:ascii="宋体" w:cs="宋体"/>
                <w:szCs w:val="21"/>
              </w:rPr>
              <w:t>2</w:t>
            </w:r>
          </w:p>
        </w:tc>
        <w:tc>
          <w:tcPr>
            <w:tcW w:w="1275" w:type="dxa"/>
            <w:vAlign w:val="center"/>
          </w:tcPr>
          <w:p>
            <w:pPr>
              <w:jc w:val="center"/>
              <w:rPr>
                <w:rFonts w:ascii="宋体" w:cs="宋体"/>
                <w:szCs w:val="21"/>
              </w:rPr>
            </w:pPr>
            <w:r>
              <w:rPr>
                <w:rFonts w:ascii="宋体" w:cs="宋体"/>
                <w:szCs w:val="21"/>
              </w:rPr>
              <w:t>板框间渗水</w:t>
            </w:r>
          </w:p>
        </w:tc>
        <w:tc>
          <w:tcPr>
            <w:tcW w:w="3969" w:type="dxa"/>
          </w:tcPr>
          <w:p>
            <w:pPr>
              <w:spacing w:before="156" w:beforeLines="50" w:after="156" w:afterLines="50"/>
              <w:jc w:val="left"/>
              <w:rPr>
                <w:rFonts w:ascii="宋体" w:cs="宋体"/>
                <w:szCs w:val="21"/>
              </w:rPr>
            </w:pPr>
            <w:r>
              <w:rPr>
                <w:rFonts w:ascii="宋体" w:cs="宋体"/>
                <w:szCs w:val="21"/>
              </w:rPr>
              <w:t>1、液压低</w:t>
            </w:r>
          </w:p>
          <w:p>
            <w:pPr>
              <w:spacing w:before="156" w:beforeLines="50" w:after="156" w:afterLines="50"/>
              <w:jc w:val="left"/>
              <w:rPr>
                <w:rFonts w:ascii="宋体" w:cs="宋体"/>
                <w:szCs w:val="21"/>
              </w:rPr>
            </w:pPr>
            <w:r>
              <w:rPr>
                <w:rFonts w:ascii="宋体" w:cs="宋体"/>
                <w:szCs w:val="21"/>
              </w:rPr>
              <w:t>2、滤布褶皱和滤布上有孔</w:t>
            </w:r>
          </w:p>
          <w:p>
            <w:pPr>
              <w:spacing w:before="156" w:beforeLines="50" w:after="156" w:afterLines="50"/>
              <w:jc w:val="left"/>
              <w:rPr>
                <w:rFonts w:ascii="宋体" w:cs="宋体"/>
                <w:szCs w:val="21"/>
              </w:rPr>
            </w:pPr>
            <w:r>
              <w:rPr>
                <w:rFonts w:ascii="宋体" w:cs="宋体"/>
                <w:szCs w:val="21"/>
              </w:rPr>
              <w:t>3、密封表面有块状物。</w:t>
            </w:r>
          </w:p>
        </w:tc>
        <w:tc>
          <w:tcPr>
            <w:tcW w:w="2811" w:type="dxa"/>
            <w:vAlign w:val="center"/>
          </w:tcPr>
          <w:p>
            <w:pPr>
              <w:spacing w:before="156" w:beforeLines="50" w:after="156" w:afterLines="50"/>
              <w:jc w:val="left"/>
              <w:rPr>
                <w:rFonts w:ascii="宋体" w:cs="宋体"/>
                <w:szCs w:val="21"/>
              </w:rPr>
            </w:pPr>
            <w:r>
              <w:rPr>
                <w:rFonts w:ascii="宋体" w:cs="宋体"/>
                <w:szCs w:val="21"/>
              </w:rPr>
              <w:t>增加液压、更换滤布或者使用尼龙刮刀清除密封表面的块状物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5" w:hRule="atLeast"/>
        </w:trPr>
        <w:tc>
          <w:tcPr>
            <w:tcW w:w="705" w:type="dxa"/>
            <w:vAlign w:val="center"/>
          </w:tcPr>
          <w:p>
            <w:pPr>
              <w:jc w:val="center"/>
              <w:rPr>
                <w:rFonts w:ascii="宋体" w:cs="宋体"/>
                <w:szCs w:val="21"/>
              </w:rPr>
            </w:pPr>
            <w:r>
              <w:rPr>
                <w:rFonts w:ascii="宋体" w:cs="宋体"/>
                <w:szCs w:val="21"/>
              </w:rPr>
              <w:t>3</w:t>
            </w:r>
          </w:p>
        </w:tc>
        <w:tc>
          <w:tcPr>
            <w:tcW w:w="1275" w:type="dxa"/>
            <w:vAlign w:val="center"/>
          </w:tcPr>
          <w:p>
            <w:pPr>
              <w:spacing w:before="156" w:beforeLines="50" w:after="156" w:afterLines="50"/>
              <w:jc w:val="center"/>
              <w:rPr>
                <w:rFonts w:ascii="宋体" w:cs="宋体"/>
                <w:szCs w:val="21"/>
              </w:rPr>
            </w:pPr>
            <w:r>
              <w:rPr>
                <w:rFonts w:ascii="宋体" w:cs="宋体"/>
                <w:szCs w:val="21"/>
              </w:rPr>
              <w:t>形不成滤饼或滤饼不均匀</w:t>
            </w:r>
          </w:p>
        </w:tc>
        <w:tc>
          <w:tcPr>
            <w:tcW w:w="3969" w:type="dxa"/>
            <w:vAlign w:val="center"/>
          </w:tcPr>
          <w:p>
            <w:pPr>
              <w:rPr>
                <w:rFonts w:ascii="宋体" w:cs="宋体"/>
                <w:szCs w:val="21"/>
              </w:rPr>
            </w:pPr>
            <w:r>
              <w:rPr>
                <w:rFonts w:ascii="宋体" w:cs="宋体"/>
                <w:szCs w:val="21"/>
              </w:rPr>
              <w:t>供料不足或太稀，或者有堵塞现象</w:t>
            </w:r>
          </w:p>
        </w:tc>
        <w:tc>
          <w:tcPr>
            <w:tcW w:w="2811" w:type="dxa"/>
            <w:vAlign w:val="center"/>
          </w:tcPr>
          <w:p>
            <w:pPr>
              <w:jc w:val="center"/>
              <w:rPr>
                <w:rFonts w:ascii="宋体" w:cs="宋体"/>
                <w:szCs w:val="21"/>
              </w:rPr>
            </w:pPr>
            <w:r>
              <w:rPr>
                <w:rFonts w:ascii="宋体" w:cs="宋体"/>
                <w:szCs w:val="21"/>
              </w:rPr>
              <w:t>增加供料、调整工艺，改善供料、清理滤布或更换滤布、清理堵塞处、清理供料孔、清理排水孔、清理或更换滤布、增加压力或泵功率、低压启动，不断增压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4" w:hRule="atLeast"/>
        </w:trPr>
        <w:tc>
          <w:tcPr>
            <w:tcW w:w="705" w:type="dxa"/>
            <w:vAlign w:val="center"/>
          </w:tcPr>
          <w:p>
            <w:pPr>
              <w:jc w:val="center"/>
              <w:rPr>
                <w:rFonts w:ascii="宋体" w:cs="宋体"/>
                <w:szCs w:val="21"/>
              </w:rPr>
            </w:pPr>
            <w:r>
              <w:rPr>
                <w:rFonts w:ascii="宋体" w:cs="宋体"/>
                <w:szCs w:val="21"/>
              </w:rPr>
              <w:t>4</w:t>
            </w:r>
          </w:p>
        </w:tc>
        <w:tc>
          <w:tcPr>
            <w:tcW w:w="1275" w:type="dxa"/>
            <w:vAlign w:val="center"/>
          </w:tcPr>
          <w:p>
            <w:pPr>
              <w:jc w:val="center"/>
              <w:rPr>
                <w:rFonts w:ascii="宋体" w:cs="宋体"/>
                <w:szCs w:val="21"/>
              </w:rPr>
            </w:pPr>
            <w:r>
              <w:rPr>
                <w:rFonts w:ascii="宋体" w:cs="宋体"/>
                <w:szCs w:val="21"/>
              </w:rPr>
              <w:t>滤板行动迟缓或易掉</w:t>
            </w:r>
          </w:p>
        </w:tc>
        <w:tc>
          <w:tcPr>
            <w:tcW w:w="3969" w:type="dxa"/>
            <w:vAlign w:val="center"/>
          </w:tcPr>
          <w:p>
            <w:pPr>
              <w:jc w:val="left"/>
              <w:rPr>
                <w:rFonts w:ascii="宋体" w:cs="宋体"/>
                <w:szCs w:val="21"/>
              </w:rPr>
            </w:pPr>
            <w:r>
              <w:rPr>
                <w:rFonts w:ascii="宋体" w:cs="宋体"/>
                <w:szCs w:val="21"/>
              </w:rPr>
              <w:t>导向上油渍、污渍过多</w:t>
            </w:r>
          </w:p>
        </w:tc>
        <w:tc>
          <w:tcPr>
            <w:tcW w:w="2811" w:type="dxa"/>
            <w:vAlign w:val="center"/>
          </w:tcPr>
          <w:p>
            <w:pPr>
              <w:jc w:val="left"/>
              <w:rPr>
                <w:rFonts w:ascii="宋体" w:cs="宋体"/>
                <w:szCs w:val="21"/>
              </w:rPr>
            </w:pPr>
            <w:r>
              <w:rPr>
                <w:rFonts w:ascii="宋体" w:cs="宋体"/>
                <w:szCs w:val="21"/>
              </w:rPr>
              <w:t>清理导向杆，并涂上黄油，保证其润滑性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4" w:hRule="atLeast"/>
        </w:trPr>
        <w:tc>
          <w:tcPr>
            <w:tcW w:w="705" w:type="dxa"/>
            <w:vAlign w:val="center"/>
          </w:tcPr>
          <w:p>
            <w:pPr>
              <w:jc w:val="center"/>
              <w:rPr>
                <w:rFonts w:ascii="宋体" w:cs="宋体"/>
                <w:szCs w:val="21"/>
              </w:rPr>
            </w:pPr>
            <w:r>
              <w:rPr>
                <w:rFonts w:ascii="宋体" w:cs="宋体"/>
                <w:szCs w:val="21"/>
              </w:rPr>
              <w:t>5</w:t>
            </w:r>
          </w:p>
        </w:tc>
        <w:tc>
          <w:tcPr>
            <w:tcW w:w="1275" w:type="dxa"/>
            <w:vAlign w:val="center"/>
          </w:tcPr>
          <w:p>
            <w:pPr>
              <w:jc w:val="center"/>
              <w:rPr>
                <w:rFonts w:ascii="宋体" w:cs="宋体"/>
                <w:szCs w:val="21"/>
              </w:rPr>
            </w:pPr>
            <w:r>
              <w:rPr>
                <w:rFonts w:ascii="宋体" w:cs="宋体"/>
                <w:szCs w:val="21"/>
              </w:rPr>
              <w:t>液压系统的故障</w:t>
            </w:r>
          </w:p>
        </w:tc>
        <w:tc>
          <w:tcPr>
            <w:tcW w:w="3969" w:type="dxa"/>
            <w:vAlign w:val="center"/>
          </w:tcPr>
          <w:p>
            <w:pPr>
              <w:jc w:val="center"/>
              <w:rPr>
                <w:rFonts w:ascii="宋体" w:cs="宋体"/>
                <w:szCs w:val="21"/>
              </w:rPr>
            </w:pPr>
            <w:r>
              <w:rPr>
                <w:rFonts w:ascii="宋体" w:cs="宋体"/>
                <w:szCs w:val="21"/>
              </w:rPr>
              <w:t>压力保持不住和液压缸推进不合适</w:t>
            </w:r>
          </w:p>
        </w:tc>
        <w:tc>
          <w:tcPr>
            <w:tcW w:w="2811" w:type="dxa"/>
          </w:tcPr>
          <w:p>
            <w:pPr>
              <w:jc w:val="left"/>
              <w:rPr>
                <w:rFonts w:ascii="宋体" w:cs="宋体"/>
                <w:szCs w:val="21"/>
              </w:rPr>
            </w:pPr>
            <w:r>
              <w:rPr>
                <w:rFonts w:ascii="宋体" w:cs="宋体"/>
                <w:szCs w:val="21"/>
              </w:rPr>
              <w:t>卸下并检查阀门、更换O 形环、清洗检查电磁阀或更换电磁阀、系统抽气。</w:t>
            </w:r>
          </w:p>
        </w:tc>
      </w:tr>
    </w:tbl>
    <w:p>
      <w:pPr>
        <w:pStyle w:val="3"/>
        <w:spacing w:line="240" w:lineRule="atLeast"/>
        <w:ind w:firstLine="4410" w:firstLineChars="2100"/>
        <w:rPr>
          <w:rStyle w:val="162"/>
          <w:rFonts w:ascii="黑体" w:hAnsi="黑体" w:eastAsia="黑体" w:cs="宋体"/>
          <w:b w:val="0"/>
          <w:bCs w:val="0"/>
          <w:sz w:val="21"/>
          <w:szCs w:val="21"/>
        </w:rPr>
      </w:pPr>
      <w:bookmarkStart w:id="15" w:name="_Toc403536815"/>
      <w:bookmarkStart w:id="16" w:name="_Toc266705043"/>
      <w:r>
        <w:rPr>
          <w:rStyle w:val="162"/>
          <w:rFonts w:ascii="黑体" w:hAnsi="黑体" w:eastAsia="黑体" w:cs="宋体"/>
          <w:b w:val="0"/>
          <w:bCs w:val="0"/>
          <w:sz w:val="21"/>
          <w:szCs w:val="21"/>
        </w:rPr>
        <w:t>附录</w:t>
      </w:r>
      <w:bookmarkEnd w:id="15"/>
      <w:bookmarkEnd w:id="16"/>
      <w:r>
        <w:rPr>
          <w:rStyle w:val="162"/>
          <w:rFonts w:ascii="黑体" w:hAnsi="黑体" w:eastAsia="黑体" w:cs="宋体"/>
          <w:b w:val="0"/>
          <w:bCs w:val="0"/>
          <w:sz w:val="21"/>
          <w:szCs w:val="21"/>
        </w:rPr>
        <w:t>B</w:t>
      </w:r>
    </w:p>
    <w:p>
      <w:pPr>
        <w:pStyle w:val="3"/>
        <w:spacing w:line="240" w:lineRule="atLeast"/>
        <w:jc w:val="center"/>
        <w:rPr>
          <w:rStyle w:val="162"/>
          <w:rFonts w:ascii="黑体" w:hAnsi="黑体" w:eastAsia="黑体" w:cs="宋体"/>
          <w:b w:val="0"/>
          <w:bCs w:val="0"/>
          <w:sz w:val="21"/>
          <w:szCs w:val="21"/>
        </w:rPr>
      </w:pPr>
      <w:r>
        <w:rPr>
          <w:rStyle w:val="162"/>
          <w:rFonts w:ascii="黑体" w:hAnsi="黑体" w:eastAsia="黑体" w:cs="宋体"/>
          <w:b w:val="0"/>
          <w:bCs w:val="0"/>
          <w:sz w:val="21"/>
          <w:szCs w:val="21"/>
        </w:rPr>
        <w:t>（资料性附录）</w:t>
      </w:r>
    </w:p>
    <w:p>
      <w:pPr>
        <w:pStyle w:val="3"/>
        <w:spacing w:line="240" w:lineRule="atLeast"/>
        <w:jc w:val="center"/>
        <w:rPr>
          <w:rStyle w:val="162"/>
          <w:rFonts w:ascii="黑体" w:hAnsi="黑体" w:eastAsia="黑体" w:cs="宋体"/>
          <w:b w:val="0"/>
          <w:bCs w:val="0"/>
          <w:sz w:val="21"/>
          <w:szCs w:val="21"/>
        </w:rPr>
      </w:pPr>
      <w:r>
        <w:rPr>
          <w:rStyle w:val="162"/>
          <w:rFonts w:ascii="黑体" w:hAnsi="黑体" w:eastAsia="黑体" w:cs="宋体"/>
          <w:b w:val="0"/>
          <w:bCs w:val="0"/>
          <w:sz w:val="21"/>
          <w:szCs w:val="21"/>
        </w:rPr>
        <w:t>生化启动调试</w:t>
      </w:r>
    </w:p>
    <w:p>
      <w:pPr>
        <w:pStyle w:val="26"/>
        <w:spacing w:before="312" w:beforeLines="100" w:after="312" w:afterLines="100"/>
        <w:ind w:firstLine="0" w:firstLineChars="0"/>
        <w:rPr>
          <w:rFonts w:hAnsi="宋体" w:cs="宋体"/>
          <w:szCs w:val="21"/>
        </w:rPr>
      </w:pPr>
      <w:r>
        <w:rPr>
          <w:rFonts w:ascii="黑体" w:hAnsi="黑体" w:eastAsia="黑体" w:cs="黑体"/>
          <w:szCs w:val="21"/>
        </w:rPr>
        <w:t>B</w:t>
      </w:r>
      <w:r>
        <w:rPr>
          <w:rFonts w:hint="eastAsia" w:ascii="黑体" w:hAnsi="黑体" w:eastAsia="黑体" w:cs="黑体"/>
          <w:szCs w:val="21"/>
        </w:rPr>
        <w:t>.1 试水（充水）方式</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1.1</w:t>
      </w:r>
      <w:r>
        <w:rPr>
          <w:rFonts w:ascii="黑体" w:hAnsi="黑体" w:eastAsia="黑体" w:cs="宋体"/>
          <w:szCs w:val="21"/>
        </w:rPr>
        <w:t xml:space="preserve"> </w:t>
      </w:r>
      <w:r>
        <w:rPr>
          <w:rFonts w:hAnsi="宋体" w:cs="宋体"/>
          <w:szCs w:val="21"/>
        </w:rPr>
        <w:t xml:space="preserve"> </w:t>
      </w:r>
      <w:r>
        <w:rPr>
          <w:rFonts w:hint="eastAsia" w:hAnsi="宋体" w:cs="宋体"/>
          <w:szCs w:val="21"/>
        </w:rPr>
        <w:t>按设计工艺顺序向各单元进行充水试验；中小型工程可完全使用洁净水或轻度污染水（积水、雨水）；大型工程考虑到水资源节约，可用50%净水或轻污染水或生活污水，其他使用河水湖水或处理后的工业污水（一般按照设计要求进行）。</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w:t>
      </w:r>
      <w:r>
        <w:rPr>
          <w:rFonts w:ascii="黑体" w:hAnsi="黑体" w:eastAsia="黑体" w:cs="宋体"/>
          <w:szCs w:val="21"/>
        </w:rPr>
        <w:t>1.</w:t>
      </w:r>
      <w:r>
        <w:rPr>
          <w:rFonts w:hint="eastAsia" w:ascii="黑体" w:hAnsi="黑体" w:eastAsia="黑体" w:cs="宋体"/>
          <w:szCs w:val="21"/>
        </w:rPr>
        <w:t>2</w:t>
      </w:r>
      <w:r>
        <w:rPr>
          <w:rFonts w:hAnsi="宋体" w:cs="宋体"/>
          <w:szCs w:val="21"/>
        </w:rPr>
        <w:t xml:space="preserve">  </w:t>
      </w:r>
      <w:r>
        <w:rPr>
          <w:rFonts w:hint="eastAsia" w:hAnsi="宋体" w:cs="宋体"/>
          <w:szCs w:val="21"/>
        </w:rPr>
        <w:t>建构筑物未进行充水试验的，充水按照设计要求一般分三次完成，即1/3、2/3、3/3充水，每充水1/3后</w:t>
      </w:r>
      <w:r>
        <w:rPr>
          <w:rFonts w:hint="eastAsia" w:hAnsi="宋体" w:cs="宋体"/>
          <w:szCs w:val="21"/>
          <w:lang w:eastAsia="zh-CN"/>
        </w:rPr>
        <w:t>，</w:t>
      </w:r>
      <w:bookmarkStart w:id="20" w:name="_GoBack"/>
      <w:bookmarkEnd w:id="20"/>
      <w:r>
        <w:rPr>
          <w:rFonts w:hint="eastAsia" w:hAnsi="宋体" w:cs="宋体"/>
          <w:szCs w:val="21"/>
        </w:rPr>
        <w:t>暂停3-8小时，检查液面变动及建构筑物池体的渗漏和耐压情况。特别注意：设计不受力的双侧均水位隔墙，充水应在二侧同时充水。</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w:t>
      </w:r>
      <w:r>
        <w:rPr>
          <w:rFonts w:ascii="黑体" w:hAnsi="黑体" w:eastAsia="黑体" w:cs="宋体"/>
          <w:szCs w:val="21"/>
        </w:rPr>
        <w:t>1.</w:t>
      </w:r>
      <w:r>
        <w:rPr>
          <w:rFonts w:hint="eastAsia" w:ascii="黑体" w:hAnsi="黑体" w:eastAsia="黑体" w:cs="宋体"/>
          <w:szCs w:val="21"/>
        </w:rPr>
        <w:t>3</w:t>
      </w:r>
      <w:r>
        <w:rPr>
          <w:rFonts w:ascii="黑体" w:hAnsi="黑体" w:eastAsia="黑体" w:cs="宋体"/>
          <w:szCs w:val="21"/>
        </w:rPr>
        <w:t xml:space="preserve"> </w:t>
      </w:r>
      <w:r>
        <w:rPr>
          <w:rFonts w:hAnsi="宋体" w:cs="宋体"/>
          <w:szCs w:val="21"/>
        </w:rPr>
        <w:t xml:space="preserve"> </w:t>
      </w:r>
      <w:r>
        <w:rPr>
          <w:rFonts w:hint="eastAsia" w:hAnsi="宋体" w:cs="宋体"/>
          <w:szCs w:val="21"/>
        </w:rPr>
        <w:t>已进行充水试验的建构筑物可一次充水至满负荷。</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w:t>
      </w:r>
      <w:r>
        <w:rPr>
          <w:rFonts w:ascii="黑体" w:hAnsi="黑体" w:eastAsia="黑体" w:cs="宋体"/>
          <w:szCs w:val="21"/>
        </w:rPr>
        <w:t>1.</w:t>
      </w:r>
      <w:r>
        <w:rPr>
          <w:rFonts w:hint="eastAsia" w:ascii="黑体" w:hAnsi="黑体" w:eastAsia="黑体" w:cs="宋体"/>
          <w:szCs w:val="21"/>
        </w:rPr>
        <w:t>4</w:t>
      </w:r>
      <w:r>
        <w:rPr>
          <w:rFonts w:hAnsi="宋体" w:cs="宋体"/>
          <w:szCs w:val="21"/>
        </w:rPr>
        <w:t xml:space="preserve">  </w:t>
      </w:r>
      <w:r>
        <w:rPr>
          <w:rFonts w:hint="eastAsia" w:hAnsi="宋体" w:cs="宋体"/>
          <w:szCs w:val="21"/>
        </w:rPr>
        <w:t>充水试验的另一个作用是按设计水位高程要求，检查水路是否畅通，保证正常运行后满水量自流和安全超越功能，防止出现冒水和跑水现象。</w:t>
      </w:r>
    </w:p>
    <w:p>
      <w:pPr>
        <w:pStyle w:val="26"/>
        <w:spacing w:before="312" w:beforeLines="100" w:after="312" w:afterLines="100"/>
        <w:ind w:firstLine="0" w:firstLineChars="0"/>
        <w:rPr>
          <w:rFonts w:ascii="黑体" w:hAnsi="黑体" w:eastAsia="黑体" w:cs="黑体"/>
          <w:szCs w:val="21"/>
        </w:rPr>
      </w:pPr>
      <w:r>
        <w:rPr>
          <w:rFonts w:ascii="黑体" w:hAnsi="黑体" w:eastAsia="黑体" w:cs="黑体"/>
          <w:szCs w:val="21"/>
        </w:rPr>
        <w:t>B.</w:t>
      </w:r>
      <w:r>
        <w:rPr>
          <w:rFonts w:hint="eastAsia" w:ascii="黑体" w:hAnsi="黑体" w:eastAsia="黑体" w:cs="黑体"/>
          <w:szCs w:val="21"/>
        </w:rPr>
        <w:t>2  单机调试</w:t>
      </w:r>
    </w:p>
    <w:p>
      <w:pPr>
        <w:pStyle w:val="26"/>
        <w:spacing w:before="156" w:beforeLines="50" w:after="156" w:afterLines="50"/>
        <w:rPr>
          <w:rFonts w:hAnsi="宋体" w:cs="宋体"/>
          <w:szCs w:val="21"/>
        </w:rPr>
      </w:pPr>
      <w:r>
        <w:rPr>
          <w:rFonts w:hint="eastAsia" w:hAnsi="宋体" w:cs="宋体"/>
          <w:szCs w:val="21"/>
        </w:rPr>
        <w:t>工艺设计的单独工作运行的设备、装置或非标均称为单机。应在充水后，进行单机调试。</w:t>
      </w:r>
    </w:p>
    <w:p>
      <w:pPr>
        <w:pStyle w:val="26"/>
        <w:spacing w:before="156" w:beforeLines="50" w:after="156" w:afterLines="50"/>
        <w:rPr>
          <w:rFonts w:hAnsi="宋体" w:cs="宋体"/>
          <w:szCs w:val="21"/>
        </w:rPr>
      </w:pPr>
      <w:r>
        <w:rPr>
          <w:rFonts w:hint="eastAsia" w:hAnsi="宋体" w:cs="宋体"/>
          <w:szCs w:val="21"/>
        </w:rPr>
        <w:t>单机调试应按照下列程序进行：</w:t>
      </w:r>
    </w:p>
    <w:p>
      <w:pPr>
        <w:pStyle w:val="26"/>
        <w:spacing w:before="156" w:beforeLines="50" w:after="156" w:afterLines="50"/>
        <w:ind w:firstLine="0" w:firstLineChars="0"/>
        <w:rPr>
          <w:rFonts w:hAnsi="宋体" w:cs="宋体"/>
          <w:szCs w:val="21"/>
        </w:rPr>
      </w:pPr>
      <w:r>
        <w:rPr>
          <w:rFonts w:hint="eastAsia" w:ascii="黑体" w:hAnsi="黑体" w:eastAsia="黑体" w:cs="宋体"/>
          <w:szCs w:val="21"/>
        </w:rPr>
        <w:drawing>
          <wp:anchor distT="0" distB="0" distL="114300" distR="114300" simplePos="0" relativeHeight="251665408" behindDoc="1" locked="1" layoutInCell="1" allowOverlap="1">
            <wp:simplePos x="0" y="0"/>
            <wp:positionH relativeFrom="column">
              <wp:posOffset>1473200</wp:posOffset>
            </wp:positionH>
            <wp:positionV relativeFrom="paragraph">
              <wp:posOffset>6705600</wp:posOffset>
            </wp:positionV>
            <wp:extent cx="1447800" cy="203200"/>
            <wp:effectExtent l="0" t="0" r="0" b="6350"/>
            <wp:wrapNone/>
            <wp:docPr id="3" name="图片 3"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08"/>
                    <pic:cNvPicPr>
                      <a:picLocks noChangeAspect="1"/>
                    </pic:cNvPicPr>
                  </pic:nvPicPr>
                  <pic:blipFill>
                    <a:blip r:embed="rId10"/>
                    <a:stretch>
                      <a:fillRect/>
                    </a:stretch>
                  </pic:blipFill>
                  <pic:spPr>
                    <a:xfrm>
                      <a:off x="0" y="0"/>
                      <a:ext cx="1447800" cy="203200"/>
                    </a:xfrm>
                    <a:prstGeom prst="rect">
                      <a:avLst/>
                    </a:prstGeom>
                    <a:noFill/>
                    <a:ln>
                      <a:noFill/>
                    </a:ln>
                  </pic:spPr>
                </pic:pic>
              </a:graphicData>
            </a:graphic>
          </wp:anchor>
        </w:drawing>
      </w:r>
      <w:r>
        <w:rPr>
          <w:rFonts w:ascii="黑体" w:hAnsi="黑体" w:eastAsia="黑体" w:cs="宋体"/>
          <w:szCs w:val="21"/>
        </w:rPr>
        <w:t>B.</w:t>
      </w:r>
      <w:r>
        <w:rPr>
          <w:rFonts w:hint="eastAsia" w:ascii="黑体" w:hAnsi="黑体" w:eastAsia="黑体" w:cs="宋体"/>
          <w:szCs w:val="21"/>
        </w:rPr>
        <w:t>2.1</w:t>
      </w:r>
      <w:r>
        <w:rPr>
          <w:rFonts w:ascii="黑体" w:hAnsi="黑体" w:eastAsia="黑体" w:cs="宋体"/>
          <w:szCs w:val="21"/>
        </w:rPr>
        <w:t xml:space="preserve"> </w:t>
      </w:r>
      <w:r>
        <w:rPr>
          <w:rFonts w:hAnsi="宋体" w:cs="宋体"/>
          <w:szCs w:val="21"/>
        </w:rPr>
        <w:t xml:space="preserve"> </w:t>
      </w:r>
      <w:r>
        <w:rPr>
          <w:rFonts w:hint="eastAsia" w:hAnsi="宋体" w:cs="宋体"/>
          <w:szCs w:val="21"/>
        </w:rPr>
        <w:t>按工艺资料要求，了解单机在工艺过程中的作用和管线连接。</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2.2</w:t>
      </w:r>
      <w:r>
        <w:rPr>
          <w:rFonts w:hAnsi="宋体" w:cs="宋体"/>
          <w:szCs w:val="21"/>
        </w:rPr>
        <w:t xml:space="preserve">  </w:t>
      </w:r>
      <w:r>
        <w:rPr>
          <w:rFonts w:hint="eastAsia" w:hAnsi="宋体" w:cs="宋体"/>
          <w:szCs w:val="21"/>
        </w:rPr>
        <w:t>认真消化、阅读单机使用说明书，检查安装是否符合要求，机座是否固定牢。</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2.3</w:t>
      </w:r>
      <w:r>
        <w:rPr>
          <w:rFonts w:hAnsi="宋体" w:cs="宋体"/>
          <w:szCs w:val="21"/>
        </w:rPr>
        <w:t xml:space="preserve">  </w:t>
      </w:r>
      <w:r>
        <w:rPr>
          <w:rFonts w:hint="eastAsia" w:hAnsi="宋体" w:cs="宋体"/>
          <w:szCs w:val="21"/>
        </w:rPr>
        <w:t>凡有运转要求的设备，要用手启动或者盘动，或者用小型机械协助盘动。无异常时方可点动。</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2.4</w:t>
      </w:r>
      <w:r>
        <w:rPr>
          <w:rFonts w:ascii="黑体" w:hAnsi="黑体" w:eastAsia="黑体" w:cs="宋体"/>
          <w:szCs w:val="21"/>
        </w:rPr>
        <w:t xml:space="preserve"> </w:t>
      </w:r>
      <w:r>
        <w:rPr>
          <w:rFonts w:hAnsi="宋体" w:cs="宋体"/>
          <w:szCs w:val="21"/>
        </w:rPr>
        <w:t xml:space="preserve"> </w:t>
      </w:r>
      <w:r>
        <w:rPr>
          <w:rFonts w:hint="eastAsia" w:hAnsi="宋体" w:cs="宋体"/>
          <w:szCs w:val="21"/>
        </w:rPr>
        <w:t>按说明书要求，加注润滑油（润滑脂）加至油标指示位置。</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2.5</w:t>
      </w:r>
      <w:r>
        <w:rPr>
          <w:rFonts w:ascii="黑体" w:hAnsi="黑体" w:eastAsia="黑体" w:cs="宋体"/>
          <w:szCs w:val="21"/>
        </w:rPr>
        <w:t xml:space="preserve"> </w:t>
      </w:r>
      <w:r>
        <w:rPr>
          <w:rFonts w:hAnsi="宋体" w:cs="宋体"/>
          <w:szCs w:val="21"/>
        </w:rPr>
        <w:t xml:space="preserve"> </w:t>
      </w:r>
      <w:r>
        <w:rPr>
          <w:rFonts w:hint="eastAsia" w:hAnsi="宋体" w:cs="宋体"/>
          <w:szCs w:val="21"/>
        </w:rPr>
        <w:t>了解单机启动方式，如离心式水泵则可带压启动；定容积水泵则应接通安全回路管，开路启动，逐步投入运行；离心式或罗茨风机则应在不带压的条件下进行启动、停机。</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B.2.6</w:t>
      </w:r>
      <w:r>
        <w:rPr>
          <w:rFonts w:ascii="黑体" w:hAnsi="黑体" w:eastAsia="黑体" w:cs="宋体"/>
          <w:szCs w:val="21"/>
        </w:rPr>
        <w:t xml:space="preserve"> </w:t>
      </w:r>
      <w:r>
        <w:rPr>
          <w:rFonts w:hAnsi="宋体" w:cs="宋体"/>
          <w:szCs w:val="21"/>
        </w:rPr>
        <w:t xml:space="preserve"> </w:t>
      </w:r>
      <w:r>
        <w:rPr>
          <w:rFonts w:hint="eastAsia" w:hAnsi="宋体" w:cs="宋体"/>
          <w:szCs w:val="21"/>
        </w:rPr>
        <w:t>点动启动后，应检查电机设备转向，在确认转向正确后方可二次启动。</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2.7</w:t>
      </w:r>
      <w:r>
        <w:rPr>
          <w:rFonts w:hAnsi="宋体" w:cs="宋体"/>
          <w:szCs w:val="21"/>
        </w:rPr>
        <w:t xml:space="preserve">  </w:t>
      </w:r>
      <w:r>
        <w:rPr>
          <w:rFonts w:hint="eastAsia" w:hAnsi="宋体" w:cs="宋体"/>
          <w:szCs w:val="21"/>
        </w:rPr>
        <w:t>点动无误后，作3-5min试运转，运转正常后，再作1-2h的连续运转，此时要检查设备温升，一般设备工作温度不宜高于50-60℃，除说明书有特殊规定者，温升异常时，应检查工作电流是否在规定范围内，超过规定范围的应停止运行，找出原因，消除后方可继续运行。单机连续运行不少于2h。</w:t>
      </w:r>
    </w:p>
    <w:p>
      <w:pPr>
        <w:pStyle w:val="26"/>
        <w:spacing w:before="156" w:beforeLines="50" w:after="156" w:afterLines="50"/>
        <w:ind w:firstLine="0" w:firstLineChars="0"/>
        <w:rPr>
          <w:rFonts w:hAnsi="宋体" w:cs="宋体"/>
          <w:szCs w:val="21"/>
        </w:rPr>
      </w:pPr>
      <w:r>
        <w:rPr>
          <w:rFonts w:ascii="黑体" w:hAnsi="黑体" w:eastAsia="黑体" w:cs="宋体"/>
          <w:szCs w:val="21"/>
        </w:rPr>
        <w:t>B.</w:t>
      </w:r>
      <w:r>
        <w:rPr>
          <w:rFonts w:hint="eastAsia" w:ascii="黑体" w:hAnsi="黑体" w:eastAsia="黑体" w:cs="宋体"/>
          <w:szCs w:val="21"/>
        </w:rPr>
        <w:t>2.8</w:t>
      </w:r>
      <w:r>
        <w:rPr>
          <w:rFonts w:hAnsi="宋体" w:cs="宋体"/>
          <w:szCs w:val="21"/>
        </w:rPr>
        <w:t xml:space="preserve">  </w:t>
      </w:r>
      <w:r>
        <w:rPr>
          <w:rFonts w:hint="eastAsia" w:hAnsi="宋体" w:cs="宋体"/>
          <w:szCs w:val="21"/>
        </w:rPr>
        <w:t>单车运行试验后，应填写运行试车单，签字备查。</w:t>
      </w:r>
    </w:p>
    <w:p>
      <w:pPr>
        <w:pStyle w:val="26"/>
        <w:spacing w:before="312" w:beforeLines="100" w:after="312" w:afterLines="100"/>
        <w:ind w:firstLine="0" w:firstLineChars="0"/>
        <w:rPr>
          <w:rFonts w:hAnsi="宋体" w:cs="宋体"/>
          <w:szCs w:val="21"/>
        </w:rPr>
      </w:pPr>
      <w:r>
        <w:rPr>
          <w:rFonts w:ascii="黑体" w:hAnsi="黑体" w:eastAsia="黑体" w:cs="黑体"/>
          <w:szCs w:val="21"/>
        </w:rPr>
        <w:t>B.3  单元调试</w:t>
      </w:r>
    </w:p>
    <w:p>
      <w:pPr>
        <w:pStyle w:val="26"/>
        <w:rPr>
          <w:rFonts w:hAnsi="宋体" w:cs="宋体"/>
          <w:szCs w:val="21"/>
        </w:rPr>
      </w:pPr>
      <w:r>
        <w:rPr>
          <w:rFonts w:hint="eastAsia" w:hAnsi="宋体" w:cs="宋体"/>
          <w:szCs w:val="21"/>
        </w:rPr>
        <w:t>单元调试是按水处理设计的每个工艺单元进行的，如调节池单元、厌氧水解单元、好氧单元、二沉单元、污泥回流单元、污泥浓缩单元、污泥脱水单元。</w:t>
      </w:r>
    </w:p>
    <w:p>
      <w:pPr>
        <w:pStyle w:val="26"/>
        <w:rPr>
          <w:rFonts w:hAnsi="宋体" w:cs="宋体"/>
          <w:szCs w:val="21"/>
        </w:rPr>
      </w:pPr>
      <w:r>
        <w:rPr>
          <w:rFonts w:hint="eastAsia" w:hAnsi="宋体" w:cs="宋体"/>
          <w:szCs w:val="21"/>
        </w:rPr>
        <w:t>单元调试是在单元内单台设备试车基础上进行的，因为每个单元可能有几台不同的设备和装置组成，单元试车是检查单元内各设备连动运行情况，并应能保证单元正常工作。</w:t>
      </w:r>
    </w:p>
    <w:p>
      <w:pPr>
        <w:pStyle w:val="26"/>
        <w:rPr>
          <w:rFonts w:hAnsi="宋体" w:cs="宋体"/>
          <w:szCs w:val="21"/>
        </w:rPr>
      </w:pPr>
      <w:r>
        <w:rPr>
          <w:rFonts w:hint="eastAsia" w:hAnsi="宋体" w:cs="宋体"/>
          <w:szCs w:val="21"/>
        </w:rPr>
        <w:t>单元试车只能解决设备的协调连动，而不能保证单元达到设计去除率的要求，因为它涉及到工艺条件、菌种等很多因素，需要在试运行中加以解决。</w:t>
      </w:r>
    </w:p>
    <w:p>
      <w:pPr>
        <w:pStyle w:val="26"/>
        <w:rPr>
          <w:rFonts w:hAnsi="宋体" w:cs="宋体"/>
          <w:szCs w:val="21"/>
        </w:rPr>
      </w:pPr>
      <w:r>
        <w:rPr>
          <w:rFonts w:hint="eastAsia" w:hAnsi="宋体" w:cs="宋体"/>
          <w:szCs w:val="21"/>
        </w:rPr>
        <w:t>不同工艺单元应有不同的试车方法，应按照设计的详细操作规程执行。</w:t>
      </w:r>
    </w:p>
    <w:p>
      <w:pPr>
        <w:pStyle w:val="26"/>
        <w:spacing w:before="312" w:beforeLines="100" w:after="312" w:afterLines="100"/>
        <w:ind w:firstLine="0" w:firstLineChars="0"/>
        <w:rPr>
          <w:rFonts w:ascii="黑体" w:hAnsi="黑体" w:eastAsia="黑体" w:cs="黑体"/>
          <w:szCs w:val="21"/>
        </w:rPr>
      </w:pPr>
      <w:r>
        <w:rPr>
          <w:rFonts w:ascii="黑体" w:hAnsi="黑体" w:eastAsia="黑体" w:cs="黑体"/>
          <w:szCs w:val="21"/>
        </w:rPr>
        <w:t>B.4  分段调试</w:t>
      </w:r>
    </w:p>
    <w:p>
      <w:pPr>
        <w:pStyle w:val="26"/>
        <w:spacing w:before="156" w:beforeLines="50" w:after="156" w:afterLines="50"/>
        <w:rPr>
          <w:rFonts w:hAnsi="宋体" w:cs="宋体"/>
          <w:szCs w:val="21"/>
        </w:rPr>
      </w:pPr>
      <w:r>
        <w:rPr>
          <w:rFonts w:hint="eastAsia" w:hAnsi="宋体" w:cs="宋体"/>
          <w:szCs w:val="21"/>
        </w:rPr>
        <w:t>分段调试和单元调试基本一致，主要是按照水处理工艺过程分类进行调试的一种方式。</w:t>
      </w:r>
    </w:p>
    <w:p>
      <w:pPr>
        <w:pStyle w:val="26"/>
        <w:spacing w:before="156" w:beforeLines="50" w:after="156" w:afterLines="50"/>
        <w:rPr>
          <w:rFonts w:hAnsi="宋体" w:cs="宋体"/>
          <w:szCs w:val="21"/>
        </w:rPr>
      </w:pPr>
      <w:r>
        <w:rPr>
          <w:rFonts w:hint="eastAsia" w:hAnsi="宋体" w:cs="宋体"/>
          <w:szCs w:val="21"/>
        </w:rPr>
        <w:t>本方案中分段调试主要是按调节池、生化池、污泥处置</w:t>
      </w:r>
      <w:r>
        <w:rPr>
          <w:rFonts w:hAnsi="宋体" w:cs="宋体"/>
          <w:szCs w:val="21"/>
        </w:rPr>
        <w:t>3</w:t>
      </w:r>
      <w:r>
        <w:rPr>
          <w:rFonts w:hint="eastAsia" w:hAnsi="宋体" w:cs="宋体"/>
          <w:szCs w:val="21"/>
        </w:rPr>
        <w:t>段进行。</w:t>
      </w:r>
    </w:p>
    <w:p>
      <w:pPr>
        <w:pStyle w:val="26"/>
        <w:spacing w:before="312" w:beforeLines="100" w:after="312" w:afterLines="100"/>
        <w:ind w:firstLine="0" w:firstLineChars="0"/>
        <w:rPr>
          <w:rFonts w:ascii="黑体" w:hAnsi="黑体" w:eastAsia="黑体" w:cs="黑体"/>
          <w:szCs w:val="21"/>
        </w:rPr>
      </w:pPr>
      <w:r>
        <w:rPr>
          <w:rFonts w:ascii="黑体" w:hAnsi="黑体" w:eastAsia="黑体" w:cs="黑体"/>
          <w:szCs w:val="21"/>
        </w:rPr>
        <w:t xml:space="preserve">B.5  </w:t>
      </w:r>
      <w:r>
        <w:rPr>
          <w:rFonts w:hint="eastAsia" w:ascii="黑体" w:hAnsi="黑体" w:eastAsia="黑体" w:cs="黑体"/>
          <w:szCs w:val="21"/>
        </w:rPr>
        <w:t>充水调试</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B.5.1 </w:t>
      </w:r>
      <w:r>
        <w:rPr>
          <w:rFonts w:hAnsi="宋体" w:cs="宋体"/>
          <w:szCs w:val="21"/>
        </w:rPr>
        <w:t xml:space="preserve"> </w:t>
      </w:r>
      <w:r>
        <w:rPr>
          <w:rFonts w:hint="eastAsia" w:hAnsi="宋体" w:cs="宋体"/>
          <w:szCs w:val="21"/>
        </w:rPr>
        <w:t>开车前首先检查电源电线及各动力设备的运行控制情况，确保各动力设备在开车时能正常运行。其次检查各输送管路及阀门、流量、压力仪表是否完好和安装正确，是否存在卡顿、破漏及接头松动等现象，各单元在</w:t>
      </w:r>
      <w:r>
        <w:rPr>
          <w:rFonts w:hAnsi="宋体" w:cs="宋体"/>
          <w:szCs w:val="21"/>
        </w:rPr>
        <w:t>PLC控制面板是否显示正常</w:t>
      </w:r>
      <w:r>
        <w:rPr>
          <w:rFonts w:hint="eastAsia" w:hAnsi="宋体" w:cs="宋体"/>
          <w:szCs w:val="21"/>
        </w:rPr>
        <w:t>。</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B.5.2 </w:t>
      </w:r>
      <w:r>
        <w:rPr>
          <w:rFonts w:hAnsi="宋体" w:cs="宋体"/>
          <w:szCs w:val="21"/>
        </w:rPr>
        <w:t xml:space="preserve"> </w:t>
      </w:r>
      <w:r>
        <w:rPr>
          <w:rFonts w:hint="eastAsia" w:hAnsi="宋体" w:cs="宋体"/>
          <w:szCs w:val="21"/>
        </w:rPr>
        <w:t>初次开车要对调节池进行清洗扫除格栅周边和池内的所有垃圾。</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B.5.3</w:t>
      </w:r>
      <w:r>
        <w:rPr>
          <w:rFonts w:hAnsi="宋体" w:cs="宋体"/>
          <w:szCs w:val="21"/>
        </w:rPr>
        <w:t xml:space="preserve">  </w:t>
      </w:r>
      <w:r>
        <w:rPr>
          <w:rFonts w:hint="eastAsia" w:hAnsi="宋体" w:cs="宋体"/>
          <w:szCs w:val="21"/>
        </w:rPr>
        <w:t>接着开启进水阀门。</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B.5.4 </w:t>
      </w:r>
      <w:r>
        <w:rPr>
          <w:rFonts w:hAnsi="宋体" w:cs="宋体"/>
          <w:szCs w:val="21"/>
        </w:rPr>
        <w:t xml:space="preserve"> </w:t>
      </w:r>
      <w:r>
        <w:rPr>
          <w:rFonts w:hint="eastAsia" w:hAnsi="宋体" w:cs="宋体"/>
          <w:szCs w:val="21"/>
        </w:rPr>
        <w:t>首次充水污水流量由小到大逐步提高，先以30方/小时为宜，每隔1小时后再提高，直至达到正常要求的水位量。如果整个系统进水量不充裕，宜维持小流量运转，若进水较多，也绝对不允许超过设备处理能力运转。充水维持最高流量200方/h。</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B.5.5 </w:t>
      </w:r>
      <w:r>
        <w:rPr>
          <w:rFonts w:hAnsi="宋体" w:cs="宋体"/>
          <w:szCs w:val="21"/>
        </w:rPr>
        <w:t xml:space="preserve"> </w:t>
      </w:r>
      <w:r>
        <w:rPr>
          <w:rFonts w:hint="eastAsia" w:hAnsi="宋体" w:cs="宋体"/>
          <w:szCs w:val="21"/>
        </w:rPr>
        <w:t>密切观察水位上升速度、进水流量、泵运行状况，应严格保持其稳定。</w:t>
      </w:r>
    </w:p>
    <w:p>
      <w:pPr>
        <w:pStyle w:val="26"/>
        <w:spacing w:before="156" w:beforeLines="50" w:after="156" w:afterLines="50"/>
        <w:ind w:firstLine="0" w:firstLineChars="0"/>
        <w:rPr>
          <w:rFonts w:hint="eastAsia" w:ascii="黑体" w:hAnsi="黑体" w:eastAsia="黑体" w:cs="黑体"/>
          <w:szCs w:val="21"/>
        </w:rPr>
      </w:pPr>
      <w:r>
        <w:rPr>
          <w:rFonts w:hint="eastAsia" w:ascii="黑体" w:hAnsi="黑体" w:eastAsia="黑体" w:cs="黑体"/>
          <w:szCs w:val="21"/>
        </w:rPr>
        <w:t xml:space="preserve">B.5.6  </w:t>
      </w:r>
      <w:r>
        <w:rPr>
          <w:rFonts w:hint="eastAsia" w:ascii="宋体" w:hAnsi="宋体" w:eastAsia="宋体" w:cs="宋体"/>
          <w:szCs w:val="21"/>
        </w:rPr>
        <w:t>生化调试前应取池内水进行化验分析。</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B.5.7 </w:t>
      </w:r>
      <w:r>
        <w:rPr>
          <w:rFonts w:hAnsi="宋体" w:cs="宋体"/>
          <w:szCs w:val="21"/>
        </w:rPr>
        <w:t xml:space="preserve"> </w:t>
      </w:r>
      <w:r>
        <w:rPr>
          <w:rFonts w:hint="eastAsia" w:hAnsi="宋体" w:cs="宋体"/>
          <w:szCs w:val="21"/>
        </w:rPr>
        <w:t>水位达到生化调试要求后停止进水</w:t>
      </w:r>
    </w:p>
    <w:p>
      <w:pPr>
        <w:pStyle w:val="26"/>
        <w:spacing w:before="312" w:beforeLines="100" w:after="312" w:afterLines="100"/>
        <w:ind w:firstLine="0" w:firstLineChars="0"/>
        <w:rPr>
          <w:rFonts w:hAnsi="宋体" w:cs="宋体"/>
          <w:szCs w:val="21"/>
        </w:rPr>
      </w:pPr>
      <w:r>
        <w:rPr>
          <w:rFonts w:ascii="黑体" w:hAnsi="黑体" w:eastAsia="黑体" w:cs="黑体"/>
          <w:szCs w:val="21"/>
        </w:rPr>
        <w:t>B.</w:t>
      </w:r>
      <w:r>
        <w:rPr>
          <w:rFonts w:hint="eastAsia" w:ascii="黑体" w:hAnsi="黑体" w:eastAsia="黑体" w:cs="黑体"/>
          <w:szCs w:val="21"/>
        </w:rPr>
        <w:t>6  接种菌种</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B.6.1  </w:t>
      </w:r>
      <w:r>
        <w:rPr>
          <w:rFonts w:hint="eastAsia" w:hAnsi="宋体" w:cs="宋体"/>
          <w:szCs w:val="21"/>
        </w:rPr>
        <w:t>接种菌种是指利用微生物生物消化功能的工艺单元，如主要有水解、厌氧、缺氧、好氧工艺单元，接种是对上述单元而言的。</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B.6.2 </w:t>
      </w:r>
      <w:r>
        <w:rPr>
          <w:rFonts w:hAnsi="宋体" w:cs="宋体"/>
          <w:szCs w:val="21"/>
        </w:rPr>
        <w:t xml:space="preserve"> </w:t>
      </w:r>
      <w:r>
        <w:rPr>
          <w:rFonts w:hint="eastAsia" w:hAnsi="宋体" w:cs="宋体"/>
          <w:szCs w:val="21"/>
        </w:rPr>
        <w:t>依据微生物种类的不同，应分别接种不同的菌种。</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B.6.3</w:t>
      </w:r>
      <w:r>
        <w:rPr>
          <w:rFonts w:hAnsi="宋体" w:cs="宋体"/>
          <w:szCs w:val="21"/>
        </w:rPr>
        <w:t xml:space="preserve">  </w:t>
      </w:r>
      <w:r>
        <w:rPr>
          <w:rFonts w:hint="eastAsia" w:hAnsi="宋体" w:cs="宋体"/>
          <w:szCs w:val="21"/>
        </w:rPr>
        <w:t>接种量的大小：厌氧污泥接种量一般不应少于水量的8-10%，否则，将影响启动速度；好氧污泥接种量一般应不少于水量的5%。只要按照规范施工，厌氧、好氧菌可在规定范围正常启动。</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B.6.4 </w:t>
      </w:r>
      <w:r>
        <w:rPr>
          <w:rFonts w:hAnsi="宋体" w:cs="宋体"/>
          <w:szCs w:val="21"/>
        </w:rPr>
        <w:t xml:space="preserve"> </w:t>
      </w:r>
      <w:r>
        <w:rPr>
          <w:rFonts w:hint="eastAsia" w:hAnsi="宋体" w:cs="宋体"/>
          <w:szCs w:val="21"/>
        </w:rPr>
        <w:t>启动时间：应特别说明，菌种、水温及水质条件，是影响启动周期长短的重要条件。一般来讲，低于20℃的条件下，接种和启动均有一定的困难，特别是冬季运行时更是如此。因此，建议冬季运行时污泥分两次投加，以每天1000m</w:t>
      </w:r>
      <w:r>
        <w:rPr>
          <w:rFonts w:hint="eastAsia" w:hAnsi="宋体" w:cs="宋体"/>
          <w:szCs w:val="21"/>
          <w:vertAlign w:val="superscript"/>
        </w:rPr>
        <w:t>3</w:t>
      </w:r>
      <w:r>
        <w:rPr>
          <w:rFonts w:hint="eastAsia" w:hAnsi="宋体" w:cs="宋体"/>
          <w:szCs w:val="21"/>
        </w:rPr>
        <w:t>为例，建议第一期，在水解和好氧池中各投加4t活性污泥（注意应采取措施防止无机物污泥进入），投加后按正常水位条件，连续闷曝（曝气期间不进水）3-7d后，检查处理效果，在确定微生物生化条件正常时，方可小水量连续进水20-30d，待生化效果明显或气温明显回升时，再次向两池分别投加6-8t活性污泥，生化工艺才能正常启动。</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B.6.5 </w:t>
      </w:r>
      <w:r>
        <w:rPr>
          <w:rFonts w:hAnsi="宋体" w:cs="宋体"/>
          <w:szCs w:val="21"/>
        </w:rPr>
        <w:t xml:space="preserve"> </w:t>
      </w:r>
      <w:r>
        <w:rPr>
          <w:rFonts w:hint="eastAsia" w:hAnsi="宋体" w:cs="宋体"/>
          <w:szCs w:val="21"/>
        </w:rPr>
        <w:t>菌种来源，厌氧污泥主要来源于已有的厌氧工程，如酒厂厌氧发酵工程、农村沼气池、鱼塘、泥塘、护城河清淤污泥；好氧污泥主要来自城市污水处理厂，应拉取当日脱水的活性污泥作为好氧菌种。</w:t>
      </w:r>
    </w:p>
    <w:p>
      <w:pPr>
        <w:pStyle w:val="26"/>
        <w:spacing w:before="312" w:beforeLines="100" w:after="312" w:afterLines="100"/>
        <w:ind w:firstLine="0" w:firstLineChars="0"/>
        <w:rPr>
          <w:rFonts w:hAnsi="宋体" w:cs="宋体"/>
          <w:szCs w:val="21"/>
        </w:rPr>
      </w:pPr>
      <w:r>
        <w:rPr>
          <w:rFonts w:ascii="黑体" w:hAnsi="黑体" w:eastAsia="黑体" w:cs="黑体"/>
          <w:szCs w:val="21"/>
        </w:rPr>
        <w:t>B.</w:t>
      </w:r>
      <w:r>
        <w:rPr>
          <w:rFonts w:hint="eastAsia" w:ascii="黑体" w:hAnsi="黑体" w:eastAsia="黑体" w:cs="黑体"/>
          <w:szCs w:val="21"/>
        </w:rPr>
        <w:t>7  污泥驯化</w:t>
      </w:r>
    </w:p>
    <w:p>
      <w:pPr>
        <w:pStyle w:val="26"/>
        <w:spacing w:before="156" w:beforeLines="50" w:after="156" w:afterLines="50"/>
        <w:ind w:firstLine="0" w:firstLineChars="0"/>
        <w:rPr>
          <w:rFonts w:hint="eastAsia" w:ascii="宋体" w:hAnsi="宋体" w:eastAsia="宋体" w:cs="宋体"/>
          <w:szCs w:val="21"/>
        </w:rPr>
      </w:pPr>
      <w:r>
        <w:rPr>
          <w:rFonts w:hint="eastAsia" w:ascii="黑体" w:hAnsi="黑体" w:eastAsia="黑体" w:cs="黑体"/>
          <w:szCs w:val="21"/>
        </w:rPr>
        <w:t>B.7.1</w:t>
      </w:r>
      <w:r>
        <w:rPr>
          <w:rFonts w:hAnsi="宋体" w:cs="宋体"/>
          <w:szCs w:val="21"/>
        </w:rPr>
        <w:t xml:space="preserve">  </w:t>
      </w:r>
      <w:r>
        <w:rPr>
          <w:rFonts w:hint="eastAsia" w:hAnsi="宋体" w:cs="宋体"/>
          <w:szCs w:val="21"/>
        </w:rPr>
        <w:t>驯化条件：一般来讲，微生物生长条件不能发生骤然的突出变化，常规讲要有一个适应过程，驯化过程应当与原生长条件尽量一致，当做不到时，一般用常规生活污水作为培养水源，一般控制COD负荷不高于1000-800mg/L为宜，驯化时温度不低于20℃，驯化采取连续闷曝3-7d，并在显微镜下检查微生物生长状况，或者依据长期实践经验，按照不同的工艺方法（活性污泥、生物膜等），观察微生物生</w:t>
      </w:r>
      <w:r>
        <w:rPr>
          <w:rFonts w:hint="eastAsia" w:ascii="宋体" w:hAnsi="宋体" w:eastAsia="宋体" w:cs="宋体"/>
          <w:szCs w:val="21"/>
        </w:rPr>
        <w:t>长状况，也可用检查进出水COD大小来判断生化作用的效果。</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B.7.2  </w:t>
      </w:r>
      <w:r>
        <w:rPr>
          <w:rFonts w:hint="eastAsia" w:hAnsi="宋体" w:cs="宋体"/>
          <w:szCs w:val="21"/>
        </w:rPr>
        <w:t>驯化方式：驯化条件具备后，连续运行已见到效果的情况下，采用递增污水进水量的方式，使微生物逐步适应新的生活条件，递增幅度的大小按</w:t>
      </w:r>
      <w:r>
        <w:rPr>
          <w:rFonts w:hint="eastAsia" w:hAnsi="宋体" w:cs="宋体"/>
          <w:szCs w:val="21"/>
          <w:lang w:val="en-US" w:eastAsia="zh-CN"/>
        </w:rPr>
        <w:t>缺</w:t>
      </w:r>
      <w:r>
        <w:rPr>
          <w:rFonts w:hint="eastAsia" w:hAnsi="宋体" w:cs="宋体"/>
          <w:szCs w:val="21"/>
        </w:rPr>
        <w:t>氧、好氧工艺及现场条件有所不同。一般来讲，好氧系统正常启动可在10-20d内完成，递增比例为5-10%。</w:t>
      </w:r>
    </w:p>
    <w:p>
      <w:pPr>
        <w:pStyle w:val="26"/>
        <w:spacing w:before="312" w:beforeLines="100" w:after="312" w:afterLines="100"/>
        <w:ind w:firstLine="0" w:firstLineChars="0"/>
        <w:rPr>
          <w:rFonts w:ascii="黑体" w:hAnsi="黑体" w:eastAsia="黑体" w:cs="黑体"/>
          <w:szCs w:val="21"/>
        </w:rPr>
      </w:pPr>
      <w:bookmarkStart w:id="17" w:name="_Toc276888715"/>
      <w:bookmarkStart w:id="18" w:name="_Toc276887947"/>
      <w:bookmarkStart w:id="19" w:name="_Toc276888403"/>
      <w:r>
        <w:rPr>
          <w:rFonts w:ascii="黑体" w:hAnsi="黑体" w:eastAsia="黑体" w:cs="黑体"/>
          <w:szCs w:val="21"/>
        </w:rPr>
        <w:t>B.</w:t>
      </w:r>
      <w:r>
        <w:rPr>
          <w:rFonts w:hint="eastAsia" w:ascii="黑体" w:hAnsi="黑体" w:eastAsia="黑体" w:cs="黑体"/>
          <w:szCs w:val="21"/>
        </w:rPr>
        <w:t>8  污泥培养</w:t>
      </w:r>
      <w:bookmarkEnd w:id="17"/>
      <w:bookmarkEnd w:id="18"/>
      <w:bookmarkEnd w:id="19"/>
    </w:p>
    <w:p>
      <w:pPr>
        <w:pStyle w:val="26"/>
        <w:spacing w:before="156" w:beforeLines="50" w:after="156" w:afterLines="50"/>
        <w:rPr>
          <w:rFonts w:hAnsi="宋体" w:cs="宋体"/>
          <w:szCs w:val="21"/>
        </w:rPr>
      </w:pPr>
      <w:r>
        <w:rPr>
          <w:rFonts w:hint="eastAsia" w:hAnsi="宋体" w:cs="宋体"/>
          <w:szCs w:val="21"/>
        </w:rPr>
        <w:t xml:space="preserve">污泥的培养有连续培养法和间歇培养法。针对本工程的特点，污泥培养采用连续培养的方法。 </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B.8.1 </w:t>
      </w:r>
      <w:r>
        <w:rPr>
          <w:rFonts w:hAnsi="宋体" w:cs="宋体"/>
          <w:szCs w:val="21"/>
        </w:rPr>
        <w:t xml:space="preserve"> </w:t>
      </w:r>
      <w:r>
        <w:rPr>
          <w:rFonts w:hint="eastAsia" w:hAnsi="宋体" w:cs="宋体"/>
          <w:szCs w:val="21"/>
        </w:rPr>
        <w:t>当水解酸化池、接触氧化池液位达到中液位以上时，添加接种污泥。闷曝24小时左右（视污泥情况而定），再进水至设计液位。闷曝1-2天。</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B.8.2 </w:t>
      </w:r>
      <w:r>
        <w:rPr>
          <w:rFonts w:hAnsi="宋体" w:cs="宋体"/>
          <w:szCs w:val="21"/>
        </w:rPr>
        <w:t xml:space="preserve"> </w:t>
      </w:r>
      <w:r>
        <w:rPr>
          <w:rFonts w:hint="eastAsia" w:hAnsi="宋体" w:cs="宋体"/>
          <w:szCs w:val="21"/>
        </w:rPr>
        <w:t xml:space="preserve">启动接触氧化池混合液回流泵，将混合液回流至水解酸化池，继续闷曝1-2天。 </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B.8.3</w:t>
      </w:r>
      <w:r>
        <w:rPr>
          <w:rFonts w:hAnsi="宋体" w:cs="宋体"/>
          <w:szCs w:val="21"/>
        </w:rPr>
        <w:t xml:space="preserve">  </w:t>
      </w:r>
      <w:r>
        <w:rPr>
          <w:rFonts w:hint="eastAsia" w:hAnsi="宋体" w:cs="宋体"/>
          <w:szCs w:val="21"/>
        </w:rPr>
        <w:t xml:space="preserve">开启调节池提升泵，视污水水量间歇或者连续运行。 </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B.8.4</w:t>
      </w:r>
      <w:r>
        <w:rPr>
          <w:rFonts w:hAnsi="宋体" w:cs="宋体"/>
          <w:szCs w:val="21"/>
        </w:rPr>
        <w:t xml:space="preserve"> </w:t>
      </w:r>
      <w:r>
        <w:rPr>
          <w:rFonts w:hint="eastAsia" w:hAnsi="宋体" w:cs="宋体"/>
          <w:szCs w:val="21"/>
        </w:rPr>
        <w:t>依上述流程连续运行，观察填料上污泥的生长状况。</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B.8.5</w:t>
      </w:r>
      <w:r>
        <w:rPr>
          <w:rFonts w:hAnsi="宋体" w:cs="宋体"/>
          <w:szCs w:val="21"/>
        </w:rPr>
        <w:t xml:space="preserve">  </w:t>
      </w:r>
      <w:r>
        <w:rPr>
          <w:rFonts w:hint="eastAsia" w:hAnsi="宋体" w:cs="宋体"/>
          <w:szCs w:val="21"/>
        </w:rPr>
        <w:t>当填料上的生物膜达到1～2mm厚时，且沉淀池的出水较清澈，氧化池进出水去除率＞60％时，可认为生物膜的培养基本结束；</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B.8.6</w:t>
      </w:r>
      <w:r>
        <w:rPr>
          <w:rFonts w:hAnsi="宋体" w:cs="宋体"/>
          <w:szCs w:val="21"/>
        </w:rPr>
        <w:t xml:space="preserve">  </w:t>
      </w:r>
      <w:r>
        <w:rPr>
          <w:rFonts w:hint="eastAsia" w:hAnsi="宋体" w:cs="宋体"/>
          <w:szCs w:val="21"/>
        </w:rPr>
        <w:t>挂膜：定期检查池内填料挂膜情况，是否有堵塞等，及时清理。还需注意当系统停止运行时，要始终保持池内水位没过填料层，以免填料被暴晒老化，更严重的是微生物死亡，填料结块硬化。</w:t>
      </w:r>
    </w:p>
    <w:p>
      <w:pPr>
        <w:pStyle w:val="26"/>
        <w:spacing w:before="312" w:beforeLines="100" w:after="312" w:afterLines="100"/>
        <w:ind w:firstLine="0" w:firstLineChars="0"/>
        <w:rPr>
          <w:rFonts w:ascii="黑体" w:hAnsi="黑体" w:eastAsia="黑体" w:cs="黑体"/>
          <w:szCs w:val="21"/>
        </w:rPr>
      </w:pPr>
      <w:r>
        <w:rPr>
          <w:rFonts w:ascii="黑体" w:hAnsi="黑体" w:eastAsia="黑体" w:cs="黑体"/>
          <w:szCs w:val="21"/>
        </w:rPr>
        <w:t>B.</w:t>
      </w:r>
      <w:r>
        <w:rPr>
          <w:rFonts w:hint="eastAsia" w:ascii="黑体" w:hAnsi="黑体" w:eastAsia="黑体" w:cs="黑体"/>
          <w:szCs w:val="21"/>
        </w:rPr>
        <w:t>9</w:t>
      </w:r>
      <w:r>
        <w:rPr>
          <w:rFonts w:hint="eastAsia" w:ascii="黑体" w:hAnsi="黑体" w:eastAsia="黑体" w:cs="黑体"/>
          <w:szCs w:val="21"/>
          <w:lang w:val="en-US" w:eastAsia="zh-CN"/>
        </w:rPr>
        <w:t xml:space="preserve"> </w:t>
      </w:r>
      <w:r>
        <w:rPr>
          <w:rFonts w:hint="eastAsia" w:ascii="黑体" w:hAnsi="黑体" w:eastAsia="黑体" w:cs="黑体"/>
          <w:szCs w:val="21"/>
        </w:rPr>
        <w:t>全线优化</w:t>
      </w:r>
    </w:p>
    <w:p>
      <w:pPr>
        <w:pStyle w:val="26"/>
        <w:rPr>
          <w:rFonts w:hAnsi="宋体" w:cs="宋体"/>
          <w:szCs w:val="21"/>
        </w:rPr>
      </w:pPr>
      <w:r>
        <w:rPr>
          <w:rFonts w:hint="eastAsia" w:hAnsi="宋体" w:cs="宋体"/>
          <w:szCs w:val="21"/>
        </w:rPr>
        <w:t>当上述工艺单元优化完成后，污水处理工艺全线贯通，污水处理系统处于正常条件下，即可进行全线优化调试。</w:t>
      </w:r>
    </w:p>
    <w:p>
      <w:pPr>
        <w:pStyle w:val="26"/>
        <w:rPr>
          <w:rFonts w:hAnsi="宋体" w:cs="宋体"/>
          <w:szCs w:val="21"/>
        </w:rPr>
      </w:pPr>
      <w:r>
        <w:rPr>
          <w:rFonts w:hint="eastAsia" w:hAnsi="宋体" w:cs="宋体"/>
          <w:szCs w:val="21"/>
        </w:rPr>
        <w:t>按工艺单元顺序，从第一单元开始检测每个单元的PH值（用试纸）、SS（经验目测）、COD（仪器检测），确定全线运行的问题所在。</w:t>
      </w:r>
    </w:p>
    <w:p>
      <w:pPr>
        <w:pStyle w:val="26"/>
        <w:rPr>
          <w:rFonts w:hAnsi="宋体" w:cs="宋体"/>
          <w:szCs w:val="21"/>
        </w:rPr>
      </w:pPr>
      <w:r>
        <w:rPr>
          <w:rFonts w:hint="eastAsia" w:hAnsi="宋体" w:cs="宋体"/>
          <w:szCs w:val="21"/>
        </w:rPr>
        <w:t>对不能达到设计要求的工艺的单元，全面进行检测调试，直至达到要求为止。</w:t>
      </w:r>
    </w:p>
    <w:p>
      <w:pPr>
        <w:pStyle w:val="26"/>
        <w:rPr>
          <w:rFonts w:hAnsi="宋体" w:cs="宋体"/>
          <w:szCs w:val="21"/>
        </w:rPr>
      </w:pPr>
      <w:r>
        <w:rPr>
          <w:rFonts w:hint="eastAsia" w:hAnsi="宋体" w:cs="宋体"/>
          <w:szCs w:val="21"/>
        </w:rPr>
        <w:t>各单元均正常后，全线连调结束。</w:t>
      </w:r>
    </w:p>
    <w:p>
      <w:pPr>
        <w:pStyle w:val="26"/>
        <w:spacing w:before="312" w:beforeLines="100" w:after="312" w:afterLines="100"/>
        <w:ind w:firstLine="0" w:firstLineChars="0"/>
        <w:rPr>
          <w:rFonts w:ascii="黑体" w:hAnsi="黑体" w:eastAsia="黑体" w:cs="黑体"/>
          <w:szCs w:val="21"/>
        </w:rPr>
      </w:pPr>
      <w:r>
        <w:rPr>
          <w:rFonts w:ascii="黑体" w:hAnsi="黑体" w:eastAsia="黑体" w:cs="黑体"/>
          <w:szCs w:val="21"/>
        </w:rPr>
        <w:t>B.</w:t>
      </w:r>
      <w:r>
        <w:rPr>
          <w:rFonts w:hint="eastAsia" w:ascii="黑体" w:hAnsi="黑体" w:eastAsia="黑体" w:cs="黑体"/>
          <w:szCs w:val="21"/>
        </w:rPr>
        <w:t>10</w:t>
      </w:r>
      <w:r>
        <w:rPr>
          <w:rFonts w:hint="eastAsia" w:ascii="黑体" w:hAnsi="黑体" w:eastAsia="黑体" w:cs="黑体"/>
          <w:szCs w:val="21"/>
          <w:lang w:val="en-US" w:eastAsia="zh-CN"/>
        </w:rPr>
        <w:t xml:space="preserve"> </w:t>
      </w:r>
      <w:r>
        <w:rPr>
          <w:rFonts w:hint="eastAsia" w:ascii="黑体" w:hAnsi="黑体" w:eastAsia="黑体" w:cs="黑体"/>
          <w:szCs w:val="21"/>
        </w:rPr>
        <w:t>抓住重点检测分析</w:t>
      </w:r>
    </w:p>
    <w:p>
      <w:pPr>
        <w:pStyle w:val="26"/>
        <w:spacing w:before="156" w:beforeLines="50" w:after="156" w:afterLines="50"/>
        <w:rPr>
          <w:rFonts w:hAnsi="宋体" w:cs="宋体"/>
          <w:szCs w:val="21"/>
        </w:rPr>
      </w:pPr>
      <w:r>
        <w:rPr>
          <w:rFonts w:hint="eastAsia" w:hAnsi="宋体" w:cs="宋体"/>
          <w:szCs w:val="21"/>
        </w:rPr>
        <w:t>全线连续优化调试中，按检测结果即可确定调试重点，一般来讲，重点都是生化单元。</w:t>
      </w:r>
    </w:p>
    <w:p>
      <w:pPr>
        <w:pStyle w:val="26"/>
        <w:spacing w:before="156" w:beforeLines="50" w:after="156" w:afterLines="50"/>
        <w:rPr>
          <w:rFonts w:hAnsi="宋体" w:cs="宋体"/>
          <w:szCs w:val="21"/>
        </w:rPr>
      </w:pPr>
      <w:r>
        <w:rPr>
          <w:rFonts w:hint="eastAsia" w:hAnsi="宋体" w:cs="宋体"/>
          <w:szCs w:val="21"/>
        </w:rPr>
        <w:t>生化单元优化的主要问题：</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B.10.1</w:t>
      </w:r>
      <w:r>
        <w:rPr>
          <w:rFonts w:hAnsi="宋体" w:cs="宋体"/>
          <w:szCs w:val="21"/>
        </w:rPr>
        <w:t xml:space="preserve">  </w:t>
      </w:r>
      <w:r>
        <w:rPr>
          <w:rFonts w:hint="eastAsia" w:hAnsi="宋体" w:cs="宋体"/>
          <w:szCs w:val="21"/>
        </w:rPr>
        <w:t>要认真检查核对该单元进出水口的位置、布水、收水方式是否符合工艺设计要求。</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B.10.2</w:t>
      </w:r>
      <w:r>
        <w:rPr>
          <w:rFonts w:hAnsi="宋体" w:cs="宋体"/>
          <w:szCs w:val="21"/>
        </w:rPr>
        <w:t xml:space="preserve">  </w:t>
      </w:r>
      <w:r>
        <w:rPr>
          <w:rFonts w:hint="eastAsia" w:hAnsi="宋体" w:cs="宋体"/>
          <w:szCs w:val="21"/>
        </w:rPr>
        <w:t>每次调试前，先进行通气检测，即通气前先将风机启动后，开启风量的1/4-1/3送至生化池的曝气管道中，检查管道所有节点的焊接安装质量，不能有漏气现象发生，不易检查时，应涂抹肥皂水进行检查，发现问题立即修复至要求。</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B.10.3 </w:t>
      </w:r>
      <w:r>
        <w:rPr>
          <w:rFonts w:hAnsi="宋体" w:cs="宋体"/>
          <w:szCs w:val="21"/>
        </w:rPr>
        <w:t xml:space="preserve"> </w:t>
      </w:r>
      <w:r>
        <w:rPr>
          <w:rFonts w:hint="eastAsia" w:hAnsi="宋体" w:cs="宋体"/>
          <w:szCs w:val="21"/>
        </w:rPr>
        <w:t>检查管道所有固定处及固定方式，必须牢固可靠，防止产生通水后管道产生松动现象。</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B.10.4 </w:t>
      </w:r>
      <w:r>
        <w:rPr>
          <w:rFonts w:hAnsi="宋体" w:cs="宋体"/>
          <w:szCs w:val="21"/>
        </w:rPr>
        <w:t xml:space="preserve"> </w:t>
      </w:r>
      <w:r>
        <w:rPr>
          <w:rFonts w:hint="eastAsia" w:hAnsi="宋体" w:cs="宋体"/>
          <w:szCs w:val="21"/>
        </w:rPr>
        <w:t>检查曝气管、曝气头的安装质量，不仅要求牢固可靠，而且处于同一水平面上，高低误差不大于±1㎜，检查无误后方可通水。</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B.10.5 </w:t>
      </w:r>
      <w:r>
        <w:rPr>
          <w:rFonts w:hAnsi="宋体" w:cs="宋体"/>
          <w:szCs w:val="21"/>
        </w:rPr>
        <w:t xml:space="preserve"> </w:t>
      </w:r>
      <w:r>
        <w:rPr>
          <w:rFonts w:hint="eastAsia" w:hAnsi="宋体" w:cs="宋体"/>
          <w:szCs w:val="21"/>
        </w:rPr>
        <w:t>首次通水深度为淹没曝气头、曝气管深度0.5m左右，开动风机进行曝气，检查各曝气头曝气管是否均衡曝气。否则，应排水进行重新安装，直至达到要求为止。</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B.10.6 </w:t>
      </w:r>
      <w:r>
        <w:rPr>
          <w:rFonts w:hAnsi="宋体" w:cs="宋体"/>
          <w:szCs w:val="21"/>
        </w:rPr>
        <w:t xml:space="preserve"> </w:t>
      </w:r>
      <w:r>
        <w:rPr>
          <w:rFonts w:hint="eastAsia" w:hAnsi="宋体" w:cs="宋体"/>
          <w:szCs w:val="21"/>
        </w:rPr>
        <w:t>继续充水，直到达到正常工作状态，再次启动曝气应能正常工作，气量大、气泡细、翻滚均匀为最佳状态。</w:t>
      </w:r>
    </w:p>
    <w:p>
      <w:pPr>
        <w:pStyle w:val="26"/>
        <w:spacing w:before="156" w:beforeLines="50" w:after="156" w:afterLines="50"/>
        <w:ind w:firstLine="0" w:firstLineChars="0"/>
        <w:rPr>
          <w:rFonts w:hAnsi="宋体" w:cs="宋体"/>
          <w:szCs w:val="21"/>
        </w:rPr>
      </w:pPr>
      <w:r>
        <w:rPr>
          <w:rFonts w:hint="eastAsia" w:ascii="黑体" w:hAnsi="黑体" w:eastAsia="黑体" w:cs="黑体"/>
          <w:szCs w:val="21"/>
        </w:rPr>
        <w:t xml:space="preserve">B.10.7 </w:t>
      </w:r>
      <w:r>
        <w:rPr>
          <w:rFonts w:hAnsi="宋体" w:cs="宋体"/>
          <w:szCs w:val="21"/>
        </w:rPr>
        <w:t xml:space="preserve"> </w:t>
      </w:r>
      <w:r>
        <w:rPr>
          <w:rFonts w:hint="eastAsia" w:hAnsi="宋体" w:cs="宋体"/>
          <w:szCs w:val="21"/>
        </w:rPr>
        <w:t>对不同生化方式要严格控制溶解氧（DO）量。厌氧工艺不允许有DO进入</w:t>
      </w:r>
      <w:r>
        <w:rPr>
          <w:rFonts w:hint="eastAsia" w:hAnsi="宋体" w:cs="宋体"/>
          <w:szCs w:val="21"/>
          <w:lang w:eastAsia="zh-CN"/>
        </w:rPr>
        <w:t>，</w:t>
      </w:r>
      <w:r>
        <w:rPr>
          <w:rFonts w:hint="eastAsia" w:hAnsi="宋体" w:cs="宋体"/>
          <w:szCs w:val="21"/>
          <w:lang w:val="en-US" w:eastAsia="zh-CN"/>
        </w:rPr>
        <w:t>DO值必须低于0.2mg/L</w:t>
      </w:r>
      <w:r>
        <w:rPr>
          <w:rFonts w:hint="eastAsia" w:hAnsi="宋体" w:cs="宋体"/>
          <w:szCs w:val="21"/>
        </w:rPr>
        <w:t>；缺氧工艺DO应控制在小于</w:t>
      </w:r>
      <w:r>
        <w:rPr>
          <w:rFonts w:hint="eastAsia" w:hAnsi="宋体" w:cs="宋体"/>
          <w:szCs w:val="21"/>
          <w:lang w:val="en-US" w:eastAsia="zh-CN"/>
        </w:rPr>
        <w:t>0.2~</w:t>
      </w:r>
      <w:r>
        <w:rPr>
          <w:rFonts w:hint="eastAsia" w:hAnsi="宋体" w:cs="宋体"/>
          <w:szCs w:val="21"/>
        </w:rPr>
        <w:t>0.5mg/L范围内；氧化工艺则应保证DO</w:t>
      </w:r>
      <w:r>
        <w:rPr>
          <w:rFonts w:hint="eastAsia" w:hAnsi="宋体" w:cs="宋体"/>
          <w:szCs w:val="21"/>
          <w:lang w:val="en-US" w:eastAsia="zh-CN"/>
        </w:rPr>
        <w:t>在</w:t>
      </w:r>
      <w:r>
        <w:rPr>
          <w:rFonts w:hint="eastAsia" w:hAnsi="宋体" w:cs="宋体"/>
          <w:szCs w:val="21"/>
        </w:rPr>
        <w:t>2</w:t>
      </w:r>
      <w:r>
        <w:rPr>
          <w:rFonts w:hint="eastAsia" w:hAnsi="宋体" w:cs="宋体"/>
          <w:szCs w:val="21"/>
          <w:lang w:val="en-US" w:eastAsia="zh-CN"/>
        </w:rPr>
        <w:t>~</w:t>
      </w:r>
      <w:r>
        <w:rPr>
          <w:rFonts w:hint="eastAsia" w:hAnsi="宋体" w:cs="宋体"/>
          <w:szCs w:val="21"/>
        </w:rPr>
        <w:t>4mg/L。超过上述规定将可能破环系统正常运行。</w:t>
      </w:r>
    </w:p>
    <w:p>
      <w:pPr>
        <w:widowControl/>
        <w:tabs>
          <w:tab w:val="clear" w:pos="1875"/>
        </w:tabs>
        <w:jc w:val="left"/>
        <w:rPr>
          <w:rFonts w:ascii="黑体" w:hAnsi="黑体" w:eastAsia="黑体"/>
        </w:rPr>
      </w:pPr>
    </w:p>
    <w:p>
      <w:pPr>
        <w:pStyle w:val="26"/>
        <w:spacing w:after="156" w:afterLines="50"/>
        <w:ind w:firstLine="0" w:firstLineChars="0"/>
        <w:rPr>
          <w:rFonts w:ascii="黑体" w:hAnsi="黑体" w:eastAsia="黑体"/>
        </w:rPr>
      </w:pPr>
    </w:p>
    <w:p>
      <w:pPr>
        <w:pStyle w:val="133"/>
        <w:framePr w:hSpace="0" w:vSpace="0" w:wrap="auto" w:vAnchor="margin" w:hAnchor="text" w:xAlign="left" w:yAlign="inline"/>
        <w:jc w:val="center"/>
      </w:pPr>
      <w:r>
        <w:t>_________________________________</w:t>
      </w:r>
    </w:p>
    <w:p>
      <w:pPr>
        <w:pStyle w:val="26"/>
        <w:ind w:firstLine="0" w:firstLineChars="0"/>
        <w:jc w:val="center"/>
      </w:pPr>
    </w:p>
    <w:p>
      <w:pPr>
        <w:pStyle w:val="26"/>
        <w:ind w:firstLine="0" w:firstLineChars="0"/>
        <w:jc w:val="center"/>
      </w:pPr>
    </w:p>
    <w:sectPr>
      <w:footerReference r:id="rId8" w:type="default"/>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9978222"/>
    </w:sdtPr>
    <w:sdtContent>
      <w:p>
        <w:pPr>
          <w:pStyle w:val="20"/>
        </w:pPr>
        <w:r>
          <w:fldChar w:fldCharType="begin"/>
        </w:r>
        <w:r>
          <w:instrText xml:space="preserve">PAGE   \* MERGEFORMAT</w:instrText>
        </w:r>
        <w:r>
          <w:fldChar w:fldCharType="separate"/>
        </w:r>
        <w:r>
          <w:rPr>
            <w:lang w:val="zh-CN"/>
          </w:rPr>
          <w:t>16</w:t>
        </w:r>
        <w:r>
          <w:fldChar w:fldCharType="end"/>
        </w:r>
      </w:p>
    </w:sdtContent>
  </w:sdt>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5078904"/>
    </w:sdtPr>
    <w:sdtContent>
      <w:p>
        <w:pPr>
          <w:pStyle w:val="20"/>
        </w:pPr>
        <w:r>
          <w:fldChar w:fldCharType="begin"/>
        </w:r>
        <w:r>
          <w:instrText xml:space="preserve">PAGE   \* MERGEFORMAT</w:instrText>
        </w:r>
        <w:r>
          <w:fldChar w:fldCharType="separate"/>
        </w:r>
        <w:r>
          <w:rPr>
            <w:lang w:val="zh-CN"/>
          </w:rPr>
          <w:t>I</w:t>
        </w:r>
        <w:r>
          <w:fldChar w:fldCharType="end"/>
        </w:r>
      </w:p>
    </w:sdtContent>
  </w:sdt>
  <w:p>
    <w:pPr>
      <w:pStyle w:val="20"/>
    </w:pPr>
  </w:p>
  <w:p>
    <w:pPr>
      <w:pStyle w:val="4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PAGE  \* MERGEFORMAT </w:instrText>
    </w:r>
    <w:r>
      <w:fldChar w:fldCharType="separate"/>
    </w:r>
    <w:r>
      <w:t>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ind w:right="420" w:firstLine="7665" w:firstLineChars="3650"/>
      <w:jc w:val="both"/>
    </w:pPr>
    <w:r>
      <w:rPr>
        <w:rFonts w:hint="eastAsia"/>
      </w:rPr>
      <w:t>DB36/ 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ind w:right="420" w:firstLine="7665" w:firstLineChars="3650"/>
    </w:pPr>
    <w:r>
      <w:rPr>
        <w:rFonts w:hint="eastAsia"/>
      </w:rPr>
      <w:t>DB36/ 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A52BD"/>
    <w:multiLevelType w:val="multilevel"/>
    <w:tmpl w:val="177A52BD"/>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DBF583A"/>
    <w:multiLevelType w:val="multilevel"/>
    <w:tmpl w:val="1DBF583A"/>
    <w:lvl w:ilvl="0" w:tentative="0">
      <w:start w:val="1"/>
      <w:numFmt w:val="decimal"/>
      <w:pStyle w:val="6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
    <w:nsid w:val="1FC91163"/>
    <w:multiLevelType w:val="multilevel"/>
    <w:tmpl w:val="1FC91163"/>
    <w:lvl w:ilvl="0" w:tentative="0">
      <w:start w:val="1"/>
      <w:numFmt w:val="decimal"/>
      <w:pStyle w:val="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6"/>
      <w:suff w:val="nothing"/>
      <w:lvlText w:val="%1.%2　"/>
      <w:lvlJc w:val="left"/>
      <w:pPr>
        <w:ind w:left="56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0"/>
      <w:suff w:val="nothing"/>
      <w:lvlText w:val="%1.%2.%3　"/>
      <w:lvlJc w:val="left"/>
      <w:pPr>
        <w:ind w:left="0" w:firstLine="0"/>
      </w:pPr>
      <w:rPr>
        <w:rFonts w:hint="eastAsia" w:ascii="黑体" w:hAnsi="Times New Roman" w:eastAsia="黑体"/>
        <w:b w:val="0"/>
        <w:i w:val="0"/>
        <w:sz w:val="21"/>
      </w:rPr>
    </w:lvl>
    <w:lvl w:ilvl="3" w:tentative="0">
      <w:start w:val="1"/>
      <w:numFmt w:val="decimal"/>
      <w:pStyle w:val="55"/>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102"/>
      <w:suff w:val="space"/>
      <w:lvlText w:val="%1"/>
      <w:lvlJc w:val="left"/>
      <w:pPr>
        <w:ind w:left="623" w:hanging="425"/>
      </w:pPr>
      <w:rPr>
        <w:rFonts w:hint="eastAsia"/>
      </w:rPr>
    </w:lvl>
    <w:lvl w:ilvl="1" w:tentative="0">
      <w:start w:val="1"/>
      <w:numFmt w:val="decimal"/>
      <w:pStyle w:val="10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2C5917C3"/>
    <w:multiLevelType w:val="multilevel"/>
    <w:tmpl w:val="2C5917C3"/>
    <w:lvl w:ilvl="0" w:tentative="0">
      <w:start w:val="1"/>
      <w:numFmt w:val="none"/>
      <w:pStyle w:val="52"/>
      <w:suff w:val="nothing"/>
      <w:lvlText w:val="%1——"/>
      <w:lvlJc w:val="left"/>
      <w:pPr>
        <w:ind w:left="833" w:hanging="408"/>
      </w:pPr>
      <w:rPr>
        <w:rFonts w:hint="eastAsia"/>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38427251"/>
    <w:multiLevelType w:val="multilevel"/>
    <w:tmpl w:val="38427251"/>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7">
    <w:nsid w:val="42D51E19"/>
    <w:multiLevelType w:val="multilevel"/>
    <w:tmpl w:val="42D51E1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8"/>
      <w:lvlText w:val="%2)"/>
      <w:lvlJc w:val="left"/>
      <w:pPr>
        <w:tabs>
          <w:tab w:val="left" w:pos="1260"/>
        </w:tabs>
        <w:ind w:left="1259" w:hanging="419"/>
      </w:pPr>
      <w:rPr>
        <w:rFonts w:hint="eastAsia"/>
      </w:rPr>
    </w:lvl>
    <w:lvl w:ilvl="2" w:tentative="0">
      <w:start w:val="1"/>
      <w:numFmt w:val="decimal"/>
      <w:pStyle w:val="6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60B55DC2"/>
    <w:multiLevelType w:val="multilevel"/>
    <w:tmpl w:val="60B55DC2"/>
    <w:lvl w:ilvl="0" w:tentative="0">
      <w:start w:val="1"/>
      <w:numFmt w:val="upperLetter"/>
      <w:pStyle w:val="90"/>
      <w:lvlText w:val="%1"/>
      <w:lvlJc w:val="left"/>
      <w:pPr>
        <w:tabs>
          <w:tab w:val="left" w:pos="0"/>
        </w:tabs>
        <w:ind w:left="0" w:hanging="425"/>
      </w:pPr>
      <w:rPr>
        <w:rFonts w:hint="eastAsia"/>
      </w:rPr>
    </w:lvl>
    <w:lvl w:ilvl="1" w:tentative="0">
      <w:start w:val="1"/>
      <w:numFmt w:val="decimal"/>
      <w:pStyle w:val="9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57D3FBC"/>
    <w:multiLevelType w:val="multilevel"/>
    <w:tmpl w:val="657D3FBC"/>
    <w:lvl w:ilvl="0" w:tentative="0">
      <w:start w:val="1"/>
      <w:numFmt w:val="upperLetter"/>
      <w:pStyle w:val="8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7"/>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100"/>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D6C07CD"/>
    <w:multiLevelType w:val="multilevel"/>
    <w:tmpl w:val="6D6C07CD"/>
    <w:lvl w:ilvl="0" w:tentative="0">
      <w:start w:val="1"/>
      <w:numFmt w:val="lowerLetter"/>
      <w:pStyle w:val="109"/>
      <w:lvlText w:val="%1)"/>
      <w:lvlJc w:val="left"/>
      <w:pPr>
        <w:tabs>
          <w:tab w:val="left" w:pos="839"/>
        </w:tabs>
        <w:ind w:left="839" w:hanging="419"/>
      </w:pPr>
      <w:rPr>
        <w:rFonts w:hint="eastAsia" w:ascii="宋体" w:eastAsia="宋体"/>
        <w:b w:val="0"/>
        <w:i w:val="0"/>
        <w:sz w:val="21"/>
      </w:rPr>
    </w:lvl>
    <w:lvl w:ilvl="1" w:tentative="0">
      <w:start w:val="1"/>
      <w:numFmt w:val="decimal"/>
      <w:pStyle w:val="9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2">
    <w:nsid w:val="6EBB3BCB"/>
    <w:multiLevelType w:val="multilevel"/>
    <w:tmpl w:val="6EBB3BCB"/>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2"/>
  </w:num>
  <w:num w:numId="3">
    <w:abstractNumId w:val="4"/>
  </w:num>
  <w:num w:numId="4">
    <w:abstractNumId w:val="8"/>
  </w:num>
  <w:num w:numId="5">
    <w:abstractNumId w:val="1"/>
  </w:num>
  <w:num w:numId="6">
    <w:abstractNumId w:val="10"/>
  </w:num>
  <w:num w:numId="7">
    <w:abstractNumId w:val="9"/>
  </w:num>
  <w:num w:numId="8">
    <w:abstractNumId w:val="11"/>
  </w:num>
  <w:num w:numId="9">
    <w:abstractNumId w:val="3"/>
  </w:num>
  <w:num w:numId="10">
    <w:abstractNumId w:val="5"/>
  </w:num>
  <w:num w:numId="11">
    <w:abstractNumId w:val="12"/>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2E4"/>
    <w:rsid w:val="0000185F"/>
    <w:rsid w:val="0000586F"/>
    <w:rsid w:val="00007BF7"/>
    <w:rsid w:val="0001313B"/>
    <w:rsid w:val="00013628"/>
    <w:rsid w:val="00013D86"/>
    <w:rsid w:val="00013E02"/>
    <w:rsid w:val="00015521"/>
    <w:rsid w:val="0002143C"/>
    <w:rsid w:val="00024516"/>
    <w:rsid w:val="00025A65"/>
    <w:rsid w:val="00026C31"/>
    <w:rsid w:val="00027280"/>
    <w:rsid w:val="000276B2"/>
    <w:rsid w:val="00031E2C"/>
    <w:rsid w:val="000320A7"/>
    <w:rsid w:val="00032D44"/>
    <w:rsid w:val="000346A6"/>
    <w:rsid w:val="00035925"/>
    <w:rsid w:val="000365AA"/>
    <w:rsid w:val="000401F9"/>
    <w:rsid w:val="000433AD"/>
    <w:rsid w:val="00043611"/>
    <w:rsid w:val="00045EF0"/>
    <w:rsid w:val="00047464"/>
    <w:rsid w:val="0005019A"/>
    <w:rsid w:val="00053429"/>
    <w:rsid w:val="000549C7"/>
    <w:rsid w:val="00067CDF"/>
    <w:rsid w:val="0007176A"/>
    <w:rsid w:val="000717B9"/>
    <w:rsid w:val="00074FBE"/>
    <w:rsid w:val="00077648"/>
    <w:rsid w:val="000778E1"/>
    <w:rsid w:val="00083A09"/>
    <w:rsid w:val="0009005E"/>
    <w:rsid w:val="000927D5"/>
    <w:rsid w:val="00092857"/>
    <w:rsid w:val="00097504"/>
    <w:rsid w:val="000A078C"/>
    <w:rsid w:val="000A20A9"/>
    <w:rsid w:val="000A48B1"/>
    <w:rsid w:val="000A4A9D"/>
    <w:rsid w:val="000B3143"/>
    <w:rsid w:val="000C0985"/>
    <w:rsid w:val="000C5C00"/>
    <w:rsid w:val="000C6B05"/>
    <w:rsid w:val="000C6DD6"/>
    <w:rsid w:val="000C73D4"/>
    <w:rsid w:val="000D0FA3"/>
    <w:rsid w:val="000D3AFF"/>
    <w:rsid w:val="000D3D4C"/>
    <w:rsid w:val="000D485A"/>
    <w:rsid w:val="000D4F51"/>
    <w:rsid w:val="000D718B"/>
    <w:rsid w:val="000D7D91"/>
    <w:rsid w:val="000E0932"/>
    <w:rsid w:val="000E0C46"/>
    <w:rsid w:val="000E1E48"/>
    <w:rsid w:val="000E35A1"/>
    <w:rsid w:val="000F030C"/>
    <w:rsid w:val="000F06B8"/>
    <w:rsid w:val="000F129C"/>
    <w:rsid w:val="000F25BB"/>
    <w:rsid w:val="000F5488"/>
    <w:rsid w:val="000F5E89"/>
    <w:rsid w:val="000F70FA"/>
    <w:rsid w:val="00100705"/>
    <w:rsid w:val="00104215"/>
    <w:rsid w:val="001056DE"/>
    <w:rsid w:val="00107C12"/>
    <w:rsid w:val="001124C0"/>
    <w:rsid w:val="001224AE"/>
    <w:rsid w:val="00122E52"/>
    <w:rsid w:val="00127F38"/>
    <w:rsid w:val="00130779"/>
    <w:rsid w:val="0013175F"/>
    <w:rsid w:val="001366C4"/>
    <w:rsid w:val="001512B4"/>
    <w:rsid w:val="00154385"/>
    <w:rsid w:val="00156998"/>
    <w:rsid w:val="00156D8D"/>
    <w:rsid w:val="00157232"/>
    <w:rsid w:val="001619CC"/>
    <w:rsid w:val="001620A5"/>
    <w:rsid w:val="001637B6"/>
    <w:rsid w:val="00164E53"/>
    <w:rsid w:val="001655D1"/>
    <w:rsid w:val="0016699D"/>
    <w:rsid w:val="00175159"/>
    <w:rsid w:val="001757AB"/>
    <w:rsid w:val="00176208"/>
    <w:rsid w:val="00181AE4"/>
    <w:rsid w:val="0018211B"/>
    <w:rsid w:val="001828D4"/>
    <w:rsid w:val="00183CB7"/>
    <w:rsid w:val="001840D3"/>
    <w:rsid w:val="001900F8"/>
    <w:rsid w:val="00190CBA"/>
    <w:rsid w:val="00190DD3"/>
    <w:rsid w:val="00191258"/>
    <w:rsid w:val="00192680"/>
    <w:rsid w:val="00193037"/>
    <w:rsid w:val="00193A2C"/>
    <w:rsid w:val="001A288E"/>
    <w:rsid w:val="001A2A72"/>
    <w:rsid w:val="001A4862"/>
    <w:rsid w:val="001A7313"/>
    <w:rsid w:val="001A7F6E"/>
    <w:rsid w:val="001B5CB4"/>
    <w:rsid w:val="001B5FB6"/>
    <w:rsid w:val="001B6DC2"/>
    <w:rsid w:val="001C149C"/>
    <w:rsid w:val="001C21AC"/>
    <w:rsid w:val="001C47BA"/>
    <w:rsid w:val="001C59EA"/>
    <w:rsid w:val="001C5D53"/>
    <w:rsid w:val="001C64CB"/>
    <w:rsid w:val="001C70D7"/>
    <w:rsid w:val="001C74B6"/>
    <w:rsid w:val="001C7F27"/>
    <w:rsid w:val="001D406C"/>
    <w:rsid w:val="001D41EE"/>
    <w:rsid w:val="001E0380"/>
    <w:rsid w:val="001E13B1"/>
    <w:rsid w:val="001F0A4D"/>
    <w:rsid w:val="001F3A19"/>
    <w:rsid w:val="00206E9F"/>
    <w:rsid w:val="0021110F"/>
    <w:rsid w:val="002120D5"/>
    <w:rsid w:val="00212BAD"/>
    <w:rsid w:val="00217B67"/>
    <w:rsid w:val="00221DE8"/>
    <w:rsid w:val="00231727"/>
    <w:rsid w:val="00232E9E"/>
    <w:rsid w:val="00233ACF"/>
    <w:rsid w:val="00234467"/>
    <w:rsid w:val="00234DF1"/>
    <w:rsid w:val="00237D8D"/>
    <w:rsid w:val="00241DA2"/>
    <w:rsid w:val="00246C55"/>
    <w:rsid w:val="00247FEE"/>
    <w:rsid w:val="00250E7D"/>
    <w:rsid w:val="002565D5"/>
    <w:rsid w:val="00257D89"/>
    <w:rsid w:val="002622C0"/>
    <w:rsid w:val="00265E96"/>
    <w:rsid w:val="00271E04"/>
    <w:rsid w:val="00275001"/>
    <w:rsid w:val="00275E01"/>
    <w:rsid w:val="002778AE"/>
    <w:rsid w:val="0028269A"/>
    <w:rsid w:val="00283590"/>
    <w:rsid w:val="002848FA"/>
    <w:rsid w:val="00286973"/>
    <w:rsid w:val="002902C5"/>
    <w:rsid w:val="0029124E"/>
    <w:rsid w:val="00291F84"/>
    <w:rsid w:val="00294E70"/>
    <w:rsid w:val="002A1924"/>
    <w:rsid w:val="002A58A5"/>
    <w:rsid w:val="002A7420"/>
    <w:rsid w:val="002B0F12"/>
    <w:rsid w:val="002B1308"/>
    <w:rsid w:val="002B4554"/>
    <w:rsid w:val="002C6212"/>
    <w:rsid w:val="002C6DA2"/>
    <w:rsid w:val="002C72D8"/>
    <w:rsid w:val="002D08AE"/>
    <w:rsid w:val="002D11FA"/>
    <w:rsid w:val="002E0DDF"/>
    <w:rsid w:val="002E1944"/>
    <w:rsid w:val="002E2906"/>
    <w:rsid w:val="002E5635"/>
    <w:rsid w:val="002E64C3"/>
    <w:rsid w:val="002E6A2C"/>
    <w:rsid w:val="002F004B"/>
    <w:rsid w:val="002F1C8B"/>
    <w:rsid w:val="002F1D8C"/>
    <w:rsid w:val="002F1FD4"/>
    <w:rsid w:val="002F21DA"/>
    <w:rsid w:val="002F263D"/>
    <w:rsid w:val="00301F39"/>
    <w:rsid w:val="003026DF"/>
    <w:rsid w:val="00307893"/>
    <w:rsid w:val="00310707"/>
    <w:rsid w:val="00314119"/>
    <w:rsid w:val="00314826"/>
    <w:rsid w:val="0032553B"/>
    <w:rsid w:val="00325926"/>
    <w:rsid w:val="00325CBD"/>
    <w:rsid w:val="00326617"/>
    <w:rsid w:val="00327A8A"/>
    <w:rsid w:val="0033438B"/>
    <w:rsid w:val="00336610"/>
    <w:rsid w:val="0034214B"/>
    <w:rsid w:val="00342244"/>
    <w:rsid w:val="00343F73"/>
    <w:rsid w:val="00345060"/>
    <w:rsid w:val="00351041"/>
    <w:rsid w:val="00352D13"/>
    <w:rsid w:val="0035323B"/>
    <w:rsid w:val="003609D2"/>
    <w:rsid w:val="003609E5"/>
    <w:rsid w:val="003613D1"/>
    <w:rsid w:val="003616F0"/>
    <w:rsid w:val="00361EFB"/>
    <w:rsid w:val="003635B4"/>
    <w:rsid w:val="00363F22"/>
    <w:rsid w:val="0036704B"/>
    <w:rsid w:val="00370612"/>
    <w:rsid w:val="003720EA"/>
    <w:rsid w:val="003726C7"/>
    <w:rsid w:val="00375564"/>
    <w:rsid w:val="00383191"/>
    <w:rsid w:val="00384ADE"/>
    <w:rsid w:val="00386DED"/>
    <w:rsid w:val="003905E3"/>
    <w:rsid w:val="003912E7"/>
    <w:rsid w:val="00393947"/>
    <w:rsid w:val="003967EB"/>
    <w:rsid w:val="003A05D9"/>
    <w:rsid w:val="003A2275"/>
    <w:rsid w:val="003A6A4F"/>
    <w:rsid w:val="003A7088"/>
    <w:rsid w:val="003A7C8E"/>
    <w:rsid w:val="003B00DF"/>
    <w:rsid w:val="003B1275"/>
    <w:rsid w:val="003B1778"/>
    <w:rsid w:val="003B352B"/>
    <w:rsid w:val="003B73FC"/>
    <w:rsid w:val="003C11CB"/>
    <w:rsid w:val="003C204F"/>
    <w:rsid w:val="003C69D2"/>
    <w:rsid w:val="003C75F3"/>
    <w:rsid w:val="003C78A3"/>
    <w:rsid w:val="003D0CC4"/>
    <w:rsid w:val="003D3F0C"/>
    <w:rsid w:val="003D7A2F"/>
    <w:rsid w:val="003E05A1"/>
    <w:rsid w:val="003E1867"/>
    <w:rsid w:val="003E33F7"/>
    <w:rsid w:val="003E456B"/>
    <w:rsid w:val="003E5729"/>
    <w:rsid w:val="003E6F1B"/>
    <w:rsid w:val="003F07CA"/>
    <w:rsid w:val="003F39A9"/>
    <w:rsid w:val="003F4EE0"/>
    <w:rsid w:val="00402153"/>
    <w:rsid w:val="00402FC1"/>
    <w:rsid w:val="0040386C"/>
    <w:rsid w:val="004102D9"/>
    <w:rsid w:val="00410534"/>
    <w:rsid w:val="004136E1"/>
    <w:rsid w:val="00420AC5"/>
    <w:rsid w:val="00422347"/>
    <w:rsid w:val="00425082"/>
    <w:rsid w:val="0042661D"/>
    <w:rsid w:val="00431DEB"/>
    <w:rsid w:val="0044444B"/>
    <w:rsid w:val="00445B69"/>
    <w:rsid w:val="00446B29"/>
    <w:rsid w:val="00447E4E"/>
    <w:rsid w:val="00453F9A"/>
    <w:rsid w:val="004541AD"/>
    <w:rsid w:val="004572DF"/>
    <w:rsid w:val="00457A74"/>
    <w:rsid w:val="0046667C"/>
    <w:rsid w:val="004668D0"/>
    <w:rsid w:val="00471E91"/>
    <w:rsid w:val="00474675"/>
    <w:rsid w:val="0047470C"/>
    <w:rsid w:val="00475104"/>
    <w:rsid w:val="00477A93"/>
    <w:rsid w:val="0048676E"/>
    <w:rsid w:val="0049424F"/>
    <w:rsid w:val="00494585"/>
    <w:rsid w:val="00497121"/>
    <w:rsid w:val="004A35F9"/>
    <w:rsid w:val="004B13B2"/>
    <w:rsid w:val="004B24C1"/>
    <w:rsid w:val="004B2E31"/>
    <w:rsid w:val="004B359C"/>
    <w:rsid w:val="004C0161"/>
    <w:rsid w:val="004C292F"/>
    <w:rsid w:val="004C413E"/>
    <w:rsid w:val="004C5313"/>
    <w:rsid w:val="004C5A46"/>
    <w:rsid w:val="004D3A01"/>
    <w:rsid w:val="004D3D3E"/>
    <w:rsid w:val="004D5121"/>
    <w:rsid w:val="004F3C62"/>
    <w:rsid w:val="004F4A37"/>
    <w:rsid w:val="004F737A"/>
    <w:rsid w:val="00506799"/>
    <w:rsid w:val="00510280"/>
    <w:rsid w:val="00513D73"/>
    <w:rsid w:val="00514A43"/>
    <w:rsid w:val="00517267"/>
    <w:rsid w:val="005174E5"/>
    <w:rsid w:val="0052076A"/>
    <w:rsid w:val="00522393"/>
    <w:rsid w:val="00522620"/>
    <w:rsid w:val="00523FCF"/>
    <w:rsid w:val="00525656"/>
    <w:rsid w:val="00525D15"/>
    <w:rsid w:val="00534686"/>
    <w:rsid w:val="00534C02"/>
    <w:rsid w:val="00540B7D"/>
    <w:rsid w:val="00541074"/>
    <w:rsid w:val="0054264B"/>
    <w:rsid w:val="00543786"/>
    <w:rsid w:val="005451E7"/>
    <w:rsid w:val="00547F6A"/>
    <w:rsid w:val="00552427"/>
    <w:rsid w:val="005531B7"/>
    <w:rsid w:val="005533D7"/>
    <w:rsid w:val="00555C4F"/>
    <w:rsid w:val="00564D7B"/>
    <w:rsid w:val="00565822"/>
    <w:rsid w:val="00565C15"/>
    <w:rsid w:val="00567507"/>
    <w:rsid w:val="005703DE"/>
    <w:rsid w:val="00571CAD"/>
    <w:rsid w:val="005734DB"/>
    <w:rsid w:val="0057384C"/>
    <w:rsid w:val="0058464E"/>
    <w:rsid w:val="0058511A"/>
    <w:rsid w:val="00594D2C"/>
    <w:rsid w:val="005954A9"/>
    <w:rsid w:val="005A01CB"/>
    <w:rsid w:val="005A11EA"/>
    <w:rsid w:val="005A3E19"/>
    <w:rsid w:val="005A47E9"/>
    <w:rsid w:val="005A58FF"/>
    <w:rsid w:val="005A5EAF"/>
    <w:rsid w:val="005A64C0"/>
    <w:rsid w:val="005B33C7"/>
    <w:rsid w:val="005B3C11"/>
    <w:rsid w:val="005B4C59"/>
    <w:rsid w:val="005C0314"/>
    <w:rsid w:val="005C0514"/>
    <w:rsid w:val="005C1C28"/>
    <w:rsid w:val="005C4BFF"/>
    <w:rsid w:val="005C6DB5"/>
    <w:rsid w:val="005C6F08"/>
    <w:rsid w:val="005D7C81"/>
    <w:rsid w:val="005E19E7"/>
    <w:rsid w:val="005E2AE1"/>
    <w:rsid w:val="005E7BC1"/>
    <w:rsid w:val="005F26C8"/>
    <w:rsid w:val="005F3715"/>
    <w:rsid w:val="005F3DF4"/>
    <w:rsid w:val="005F4B4C"/>
    <w:rsid w:val="006003C7"/>
    <w:rsid w:val="00603A77"/>
    <w:rsid w:val="00606337"/>
    <w:rsid w:val="006074A2"/>
    <w:rsid w:val="00612008"/>
    <w:rsid w:val="006138EB"/>
    <w:rsid w:val="0061456B"/>
    <w:rsid w:val="006168D3"/>
    <w:rsid w:val="0061716C"/>
    <w:rsid w:val="00623730"/>
    <w:rsid w:val="006243A1"/>
    <w:rsid w:val="00627683"/>
    <w:rsid w:val="00630A25"/>
    <w:rsid w:val="00632E56"/>
    <w:rsid w:val="006332D1"/>
    <w:rsid w:val="00634868"/>
    <w:rsid w:val="00635BD7"/>
    <w:rsid w:val="00635CBA"/>
    <w:rsid w:val="0063654E"/>
    <w:rsid w:val="0064338B"/>
    <w:rsid w:val="00646542"/>
    <w:rsid w:val="006500A8"/>
    <w:rsid w:val="006504F4"/>
    <w:rsid w:val="00654BC9"/>
    <w:rsid w:val="006552FD"/>
    <w:rsid w:val="00656375"/>
    <w:rsid w:val="0066095C"/>
    <w:rsid w:val="0066121F"/>
    <w:rsid w:val="00663AF3"/>
    <w:rsid w:val="006665FA"/>
    <w:rsid w:val="00666B6C"/>
    <w:rsid w:val="00667CCB"/>
    <w:rsid w:val="00675750"/>
    <w:rsid w:val="00676265"/>
    <w:rsid w:val="00682682"/>
    <w:rsid w:val="00682702"/>
    <w:rsid w:val="00683FE7"/>
    <w:rsid w:val="00684F89"/>
    <w:rsid w:val="006879CE"/>
    <w:rsid w:val="00692368"/>
    <w:rsid w:val="00692E51"/>
    <w:rsid w:val="00697EF5"/>
    <w:rsid w:val="006A2EBC"/>
    <w:rsid w:val="006A5EA0"/>
    <w:rsid w:val="006A783B"/>
    <w:rsid w:val="006A7B33"/>
    <w:rsid w:val="006B1CD6"/>
    <w:rsid w:val="006B4E13"/>
    <w:rsid w:val="006B75DD"/>
    <w:rsid w:val="006C157D"/>
    <w:rsid w:val="006C67E0"/>
    <w:rsid w:val="006C7ABA"/>
    <w:rsid w:val="006C7F80"/>
    <w:rsid w:val="006D0D60"/>
    <w:rsid w:val="006D1122"/>
    <w:rsid w:val="006D3C00"/>
    <w:rsid w:val="006D4209"/>
    <w:rsid w:val="006D6E6E"/>
    <w:rsid w:val="006E2851"/>
    <w:rsid w:val="006E3675"/>
    <w:rsid w:val="006E4A7F"/>
    <w:rsid w:val="006F0412"/>
    <w:rsid w:val="006F191F"/>
    <w:rsid w:val="006F1F61"/>
    <w:rsid w:val="006F3C63"/>
    <w:rsid w:val="006F542E"/>
    <w:rsid w:val="006F599C"/>
    <w:rsid w:val="00704DF6"/>
    <w:rsid w:val="00705C79"/>
    <w:rsid w:val="00705FD1"/>
    <w:rsid w:val="0070651C"/>
    <w:rsid w:val="007132A3"/>
    <w:rsid w:val="00716421"/>
    <w:rsid w:val="007169CE"/>
    <w:rsid w:val="00717FF4"/>
    <w:rsid w:val="00722BFE"/>
    <w:rsid w:val="00724EFB"/>
    <w:rsid w:val="00727ADE"/>
    <w:rsid w:val="00740523"/>
    <w:rsid w:val="007419C3"/>
    <w:rsid w:val="00742059"/>
    <w:rsid w:val="007467A7"/>
    <w:rsid w:val="007469DD"/>
    <w:rsid w:val="0074741B"/>
    <w:rsid w:val="0074759E"/>
    <w:rsid w:val="007478EA"/>
    <w:rsid w:val="00747E3E"/>
    <w:rsid w:val="00747F24"/>
    <w:rsid w:val="0075415C"/>
    <w:rsid w:val="00754A28"/>
    <w:rsid w:val="007609B0"/>
    <w:rsid w:val="00761529"/>
    <w:rsid w:val="007626C0"/>
    <w:rsid w:val="00763502"/>
    <w:rsid w:val="00764F0B"/>
    <w:rsid w:val="007752B2"/>
    <w:rsid w:val="007757E7"/>
    <w:rsid w:val="00777C75"/>
    <w:rsid w:val="00785BDC"/>
    <w:rsid w:val="00787F02"/>
    <w:rsid w:val="007913AB"/>
    <w:rsid w:val="007914F7"/>
    <w:rsid w:val="00793971"/>
    <w:rsid w:val="007A0A45"/>
    <w:rsid w:val="007A3175"/>
    <w:rsid w:val="007A493C"/>
    <w:rsid w:val="007A71A1"/>
    <w:rsid w:val="007B1625"/>
    <w:rsid w:val="007B1BFC"/>
    <w:rsid w:val="007B1E93"/>
    <w:rsid w:val="007B240D"/>
    <w:rsid w:val="007B706E"/>
    <w:rsid w:val="007B71EB"/>
    <w:rsid w:val="007C049F"/>
    <w:rsid w:val="007C53AF"/>
    <w:rsid w:val="007C6205"/>
    <w:rsid w:val="007C686A"/>
    <w:rsid w:val="007C728E"/>
    <w:rsid w:val="007C743D"/>
    <w:rsid w:val="007C7A73"/>
    <w:rsid w:val="007D235E"/>
    <w:rsid w:val="007D2C53"/>
    <w:rsid w:val="007D3D60"/>
    <w:rsid w:val="007D69A0"/>
    <w:rsid w:val="007D7B0A"/>
    <w:rsid w:val="007D7CBA"/>
    <w:rsid w:val="007E1980"/>
    <w:rsid w:val="007E4935"/>
    <w:rsid w:val="007E4B76"/>
    <w:rsid w:val="007E5EA8"/>
    <w:rsid w:val="007E6D3D"/>
    <w:rsid w:val="007F0CF1"/>
    <w:rsid w:val="007F12A5"/>
    <w:rsid w:val="007F4CF1"/>
    <w:rsid w:val="007F5119"/>
    <w:rsid w:val="007F756C"/>
    <w:rsid w:val="007F758D"/>
    <w:rsid w:val="007F7D52"/>
    <w:rsid w:val="00801391"/>
    <w:rsid w:val="008057F5"/>
    <w:rsid w:val="0080654C"/>
    <w:rsid w:val="008071C6"/>
    <w:rsid w:val="0081148F"/>
    <w:rsid w:val="008163A2"/>
    <w:rsid w:val="00817A00"/>
    <w:rsid w:val="00820108"/>
    <w:rsid w:val="0082193B"/>
    <w:rsid w:val="00823986"/>
    <w:rsid w:val="008253C8"/>
    <w:rsid w:val="008303BE"/>
    <w:rsid w:val="00832C90"/>
    <w:rsid w:val="008333C3"/>
    <w:rsid w:val="00834881"/>
    <w:rsid w:val="0083596B"/>
    <w:rsid w:val="00835BF0"/>
    <w:rsid w:val="00835DB3"/>
    <w:rsid w:val="0083617B"/>
    <w:rsid w:val="008371BD"/>
    <w:rsid w:val="008444F3"/>
    <w:rsid w:val="00847087"/>
    <w:rsid w:val="008504A8"/>
    <w:rsid w:val="0085282E"/>
    <w:rsid w:val="008537D5"/>
    <w:rsid w:val="00856D07"/>
    <w:rsid w:val="00860699"/>
    <w:rsid w:val="00862FF0"/>
    <w:rsid w:val="00866F2F"/>
    <w:rsid w:val="0086795F"/>
    <w:rsid w:val="0087198C"/>
    <w:rsid w:val="00872443"/>
    <w:rsid w:val="00872C1F"/>
    <w:rsid w:val="00873B42"/>
    <w:rsid w:val="00877155"/>
    <w:rsid w:val="008856D8"/>
    <w:rsid w:val="008862EE"/>
    <w:rsid w:val="008867B7"/>
    <w:rsid w:val="00891BE5"/>
    <w:rsid w:val="00892E82"/>
    <w:rsid w:val="00893192"/>
    <w:rsid w:val="00894502"/>
    <w:rsid w:val="00896992"/>
    <w:rsid w:val="008974F4"/>
    <w:rsid w:val="00897C77"/>
    <w:rsid w:val="008A1F34"/>
    <w:rsid w:val="008A2450"/>
    <w:rsid w:val="008A7B3D"/>
    <w:rsid w:val="008B1618"/>
    <w:rsid w:val="008B37F7"/>
    <w:rsid w:val="008B3DF8"/>
    <w:rsid w:val="008C001A"/>
    <w:rsid w:val="008C1B58"/>
    <w:rsid w:val="008C21C3"/>
    <w:rsid w:val="008C39AE"/>
    <w:rsid w:val="008C590D"/>
    <w:rsid w:val="008C7B16"/>
    <w:rsid w:val="008D06F1"/>
    <w:rsid w:val="008D19EB"/>
    <w:rsid w:val="008D306B"/>
    <w:rsid w:val="008D6B5A"/>
    <w:rsid w:val="008E031B"/>
    <w:rsid w:val="008E2798"/>
    <w:rsid w:val="008E62BA"/>
    <w:rsid w:val="008E7029"/>
    <w:rsid w:val="008E7EF6"/>
    <w:rsid w:val="008F1F98"/>
    <w:rsid w:val="008F5C00"/>
    <w:rsid w:val="008F6758"/>
    <w:rsid w:val="009040DD"/>
    <w:rsid w:val="00904A68"/>
    <w:rsid w:val="00905B47"/>
    <w:rsid w:val="00905D0F"/>
    <w:rsid w:val="009066BD"/>
    <w:rsid w:val="00911C9F"/>
    <w:rsid w:val="00912EAC"/>
    <w:rsid w:val="0091331C"/>
    <w:rsid w:val="00913E17"/>
    <w:rsid w:val="0091435F"/>
    <w:rsid w:val="009145C1"/>
    <w:rsid w:val="00916991"/>
    <w:rsid w:val="009213DF"/>
    <w:rsid w:val="00923A0A"/>
    <w:rsid w:val="009279DE"/>
    <w:rsid w:val="00930116"/>
    <w:rsid w:val="00933366"/>
    <w:rsid w:val="0093672E"/>
    <w:rsid w:val="009402A8"/>
    <w:rsid w:val="0094212C"/>
    <w:rsid w:val="0095357C"/>
    <w:rsid w:val="00954689"/>
    <w:rsid w:val="0095567D"/>
    <w:rsid w:val="00961159"/>
    <w:rsid w:val="009617C9"/>
    <w:rsid w:val="00961844"/>
    <w:rsid w:val="00961C93"/>
    <w:rsid w:val="00965324"/>
    <w:rsid w:val="009678C6"/>
    <w:rsid w:val="0097091E"/>
    <w:rsid w:val="009760D3"/>
    <w:rsid w:val="009762F8"/>
    <w:rsid w:val="009768C2"/>
    <w:rsid w:val="00976A43"/>
    <w:rsid w:val="00977132"/>
    <w:rsid w:val="00981A4B"/>
    <w:rsid w:val="00982501"/>
    <w:rsid w:val="009875A2"/>
    <w:rsid w:val="009877D3"/>
    <w:rsid w:val="00992C03"/>
    <w:rsid w:val="009933D3"/>
    <w:rsid w:val="00994E8F"/>
    <w:rsid w:val="009951DC"/>
    <w:rsid w:val="009959BB"/>
    <w:rsid w:val="00997158"/>
    <w:rsid w:val="00997384"/>
    <w:rsid w:val="009A27BF"/>
    <w:rsid w:val="009A2FBA"/>
    <w:rsid w:val="009A3A7C"/>
    <w:rsid w:val="009B2ADB"/>
    <w:rsid w:val="009B2ADD"/>
    <w:rsid w:val="009B53D3"/>
    <w:rsid w:val="009B5EE9"/>
    <w:rsid w:val="009B603A"/>
    <w:rsid w:val="009B6393"/>
    <w:rsid w:val="009C200C"/>
    <w:rsid w:val="009C2891"/>
    <w:rsid w:val="009C2D0E"/>
    <w:rsid w:val="009C3DAC"/>
    <w:rsid w:val="009C42E0"/>
    <w:rsid w:val="009C63D1"/>
    <w:rsid w:val="009C668C"/>
    <w:rsid w:val="009D5362"/>
    <w:rsid w:val="009D559F"/>
    <w:rsid w:val="009D6A73"/>
    <w:rsid w:val="009E1415"/>
    <w:rsid w:val="009E6116"/>
    <w:rsid w:val="009E6B92"/>
    <w:rsid w:val="009F29A0"/>
    <w:rsid w:val="009F2DE9"/>
    <w:rsid w:val="009F6FFC"/>
    <w:rsid w:val="00A02E43"/>
    <w:rsid w:val="00A065F9"/>
    <w:rsid w:val="00A07F34"/>
    <w:rsid w:val="00A211B7"/>
    <w:rsid w:val="00A22154"/>
    <w:rsid w:val="00A230EB"/>
    <w:rsid w:val="00A2446C"/>
    <w:rsid w:val="00A25C38"/>
    <w:rsid w:val="00A2606F"/>
    <w:rsid w:val="00A3109C"/>
    <w:rsid w:val="00A36BBE"/>
    <w:rsid w:val="00A4307A"/>
    <w:rsid w:val="00A45F44"/>
    <w:rsid w:val="00A45FBB"/>
    <w:rsid w:val="00A47EBB"/>
    <w:rsid w:val="00A50BAC"/>
    <w:rsid w:val="00A51CDD"/>
    <w:rsid w:val="00A56E06"/>
    <w:rsid w:val="00A60FD5"/>
    <w:rsid w:val="00A649AC"/>
    <w:rsid w:val="00A6730D"/>
    <w:rsid w:val="00A71625"/>
    <w:rsid w:val="00A71B9B"/>
    <w:rsid w:val="00A720C9"/>
    <w:rsid w:val="00A73CE2"/>
    <w:rsid w:val="00A751C7"/>
    <w:rsid w:val="00A759E1"/>
    <w:rsid w:val="00A76338"/>
    <w:rsid w:val="00A82945"/>
    <w:rsid w:val="00A87844"/>
    <w:rsid w:val="00A9044D"/>
    <w:rsid w:val="00A950D3"/>
    <w:rsid w:val="00A96662"/>
    <w:rsid w:val="00AA038C"/>
    <w:rsid w:val="00AA3B15"/>
    <w:rsid w:val="00AA3F89"/>
    <w:rsid w:val="00AA7A09"/>
    <w:rsid w:val="00AB1279"/>
    <w:rsid w:val="00AB3B50"/>
    <w:rsid w:val="00AB626B"/>
    <w:rsid w:val="00AB6447"/>
    <w:rsid w:val="00AB6CEF"/>
    <w:rsid w:val="00AB7DAD"/>
    <w:rsid w:val="00AC00C9"/>
    <w:rsid w:val="00AC04F4"/>
    <w:rsid w:val="00AC05B1"/>
    <w:rsid w:val="00AC394C"/>
    <w:rsid w:val="00AD0032"/>
    <w:rsid w:val="00AD356C"/>
    <w:rsid w:val="00AD586C"/>
    <w:rsid w:val="00AD6FD0"/>
    <w:rsid w:val="00AE2914"/>
    <w:rsid w:val="00AE6D15"/>
    <w:rsid w:val="00AF2958"/>
    <w:rsid w:val="00AF5D6B"/>
    <w:rsid w:val="00B02EE9"/>
    <w:rsid w:val="00B04182"/>
    <w:rsid w:val="00B063E8"/>
    <w:rsid w:val="00B07AE3"/>
    <w:rsid w:val="00B11430"/>
    <w:rsid w:val="00B1315F"/>
    <w:rsid w:val="00B13EE5"/>
    <w:rsid w:val="00B24290"/>
    <w:rsid w:val="00B251F5"/>
    <w:rsid w:val="00B27303"/>
    <w:rsid w:val="00B353EB"/>
    <w:rsid w:val="00B35923"/>
    <w:rsid w:val="00B400E6"/>
    <w:rsid w:val="00B4172F"/>
    <w:rsid w:val="00B43699"/>
    <w:rsid w:val="00B439C4"/>
    <w:rsid w:val="00B44CB2"/>
    <w:rsid w:val="00B4535E"/>
    <w:rsid w:val="00B455DB"/>
    <w:rsid w:val="00B52A8C"/>
    <w:rsid w:val="00B54442"/>
    <w:rsid w:val="00B636A8"/>
    <w:rsid w:val="00B665C6"/>
    <w:rsid w:val="00B66F75"/>
    <w:rsid w:val="00B703A0"/>
    <w:rsid w:val="00B728F8"/>
    <w:rsid w:val="00B75175"/>
    <w:rsid w:val="00B77BA4"/>
    <w:rsid w:val="00B805AF"/>
    <w:rsid w:val="00B82525"/>
    <w:rsid w:val="00B869EC"/>
    <w:rsid w:val="00B9065E"/>
    <w:rsid w:val="00B91C95"/>
    <w:rsid w:val="00B92024"/>
    <w:rsid w:val="00B9397A"/>
    <w:rsid w:val="00B946DB"/>
    <w:rsid w:val="00B9633D"/>
    <w:rsid w:val="00BA2EBE"/>
    <w:rsid w:val="00BA3CF5"/>
    <w:rsid w:val="00BA6DB3"/>
    <w:rsid w:val="00BA731F"/>
    <w:rsid w:val="00BB0856"/>
    <w:rsid w:val="00BB0F28"/>
    <w:rsid w:val="00BB458A"/>
    <w:rsid w:val="00BB7ED4"/>
    <w:rsid w:val="00BC301F"/>
    <w:rsid w:val="00BC5511"/>
    <w:rsid w:val="00BC5D4E"/>
    <w:rsid w:val="00BD00D3"/>
    <w:rsid w:val="00BD0E84"/>
    <w:rsid w:val="00BD1659"/>
    <w:rsid w:val="00BD3AA9"/>
    <w:rsid w:val="00BD4A18"/>
    <w:rsid w:val="00BD5D05"/>
    <w:rsid w:val="00BD6DB2"/>
    <w:rsid w:val="00BD7340"/>
    <w:rsid w:val="00BE11CF"/>
    <w:rsid w:val="00BE21AB"/>
    <w:rsid w:val="00BE55CB"/>
    <w:rsid w:val="00BF24D2"/>
    <w:rsid w:val="00BF421B"/>
    <w:rsid w:val="00BF617A"/>
    <w:rsid w:val="00BF7A48"/>
    <w:rsid w:val="00C00763"/>
    <w:rsid w:val="00C03694"/>
    <w:rsid w:val="00C0379D"/>
    <w:rsid w:val="00C03931"/>
    <w:rsid w:val="00C05FE3"/>
    <w:rsid w:val="00C12627"/>
    <w:rsid w:val="00C2136D"/>
    <w:rsid w:val="00C214EE"/>
    <w:rsid w:val="00C2314B"/>
    <w:rsid w:val="00C24971"/>
    <w:rsid w:val="00C2583E"/>
    <w:rsid w:val="00C26BE5"/>
    <w:rsid w:val="00C26E4D"/>
    <w:rsid w:val="00C27909"/>
    <w:rsid w:val="00C27B03"/>
    <w:rsid w:val="00C314E1"/>
    <w:rsid w:val="00C33DBF"/>
    <w:rsid w:val="00C34397"/>
    <w:rsid w:val="00C34A9C"/>
    <w:rsid w:val="00C35019"/>
    <w:rsid w:val="00C4095D"/>
    <w:rsid w:val="00C41DE3"/>
    <w:rsid w:val="00C43409"/>
    <w:rsid w:val="00C44D2B"/>
    <w:rsid w:val="00C463B1"/>
    <w:rsid w:val="00C47ABA"/>
    <w:rsid w:val="00C505B0"/>
    <w:rsid w:val="00C50BCF"/>
    <w:rsid w:val="00C54F02"/>
    <w:rsid w:val="00C54F83"/>
    <w:rsid w:val="00C601D2"/>
    <w:rsid w:val="00C60607"/>
    <w:rsid w:val="00C6198B"/>
    <w:rsid w:val="00C65B91"/>
    <w:rsid w:val="00C65BCC"/>
    <w:rsid w:val="00C66970"/>
    <w:rsid w:val="00C6763F"/>
    <w:rsid w:val="00C71435"/>
    <w:rsid w:val="00C72171"/>
    <w:rsid w:val="00C80189"/>
    <w:rsid w:val="00C81556"/>
    <w:rsid w:val="00C823A3"/>
    <w:rsid w:val="00C823E9"/>
    <w:rsid w:val="00C82B1E"/>
    <w:rsid w:val="00C8691C"/>
    <w:rsid w:val="00C93CF4"/>
    <w:rsid w:val="00CA168A"/>
    <w:rsid w:val="00CA357E"/>
    <w:rsid w:val="00CA3B91"/>
    <w:rsid w:val="00CA44F9"/>
    <w:rsid w:val="00CA4A69"/>
    <w:rsid w:val="00CA7C53"/>
    <w:rsid w:val="00CB1C53"/>
    <w:rsid w:val="00CB438A"/>
    <w:rsid w:val="00CB4EA0"/>
    <w:rsid w:val="00CB607C"/>
    <w:rsid w:val="00CC03A6"/>
    <w:rsid w:val="00CC3E0C"/>
    <w:rsid w:val="00CC58D3"/>
    <w:rsid w:val="00CC784D"/>
    <w:rsid w:val="00CD0561"/>
    <w:rsid w:val="00CD3025"/>
    <w:rsid w:val="00CD4E91"/>
    <w:rsid w:val="00CE12FB"/>
    <w:rsid w:val="00CE3704"/>
    <w:rsid w:val="00CE581F"/>
    <w:rsid w:val="00CF0105"/>
    <w:rsid w:val="00CF1FF8"/>
    <w:rsid w:val="00CF51D0"/>
    <w:rsid w:val="00CF6F58"/>
    <w:rsid w:val="00CF737C"/>
    <w:rsid w:val="00D0130F"/>
    <w:rsid w:val="00D0337B"/>
    <w:rsid w:val="00D04A40"/>
    <w:rsid w:val="00D069EA"/>
    <w:rsid w:val="00D079B2"/>
    <w:rsid w:val="00D07A73"/>
    <w:rsid w:val="00D114E9"/>
    <w:rsid w:val="00D12347"/>
    <w:rsid w:val="00D12E96"/>
    <w:rsid w:val="00D149D2"/>
    <w:rsid w:val="00D34942"/>
    <w:rsid w:val="00D34E76"/>
    <w:rsid w:val="00D42195"/>
    <w:rsid w:val="00D429C6"/>
    <w:rsid w:val="00D435A9"/>
    <w:rsid w:val="00D47748"/>
    <w:rsid w:val="00D51B21"/>
    <w:rsid w:val="00D54CC3"/>
    <w:rsid w:val="00D6041A"/>
    <w:rsid w:val="00D609C4"/>
    <w:rsid w:val="00D62AC9"/>
    <w:rsid w:val="00D633EB"/>
    <w:rsid w:val="00D63AA6"/>
    <w:rsid w:val="00D64B73"/>
    <w:rsid w:val="00D75BF1"/>
    <w:rsid w:val="00D80B1E"/>
    <w:rsid w:val="00D818F1"/>
    <w:rsid w:val="00D82FF7"/>
    <w:rsid w:val="00D847FE"/>
    <w:rsid w:val="00D85AFE"/>
    <w:rsid w:val="00D86BF5"/>
    <w:rsid w:val="00D86E07"/>
    <w:rsid w:val="00D92FCB"/>
    <w:rsid w:val="00D9463B"/>
    <w:rsid w:val="00D964EA"/>
    <w:rsid w:val="00D966D0"/>
    <w:rsid w:val="00DA0C59"/>
    <w:rsid w:val="00DA2B0C"/>
    <w:rsid w:val="00DA3991"/>
    <w:rsid w:val="00DA6E49"/>
    <w:rsid w:val="00DA7183"/>
    <w:rsid w:val="00DA727D"/>
    <w:rsid w:val="00DB0F62"/>
    <w:rsid w:val="00DB161B"/>
    <w:rsid w:val="00DB5A98"/>
    <w:rsid w:val="00DB7E6C"/>
    <w:rsid w:val="00DC0407"/>
    <w:rsid w:val="00DD4A42"/>
    <w:rsid w:val="00DD5A29"/>
    <w:rsid w:val="00DD5D9D"/>
    <w:rsid w:val="00DD6E2B"/>
    <w:rsid w:val="00DE1511"/>
    <w:rsid w:val="00DE1B94"/>
    <w:rsid w:val="00DE35CB"/>
    <w:rsid w:val="00DE3ABA"/>
    <w:rsid w:val="00DE3F60"/>
    <w:rsid w:val="00DE543E"/>
    <w:rsid w:val="00DE6869"/>
    <w:rsid w:val="00DF21E9"/>
    <w:rsid w:val="00E00F14"/>
    <w:rsid w:val="00E06386"/>
    <w:rsid w:val="00E06500"/>
    <w:rsid w:val="00E0667D"/>
    <w:rsid w:val="00E10066"/>
    <w:rsid w:val="00E15E3E"/>
    <w:rsid w:val="00E17722"/>
    <w:rsid w:val="00E24427"/>
    <w:rsid w:val="00E24EB4"/>
    <w:rsid w:val="00E2640A"/>
    <w:rsid w:val="00E320ED"/>
    <w:rsid w:val="00E33AFB"/>
    <w:rsid w:val="00E34218"/>
    <w:rsid w:val="00E37B6D"/>
    <w:rsid w:val="00E41D93"/>
    <w:rsid w:val="00E446B9"/>
    <w:rsid w:val="00E46282"/>
    <w:rsid w:val="00E5088C"/>
    <w:rsid w:val="00E5216E"/>
    <w:rsid w:val="00E52DAF"/>
    <w:rsid w:val="00E54C1B"/>
    <w:rsid w:val="00E605A4"/>
    <w:rsid w:val="00E615EA"/>
    <w:rsid w:val="00E623B4"/>
    <w:rsid w:val="00E62521"/>
    <w:rsid w:val="00E62EBC"/>
    <w:rsid w:val="00E726A7"/>
    <w:rsid w:val="00E73ECE"/>
    <w:rsid w:val="00E749BB"/>
    <w:rsid w:val="00E752C7"/>
    <w:rsid w:val="00E76E43"/>
    <w:rsid w:val="00E811E3"/>
    <w:rsid w:val="00E82344"/>
    <w:rsid w:val="00E84C82"/>
    <w:rsid w:val="00E84D64"/>
    <w:rsid w:val="00E85334"/>
    <w:rsid w:val="00E87408"/>
    <w:rsid w:val="00E90E02"/>
    <w:rsid w:val="00E914C4"/>
    <w:rsid w:val="00E934F5"/>
    <w:rsid w:val="00E95716"/>
    <w:rsid w:val="00E957EF"/>
    <w:rsid w:val="00E95BBF"/>
    <w:rsid w:val="00E96961"/>
    <w:rsid w:val="00EA1883"/>
    <w:rsid w:val="00EA72EC"/>
    <w:rsid w:val="00EB0CED"/>
    <w:rsid w:val="00EB11CB"/>
    <w:rsid w:val="00EB275A"/>
    <w:rsid w:val="00EB6007"/>
    <w:rsid w:val="00EB786A"/>
    <w:rsid w:val="00EC0AEC"/>
    <w:rsid w:val="00EC1578"/>
    <w:rsid w:val="00EC1C72"/>
    <w:rsid w:val="00EC28E9"/>
    <w:rsid w:val="00EC35C0"/>
    <w:rsid w:val="00EC3CC9"/>
    <w:rsid w:val="00EC4381"/>
    <w:rsid w:val="00EC680A"/>
    <w:rsid w:val="00EC79CD"/>
    <w:rsid w:val="00ED363B"/>
    <w:rsid w:val="00ED6B9B"/>
    <w:rsid w:val="00EE0CBB"/>
    <w:rsid w:val="00EE2180"/>
    <w:rsid w:val="00EE2BED"/>
    <w:rsid w:val="00EE35A8"/>
    <w:rsid w:val="00EE374B"/>
    <w:rsid w:val="00EE6DE1"/>
    <w:rsid w:val="00EF194E"/>
    <w:rsid w:val="00EF6B3D"/>
    <w:rsid w:val="00F00AB2"/>
    <w:rsid w:val="00F02843"/>
    <w:rsid w:val="00F1174D"/>
    <w:rsid w:val="00F11BB5"/>
    <w:rsid w:val="00F13F5B"/>
    <w:rsid w:val="00F1417B"/>
    <w:rsid w:val="00F20680"/>
    <w:rsid w:val="00F23950"/>
    <w:rsid w:val="00F26ACE"/>
    <w:rsid w:val="00F337E6"/>
    <w:rsid w:val="00F3469F"/>
    <w:rsid w:val="00F34B99"/>
    <w:rsid w:val="00F34DE3"/>
    <w:rsid w:val="00F46F69"/>
    <w:rsid w:val="00F52DAB"/>
    <w:rsid w:val="00F543F0"/>
    <w:rsid w:val="00F56E77"/>
    <w:rsid w:val="00F578B7"/>
    <w:rsid w:val="00F635AF"/>
    <w:rsid w:val="00F763F2"/>
    <w:rsid w:val="00F81D29"/>
    <w:rsid w:val="00F84E33"/>
    <w:rsid w:val="00F85B87"/>
    <w:rsid w:val="00F91C4D"/>
    <w:rsid w:val="00F924EF"/>
    <w:rsid w:val="00F92888"/>
    <w:rsid w:val="00F92FD9"/>
    <w:rsid w:val="00F94469"/>
    <w:rsid w:val="00F95DD1"/>
    <w:rsid w:val="00F96CD3"/>
    <w:rsid w:val="00F96F86"/>
    <w:rsid w:val="00FA0C51"/>
    <w:rsid w:val="00FA29F8"/>
    <w:rsid w:val="00FA6684"/>
    <w:rsid w:val="00FA731E"/>
    <w:rsid w:val="00FB2B38"/>
    <w:rsid w:val="00FB3BAE"/>
    <w:rsid w:val="00FB4869"/>
    <w:rsid w:val="00FC6358"/>
    <w:rsid w:val="00FC79B1"/>
    <w:rsid w:val="00FD320D"/>
    <w:rsid w:val="00FD5B30"/>
    <w:rsid w:val="00FD711A"/>
    <w:rsid w:val="00FE23DE"/>
    <w:rsid w:val="00FE515E"/>
    <w:rsid w:val="00FE521D"/>
    <w:rsid w:val="00FE6F69"/>
    <w:rsid w:val="00FF6573"/>
    <w:rsid w:val="16D43F08"/>
    <w:rsid w:val="31B92038"/>
    <w:rsid w:val="425511BF"/>
    <w:rsid w:val="436E6B44"/>
    <w:rsid w:val="44C60C1B"/>
    <w:rsid w:val="45627609"/>
    <w:rsid w:val="48535CF8"/>
    <w:rsid w:val="56294965"/>
    <w:rsid w:val="5CAB2D36"/>
    <w:rsid w:val="5E227388"/>
    <w:rsid w:val="6373324E"/>
    <w:rsid w:val="6ADF1954"/>
    <w:rsid w:val="6B25619F"/>
    <w:rsid w:val="7DC727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1875"/>
      </w:tabs>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2"/>
    <w:semiHidden/>
    <w:unhideWhenUsed/>
    <w:qFormat/>
    <w:uiPriority w:val="0"/>
    <w:pPr>
      <w:keepNext/>
      <w:keepLines/>
      <w:spacing w:before="260" w:after="260" w:line="416" w:lineRule="auto"/>
      <w:outlineLvl w:val="2"/>
    </w:pPr>
    <w:rPr>
      <w:b/>
      <w:bCs/>
      <w:sz w:val="32"/>
      <w:szCs w:val="3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0"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154"/>
    <w:semiHidden/>
    <w:unhideWhenUsed/>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39"/>
    <w:pPr>
      <w:tabs>
        <w:tab w:val="right" w:leader="dot" w:pos="9241"/>
      </w:tabs>
      <w:ind w:firstLine="100"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Date"/>
    <w:basedOn w:val="1"/>
    <w:next w:val="1"/>
    <w:link w:val="159"/>
    <w:semiHidden/>
    <w:unhideWhenUsed/>
    <w:qFormat/>
    <w:uiPriority w:val="0"/>
    <w:pPr>
      <w:ind w:left="100" w:leftChars="2500"/>
    </w:pPr>
  </w:style>
  <w:style w:type="paragraph" w:styleId="18">
    <w:name w:val="endnote text"/>
    <w:basedOn w:val="1"/>
    <w:semiHidden/>
    <w:qFormat/>
    <w:uiPriority w:val="0"/>
    <w:pPr>
      <w:snapToGrid w:val="0"/>
      <w:jc w:val="left"/>
    </w:pPr>
  </w:style>
  <w:style w:type="paragraph" w:styleId="19">
    <w:name w:val="Balloon Text"/>
    <w:basedOn w:val="1"/>
    <w:link w:val="151"/>
    <w:qFormat/>
    <w:uiPriority w:val="0"/>
    <w:rPr>
      <w:sz w:val="18"/>
      <w:szCs w:val="18"/>
    </w:rPr>
  </w:style>
  <w:style w:type="paragraph" w:styleId="20">
    <w:name w:val="footer"/>
    <w:basedOn w:val="1"/>
    <w:link w:val="152"/>
    <w:qFormat/>
    <w:uiPriority w:val="99"/>
    <w:pPr>
      <w:snapToGrid w:val="0"/>
      <w:ind w:right="210" w:rightChars="100"/>
      <w:jc w:val="right"/>
    </w:pPr>
    <w:rPr>
      <w:sz w:val="18"/>
      <w:szCs w:val="18"/>
    </w:rPr>
  </w:style>
  <w:style w:type="paragraph" w:styleId="21">
    <w:name w:val="header"/>
    <w:basedOn w:val="1"/>
    <w:link w:val="157"/>
    <w:qFormat/>
    <w:uiPriority w:val="99"/>
    <w:pPr>
      <w:snapToGrid w:val="0"/>
      <w:jc w:val="left"/>
    </w:pPr>
    <w:rPr>
      <w:sz w:val="18"/>
      <w:szCs w:val="18"/>
    </w:rPr>
  </w:style>
  <w:style w:type="paragraph" w:styleId="22">
    <w:name w:val="toc 1"/>
    <w:basedOn w:val="1"/>
    <w:next w:val="1"/>
    <w:qFormat/>
    <w:uiPriority w:val="39"/>
    <w:pPr>
      <w:tabs>
        <w:tab w:val="right" w:leader="dot" w:pos="9242"/>
      </w:tabs>
      <w:spacing w:beforeLines="25" w:afterLines="25"/>
      <w:jc w:val="left"/>
    </w:pPr>
    <w:rPr>
      <w:rFonts w:ascii="宋体"/>
      <w:szCs w:val="21"/>
    </w:rPr>
  </w:style>
  <w:style w:type="paragraph" w:styleId="23">
    <w:name w:val="toc 4"/>
    <w:basedOn w:val="1"/>
    <w:next w:val="1"/>
    <w:semiHidden/>
    <w:qFormat/>
    <w:uiPriority w:val="0"/>
    <w:pPr>
      <w:tabs>
        <w:tab w:val="right" w:leader="dot" w:pos="9241"/>
      </w:tabs>
      <w:ind w:firstLine="200" w:firstLineChars="200"/>
      <w:jc w:val="left"/>
    </w:pPr>
    <w:rPr>
      <w:rFonts w:ascii="宋体"/>
      <w:szCs w:val="21"/>
    </w:rPr>
  </w:style>
  <w:style w:type="paragraph" w:styleId="24">
    <w:name w:val="index heading"/>
    <w:basedOn w:val="1"/>
    <w:next w:val="25"/>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qFormat/>
    <w:uiPriority w:val="0"/>
    <w:pPr>
      <w:numPr>
        <w:ilvl w:val="0"/>
        <w:numId w:val="1"/>
      </w:numPr>
      <w:snapToGrid w:val="0"/>
      <w:jc w:val="left"/>
    </w:pPr>
    <w:rPr>
      <w:rFonts w:ascii="宋体"/>
      <w:sz w:val="18"/>
      <w:szCs w:val="18"/>
    </w:rPr>
  </w:style>
  <w:style w:type="paragraph" w:styleId="28">
    <w:name w:val="toc 6"/>
    <w:basedOn w:val="1"/>
    <w:next w:val="1"/>
    <w:semiHidden/>
    <w:qFormat/>
    <w:uiPriority w:val="0"/>
    <w:pPr>
      <w:tabs>
        <w:tab w:val="right" w:leader="dot" w:pos="9241"/>
      </w:tabs>
      <w:ind w:firstLine="400" w:firstLineChars="400"/>
      <w:jc w:val="left"/>
    </w:pPr>
    <w:rPr>
      <w:rFonts w:ascii="宋体"/>
      <w:szCs w:val="21"/>
    </w:rPr>
  </w:style>
  <w:style w:type="paragraph" w:styleId="29">
    <w:name w:val="index 7"/>
    <w:basedOn w:val="1"/>
    <w:next w:val="1"/>
    <w:qFormat/>
    <w:uiPriority w:val="0"/>
    <w:pPr>
      <w:ind w:left="1470" w:hanging="210"/>
      <w:jc w:val="left"/>
    </w:pPr>
    <w:rPr>
      <w:rFonts w:ascii="Calibri" w:hAnsi="Calibri"/>
      <w:sz w:val="20"/>
      <w:szCs w:val="20"/>
    </w:rPr>
  </w:style>
  <w:style w:type="paragraph" w:styleId="30">
    <w:name w:val="index 9"/>
    <w:basedOn w:val="1"/>
    <w:next w:val="1"/>
    <w:qFormat/>
    <w:uiPriority w:val="0"/>
    <w:pPr>
      <w:ind w:left="1890" w:hanging="210"/>
      <w:jc w:val="left"/>
    </w:pPr>
    <w:rPr>
      <w:rFonts w:ascii="Calibri" w:hAnsi="Calibri"/>
      <w:sz w:val="20"/>
      <w:szCs w:val="20"/>
    </w:rPr>
  </w:style>
  <w:style w:type="paragraph" w:styleId="31">
    <w:name w:val="toc 2"/>
    <w:basedOn w:val="1"/>
    <w:next w:val="1"/>
    <w:qFormat/>
    <w:uiPriority w:val="39"/>
    <w:pPr>
      <w:tabs>
        <w:tab w:val="right" w:leader="dot" w:pos="9242"/>
      </w:tabs>
    </w:pPr>
    <w:rPr>
      <w:rFonts w:ascii="宋体"/>
      <w:szCs w:val="21"/>
    </w:rPr>
  </w:style>
  <w:style w:type="paragraph" w:styleId="32">
    <w:name w:val="toc 9"/>
    <w:basedOn w:val="1"/>
    <w:next w:val="1"/>
    <w:semiHidden/>
    <w:qFormat/>
    <w:uiPriority w:val="0"/>
    <w:pPr>
      <w:ind w:left="1470"/>
      <w:jc w:val="left"/>
    </w:pPr>
    <w:rPr>
      <w:sz w:val="20"/>
      <w:szCs w:val="20"/>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10"/>
    <w:next w:val="10"/>
    <w:link w:val="155"/>
    <w:semiHidden/>
    <w:unhideWhenUsed/>
    <w:qFormat/>
    <w:uiPriority w:val="0"/>
    <w:rPr>
      <w:b/>
      <w:bCs/>
    </w:rPr>
  </w:style>
  <w:style w:type="table" w:styleId="36">
    <w:name w:val="Table Grid"/>
    <w:basedOn w:val="3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8">
    <w:name w:val="endnote reference"/>
    <w:basedOn w:val="37"/>
    <w:semiHidden/>
    <w:qFormat/>
    <w:uiPriority w:val="0"/>
    <w:rPr>
      <w:vertAlign w:val="superscript"/>
    </w:rPr>
  </w:style>
  <w:style w:type="character" w:styleId="39">
    <w:name w:val="page number"/>
    <w:basedOn w:val="37"/>
    <w:qFormat/>
    <w:uiPriority w:val="0"/>
    <w:rPr>
      <w:rFonts w:ascii="Times New Roman" w:hAnsi="Times New Roman" w:eastAsia="宋体"/>
      <w:sz w:val="18"/>
    </w:rPr>
  </w:style>
  <w:style w:type="character" w:styleId="40">
    <w:name w:val="FollowedHyperlink"/>
    <w:basedOn w:val="37"/>
    <w:qFormat/>
    <w:uiPriority w:val="0"/>
    <w:rPr>
      <w:color w:val="800080"/>
      <w:u w:val="single"/>
    </w:rPr>
  </w:style>
  <w:style w:type="character" w:styleId="41">
    <w:name w:val="Emphasis"/>
    <w:basedOn w:val="37"/>
    <w:qFormat/>
    <w:uiPriority w:val="20"/>
    <w:rPr>
      <w:i/>
      <w:iCs/>
    </w:rPr>
  </w:style>
  <w:style w:type="character" w:styleId="42">
    <w:name w:val="Hyperlink"/>
    <w:basedOn w:val="37"/>
    <w:qFormat/>
    <w:uiPriority w:val="99"/>
    <w:rPr>
      <w:color w:val="0000FF"/>
      <w:spacing w:val="0"/>
      <w:w w:val="100"/>
      <w:szCs w:val="21"/>
      <w:u w:val="single"/>
    </w:rPr>
  </w:style>
  <w:style w:type="character" w:styleId="43">
    <w:name w:val="annotation reference"/>
    <w:basedOn w:val="37"/>
    <w:semiHidden/>
    <w:unhideWhenUsed/>
    <w:qFormat/>
    <w:uiPriority w:val="0"/>
    <w:rPr>
      <w:sz w:val="21"/>
      <w:szCs w:val="21"/>
    </w:rPr>
  </w:style>
  <w:style w:type="character" w:styleId="44">
    <w:name w:val="footnote reference"/>
    <w:basedOn w:val="37"/>
    <w:semiHidden/>
    <w:qFormat/>
    <w:uiPriority w:val="0"/>
    <w:rPr>
      <w:vertAlign w:val="superscript"/>
    </w:rPr>
  </w:style>
  <w:style w:type="character" w:customStyle="1" w:styleId="45">
    <w:name w:val="段 Char"/>
    <w:basedOn w:val="37"/>
    <w:link w:val="26"/>
    <w:qFormat/>
    <w:uiPriority w:val="0"/>
    <w:rPr>
      <w:rFonts w:ascii="宋体"/>
      <w:sz w:val="21"/>
      <w:lang w:val="en-US" w:eastAsia="zh-CN" w:bidi="ar-SA"/>
    </w:rPr>
  </w:style>
  <w:style w:type="paragraph" w:customStyle="1" w:styleId="46">
    <w:name w:val="一级条标题"/>
    <w:next w:val="26"/>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章标题"/>
    <w:next w:val="26"/>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6"/>
    <w:next w:val="26"/>
    <w:qFormat/>
    <w:uiPriority w:val="0"/>
    <w:pPr>
      <w:numPr>
        <w:ilvl w:val="2"/>
      </w:numPr>
      <w:spacing w:before="50" w:after="50"/>
      <w:outlineLvl w:val="3"/>
    </w:p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三级条标题"/>
    <w:basedOn w:val="50"/>
    <w:next w:val="26"/>
    <w:qFormat/>
    <w:uiPriority w:val="0"/>
    <w:pPr>
      <w:numPr>
        <w:ilvl w:val="3"/>
      </w:numPr>
      <w:outlineLvl w:val="4"/>
    </w:pPr>
  </w:style>
  <w:style w:type="paragraph" w:customStyle="1" w:styleId="56">
    <w:name w:val="示例"/>
    <w:next w:val="57"/>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5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8">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59">
    <w:name w:val="四级条标题"/>
    <w:basedOn w:val="55"/>
    <w:next w:val="26"/>
    <w:qFormat/>
    <w:uiPriority w:val="0"/>
    <w:pPr>
      <w:numPr>
        <w:ilvl w:val="4"/>
      </w:numPr>
      <w:outlineLvl w:val="5"/>
    </w:pPr>
  </w:style>
  <w:style w:type="paragraph" w:customStyle="1" w:styleId="60">
    <w:name w:val="五级条标题"/>
    <w:basedOn w:val="59"/>
    <w:next w:val="26"/>
    <w:qFormat/>
    <w:uiPriority w:val="0"/>
    <w:pPr>
      <w:numPr>
        <w:ilvl w:val="5"/>
      </w:numPr>
      <w:outlineLvl w:val="6"/>
    </w:pPr>
  </w:style>
  <w:style w:type="paragraph" w:customStyle="1" w:styleId="61">
    <w:name w:val="注："/>
    <w:next w:val="26"/>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2">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3">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64">
    <w:name w:val="列项◆（三级）"/>
    <w:basedOn w:val="1"/>
    <w:qFormat/>
    <w:uiPriority w:val="0"/>
    <w:pPr>
      <w:numPr>
        <w:ilvl w:val="2"/>
        <w:numId w:val="3"/>
      </w:numPr>
    </w:pPr>
    <w:rPr>
      <w:rFonts w:ascii="宋体"/>
      <w:szCs w:val="21"/>
    </w:rPr>
  </w:style>
  <w:style w:type="paragraph" w:customStyle="1" w:styleId="65">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66">
    <w:name w:val="示例×："/>
    <w:basedOn w:val="49"/>
    <w:qFormat/>
    <w:uiPriority w:val="0"/>
    <w:pPr>
      <w:numPr>
        <w:numId w:val="0"/>
      </w:numPr>
      <w:spacing w:beforeLines="0" w:afterLines="0"/>
      <w:ind w:firstLine="363"/>
      <w:outlineLvl w:val="9"/>
    </w:pPr>
    <w:rPr>
      <w:rFonts w:ascii="宋体" w:eastAsia="宋体"/>
      <w:sz w:val="18"/>
      <w:szCs w:val="18"/>
    </w:rPr>
  </w:style>
  <w:style w:type="paragraph" w:customStyle="1" w:styleId="67">
    <w:name w:val="二级无"/>
    <w:basedOn w:val="50"/>
    <w:qFormat/>
    <w:uiPriority w:val="0"/>
    <w:pPr>
      <w:spacing w:beforeLines="0" w:afterLines="0"/>
    </w:pPr>
    <w:rPr>
      <w:rFonts w:ascii="宋体" w:eastAsia="宋体"/>
    </w:rPr>
  </w:style>
  <w:style w:type="paragraph" w:customStyle="1" w:styleId="68">
    <w:name w:val="注：（正文）"/>
    <w:basedOn w:val="61"/>
    <w:next w:val="26"/>
    <w:qFormat/>
    <w:uiPriority w:val="0"/>
  </w:style>
  <w:style w:type="paragraph" w:customStyle="1" w:styleId="69">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7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3">
    <w:name w:val="标准书眉_偶数页"/>
    <w:basedOn w:val="48"/>
    <w:next w:val="1"/>
    <w:qFormat/>
    <w:uiPriority w:val="0"/>
    <w:pPr>
      <w:jc w:val="left"/>
    </w:pPr>
  </w:style>
  <w:style w:type="paragraph" w:customStyle="1" w:styleId="74">
    <w:name w:val="标准书眉一"/>
    <w:qFormat/>
    <w:uiPriority w:val="0"/>
    <w:pPr>
      <w:jc w:val="both"/>
    </w:pPr>
    <w:rPr>
      <w:rFonts w:ascii="Times New Roman" w:hAnsi="Times New Roman" w:eastAsia="宋体" w:cs="Times New Roman"/>
      <w:lang w:val="en-US" w:eastAsia="zh-CN" w:bidi="ar-SA"/>
    </w:rPr>
  </w:style>
  <w:style w:type="paragraph" w:customStyle="1" w:styleId="75">
    <w:name w:val="参考文献"/>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6">
    <w:name w:val="参考文献、索引标题"/>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7">
    <w:name w:val="发布"/>
    <w:basedOn w:val="37"/>
    <w:qFormat/>
    <w:uiPriority w:val="0"/>
    <w:rPr>
      <w:rFonts w:ascii="黑体" w:eastAsia="黑体"/>
      <w:spacing w:val="85"/>
      <w:w w:val="100"/>
      <w:position w:val="3"/>
      <w:sz w:val="28"/>
      <w:szCs w:val="28"/>
    </w:rPr>
  </w:style>
  <w:style w:type="paragraph" w:customStyle="1" w:styleId="78">
    <w:name w:val="发布部门"/>
    <w:next w:val="2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封面标准英文名称"/>
    <w:basedOn w:val="82"/>
    <w:qFormat/>
    <w:uiPriority w:val="0"/>
    <w:pPr>
      <w:spacing w:before="370" w:line="400" w:lineRule="exact"/>
    </w:pPr>
    <w:rPr>
      <w:rFonts w:ascii="Times New Roman"/>
      <w:sz w:val="28"/>
      <w:szCs w:val="28"/>
    </w:rPr>
  </w:style>
  <w:style w:type="paragraph" w:customStyle="1" w:styleId="84">
    <w:name w:val="封面一致性程度标识"/>
    <w:basedOn w:val="83"/>
    <w:qFormat/>
    <w:uiPriority w:val="0"/>
    <w:pPr>
      <w:spacing w:before="440"/>
    </w:pPr>
    <w:rPr>
      <w:rFonts w:ascii="宋体" w:eastAsia="宋体"/>
    </w:rPr>
  </w:style>
  <w:style w:type="paragraph" w:customStyle="1" w:styleId="85">
    <w:name w:val="封面标准文稿类别"/>
    <w:basedOn w:val="84"/>
    <w:qFormat/>
    <w:uiPriority w:val="0"/>
    <w:pPr>
      <w:spacing w:after="160" w:line="240" w:lineRule="auto"/>
    </w:pPr>
    <w:rPr>
      <w:sz w:val="24"/>
    </w:rPr>
  </w:style>
  <w:style w:type="paragraph" w:customStyle="1" w:styleId="86">
    <w:name w:val="封面标准文稿编辑信息"/>
    <w:basedOn w:val="85"/>
    <w:qFormat/>
    <w:uiPriority w:val="0"/>
    <w:pPr>
      <w:spacing w:before="180" w:line="180" w:lineRule="exact"/>
    </w:pPr>
    <w:rPr>
      <w:sz w:val="21"/>
    </w:rPr>
  </w:style>
  <w:style w:type="paragraph" w:customStyle="1" w:styleId="87">
    <w:name w:val="封面正文"/>
    <w:qFormat/>
    <w:uiPriority w:val="0"/>
    <w:pPr>
      <w:jc w:val="both"/>
    </w:pPr>
    <w:rPr>
      <w:rFonts w:ascii="Times New Roman" w:hAnsi="Times New Roman" w:eastAsia="宋体" w:cs="Times New Roman"/>
      <w:lang w:val="en-US" w:eastAsia="zh-CN" w:bidi="ar-SA"/>
    </w:rPr>
  </w:style>
  <w:style w:type="paragraph" w:customStyle="1" w:styleId="88">
    <w:name w:val="附录标识"/>
    <w:basedOn w:val="1"/>
    <w:next w:val="26"/>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9">
    <w:name w:val="附录标题"/>
    <w:basedOn w:val="26"/>
    <w:next w:val="26"/>
    <w:qFormat/>
    <w:uiPriority w:val="0"/>
    <w:pPr>
      <w:ind w:firstLine="0" w:firstLineChars="0"/>
      <w:jc w:val="center"/>
    </w:pPr>
    <w:rPr>
      <w:rFonts w:ascii="黑体" w:eastAsia="黑体"/>
    </w:rPr>
  </w:style>
  <w:style w:type="paragraph" w:customStyle="1" w:styleId="90">
    <w:name w:val="附录表标号"/>
    <w:basedOn w:val="1"/>
    <w:next w:val="26"/>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91">
    <w:name w:val="附录表标题"/>
    <w:basedOn w:val="1"/>
    <w:next w:val="26"/>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92">
    <w:name w:val="附录二级条标题"/>
    <w:basedOn w:val="1"/>
    <w:next w:val="26"/>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3">
    <w:name w:val="附录二级无"/>
    <w:basedOn w:val="92"/>
    <w:qFormat/>
    <w:uiPriority w:val="0"/>
    <w:pPr>
      <w:tabs>
        <w:tab w:val="clear" w:pos="360"/>
      </w:tabs>
      <w:spacing w:beforeLines="0" w:afterLines="0"/>
    </w:pPr>
    <w:rPr>
      <w:rFonts w:ascii="宋体" w:eastAsia="宋体"/>
      <w:szCs w:val="21"/>
    </w:rPr>
  </w:style>
  <w:style w:type="paragraph" w:customStyle="1" w:styleId="94">
    <w:name w:val="附录公式"/>
    <w:basedOn w:val="26"/>
    <w:next w:val="26"/>
    <w:link w:val="95"/>
    <w:qFormat/>
    <w:uiPriority w:val="0"/>
  </w:style>
  <w:style w:type="character" w:customStyle="1" w:styleId="95">
    <w:name w:val="附录公式 Char"/>
    <w:basedOn w:val="45"/>
    <w:link w:val="94"/>
    <w:qFormat/>
    <w:uiPriority w:val="0"/>
    <w:rPr>
      <w:rFonts w:ascii="宋体"/>
      <w:sz w:val="21"/>
      <w:lang w:val="en-US" w:eastAsia="zh-CN" w:bidi="ar-SA"/>
    </w:rPr>
  </w:style>
  <w:style w:type="paragraph" w:customStyle="1" w:styleId="96">
    <w:name w:val="附录公式编号制表符"/>
    <w:basedOn w:val="1"/>
    <w:next w:val="26"/>
    <w:qFormat/>
    <w:uiPriority w:val="0"/>
    <w:pPr>
      <w:widowControl/>
      <w:tabs>
        <w:tab w:val="center" w:pos="4201"/>
        <w:tab w:val="right" w:leader="dot" w:pos="9298"/>
      </w:tabs>
      <w:autoSpaceDE w:val="0"/>
      <w:autoSpaceDN w:val="0"/>
    </w:pPr>
    <w:rPr>
      <w:rFonts w:ascii="宋体"/>
      <w:kern w:val="0"/>
      <w:szCs w:val="20"/>
    </w:rPr>
  </w:style>
  <w:style w:type="paragraph" w:customStyle="1" w:styleId="97">
    <w:name w:val="附录三级条标题"/>
    <w:basedOn w:val="92"/>
    <w:next w:val="26"/>
    <w:qFormat/>
    <w:uiPriority w:val="0"/>
    <w:pPr>
      <w:numPr>
        <w:ilvl w:val="4"/>
      </w:numPr>
      <w:outlineLvl w:val="4"/>
    </w:pPr>
  </w:style>
  <w:style w:type="paragraph" w:customStyle="1" w:styleId="98">
    <w:name w:val="附录三级无"/>
    <w:basedOn w:val="97"/>
    <w:qFormat/>
    <w:uiPriority w:val="0"/>
    <w:pPr>
      <w:tabs>
        <w:tab w:val="clear" w:pos="360"/>
      </w:tabs>
      <w:spacing w:beforeLines="0" w:afterLines="0"/>
    </w:pPr>
    <w:rPr>
      <w:rFonts w:ascii="宋体" w:eastAsia="宋体"/>
      <w:szCs w:val="21"/>
    </w:rPr>
  </w:style>
  <w:style w:type="paragraph" w:customStyle="1" w:styleId="99">
    <w:name w:val="附录数字编号列项（二级）"/>
    <w:qFormat/>
    <w:uiPriority w:val="0"/>
    <w:pPr>
      <w:numPr>
        <w:ilvl w:val="1"/>
        <w:numId w:val="8"/>
      </w:numPr>
    </w:pPr>
    <w:rPr>
      <w:rFonts w:ascii="宋体" w:hAnsi="Times New Roman" w:eastAsia="宋体" w:cs="Times New Roman"/>
      <w:sz w:val="21"/>
      <w:lang w:val="en-US" w:eastAsia="zh-CN" w:bidi="ar-SA"/>
    </w:rPr>
  </w:style>
  <w:style w:type="paragraph" w:customStyle="1" w:styleId="100">
    <w:name w:val="附录四级条标题"/>
    <w:basedOn w:val="97"/>
    <w:next w:val="26"/>
    <w:qFormat/>
    <w:uiPriority w:val="0"/>
    <w:pPr>
      <w:numPr>
        <w:ilvl w:val="5"/>
      </w:numPr>
      <w:outlineLvl w:val="5"/>
    </w:pPr>
  </w:style>
  <w:style w:type="paragraph" w:customStyle="1" w:styleId="101">
    <w:name w:val="附录四级无"/>
    <w:basedOn w:val="100"/>
    <w:qFormat/>
    <w:uiPriority w:val="0"/>
    <w:pPr>
      <w:tabs>
        <w:tab w:val="clear" w:pos="360"/>
      </w:tabs>
      <w:spacing w:beforeLines="0" w:afterLines="0"/>
    </w:pPr>
    <w:rPr>
      <w:rFonts w:ascii="宋体" w:eastAsia="宋体"/>
      <w:szCs w:val="21"/>
    </w:rPr>
  </w:style>
  <w:style w:type="paragraph" w:customStyle="1" w:styleId="102">
    <w:name w:val="附录图标号"/>
    <w:basedOn w:val="1"/>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103">
    <w:name w:val="附录图标题"/>
    <w:basedOn w:val="1"/>
    <w:next w:val="26"/>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104">
    <w:name w:val="附录五级条标题"/>
    <w:basedOn w:val="100"/>
    <w:next w:val="26"/>
    <w:qFormat/>
    <w:uiPriority w:val="0"/>
    <w:pPr>
      <w:numPr>
        <w:ilvl w:val="6"/>
      </w:numPr>
      <w:outlineLvl w:val="6"/>
    </w:pPr>
  </w:style>
  <w:style w:type="paragraph" w:customStyle="1" w:styleId="105">
    <w:name w:val="附录五级无"/>
    <w:basedOn w:val="104"/>
    <w:qFormat/>
    <w:uiPriority w:val="0"/>
    <w:pPr>
      <w:tabs>
        <w:tab w:val="clear" w:pos="360"/>
      </w:tabs>
      <w:spacing w:beforeLines="0" w:afterLines="0"/>
    </w:pPr>
    <w:rPr>
      <w:rFonts w:ascii="宋体" w:eastAsia="宋体"/>
      <w:szCs w:val="21"/>
    </w:rPr>
  </w:style>
  <w:style w:type="paragraph" w:customStyle="1" w:styleId="106">
    <w:name w:val="附录章标题"/>
    <w:next w:val="26"/>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7">
    <w:name w:val="附录一级条标题"/>
    <w:basedOn w:val="106"/>
    <w:next w:val="26"/>
    <w:qFormat/>
    <w:uiPriority w:val="0"/>
    <w:pPr>
      <w:numPr>
        <w:ilvl w:val="2"/>
      </w:numPr>
      <w:autoSpaceDN w:val="0"/>
      <w:spacing w:beforeLines="50" w:afterLines="50"/>
      <w:outlineLvl w:val="2"/>
    </w:pPr>
  </w:style>
  <w:style w:type="paragraph" w:customStyle="1" w:styleId="108">
    <w:name w:val="附录一级无"/>
    <w:basedOn w:val="107"/>
    <w:qFormat/>
    <w:uiPriority w:val="0"/>
    <w:pPr>
      <w:tabs>
        <w:tab w:val="clear" w:pos="360"/>
      </w:tabs>
      <w:spacing w:beforeLines="0" w:afterLines="0"/>
    </w:pPr>
    <w:rPr>
      <w:rFonts w:ascii="宋体" w:eastAsia="宋体"/>
      <w:szCs w:val="21"/>
    </w:rPr>
  </w:style>
  <w:style w:type="paragraph" w:customStyle="1" w:styleId="109">
    <w:name w:val="附录字母编号列项（一级）"/>
    <w:qFormat/>
    <w:uiPriority w:val="0"/>
    <w:pPr>
      <w:numPr>
        <w:ilvl w:val="0"/>
        <w:numId w:val="8"/>
      </w:numPr>
    </w:pPr>
    <w:rPr>
      <w:rFonts w:ascii="宋体" w:hAnsi="Times New Roman" w:eastAsia="宋体" w:cs="Times New Roman"/>
      <w:sz w:val="21"/>
      <w:lang w:val="en-US" w:eastAsia="zh-CN" w:bidi="ar-SA"/>
    </w:rPr>
  </w:style>
  <w:style w:type="paragraph" w:customStyle="1" w:styleId="11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3">
    <w:name w:val="其他标准标志"/>
    <w:basedOn w:val="70"/>
    <w:qFormat/>
    <w:uiPriority w:val="0"/>
    <w:pPr>
      <w:framePr w:w="6101" w:vAnchor="page" w:hAnchor="page" w:x="4673" w:y="942"/>
    </w:pPr>
    <w:rPr>
      <w:w w:val="130"/>
    </w:rPr>
  </w:style>
  <w:style w:type="paragraph" w:customStyle="1" w:styleId="1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5">
    <w:name w:val="其他发布部门"/>
    <w:basedOn w:val="78"/>
    <w:qFormat/>
    <w:uiPriority w:val="0"/>
    <w:pPr>
      <w:framePr w:y="15310"/>
      <w:spacing w:line="0" w:lineRule="atLeast"/>
    </w:pPr>
    <w:rPr>
      <w:rFonts w:ascii="黑体" w:eastAsia="黑体"/>
      <w:b w:val="0"/>
    </w:rPr>
  </w:style>
  <w:style w:type="paragraph" w:customStyle="1" w:styleId="116">
    <w:name w:val="前言、引言标题"/>
    <w:next w:val="2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无"/>
    <w:basedOn w:val="55"/>
    <w:qFormat/>
    <w:uiPriority w:val="0"/>
    <w:pPr>
      <w:spacing w:beforeLines="0" w:afterLines="0"/>
    </w:pPr>
    <w:rPr>
      <w:rFonts w:ascii="宋体" w:eastAsia="宋体"/>
    </w:rPr>
  </w:style>
  <w:style w:type="paragraph" w:customStyle="1" w:styleId="118">
    <w:name w:val="实施日期"/>
    <w:basedOn w:val="79"/>
    <w:qFormat/>
    <w:uiPriority w:val="0"/>
    <w:pPr>
      <w:framePr w:vAnchor="page" w:hAnchor="text"/>
      <w:jc w:val="right"/>
    </w:pPr>
  </w:style>
  <w:style w:type="paragraph" w:customStyle="1" w:styleId="119">
    <w:name w:val="示例后文字"/>
    <w:basedOn w:val="26"/>
    <w:next w:val="26"/>
    <w:qFormat/>
    <w:uiPriority w:val="0"/>
    <w:pPr>
      <w:ind w:firstLine="360"/>
    </w:pPr>
    <w:rPr>
      <w:sz w:val="18"/>
    </w:rPr>
  </w:style>
  <w:style w:type="paragraph" w:customStyle="1" w:styleId="120">
    <w:name w:val="首示例"/>
    <w:next w:val="26"/>
    <w:link w:val="121"/>
    <w:qFormat/>
    <w:uiPriority w:val="0"/>
    <w:pPr>
      <w:tabs>
        <w:tab w:val="left" w:pos="360"/>
      </w:tabs>
    </w:pPr>
    <w:rPr>
      <w:rFonts w:ascii="宋体" w:hAnsi="宋体" w:eastAsia="宋体" w:cs="Times New Roman"/>
      <w:kern w:val="2"/>
      <w:sz w:val="18"/>
      <w:szCs w:val="18"/>
      <w:lang w:val="en-US" w:eastAsia="zh-CN" w:bidi="ar-SA"/>
    </w:rPr>
  </w:style>
  <w:style w:type="character" w:customStyle="1" w:styleId="121">
    <w:name w:val="首示例 Char"/>
    <w:basedOn w:val="37"/>
    <w:link w:val="120"/>
    <w:qFormat/>
    <w:uiPriority w:val="0"/>
    <w:rPr>
      <w:rFonts w:ascii="宋体" w:hAnsi="宋体"/>
      <w:kern w:val="2"/>
      <w:sz w:val="18"/>
      <w:szCs w:val="18"/>
    </w:rPr>
  </w:style>
  <w:style w:type="paragraph" w:customStyle="1" w:styleId="122">
    <w:name w:val="四级无"/>
    <w:basedOn w:val="59"/>
    <w:qFormat/>
    <w:uiPriority w:val="0"/>
    <w:pPr>
      <w:spacing w:beforeLines="0" w:afterLines="0"/>
    </w:pPr>
    <w:rPr>
      <w:rFonts w:ascii="宋体" w:eastAsia="宋体"/>
    </w:rPr>
  </w:style>
  <w:style w:type="paragraph" w:customStyle="1" w:styleId="123">
    <w:name w:val="条文脚注"/>
    <w:basedOn w:val="27"/>
    <w:qFormat/>
    <w:uiPriority w:val="0"/>
    <w:pPr>
      <w:numPr>
        <w:numId w:val="0"/>
      </w:numPr>
      <w:jc w:val="both"/>
    </w:pPr>
  </w:style>
  <w:style w:type="paragraph" w:customStyle="1" w:styleId="124">
    <w:name w:val="图标脚注说明"/>
    <w:basedOn w:val="26"/>
    <w:qFormat/>
    <w:uiPriority w:val="0"/>
    <w:pPr>
      <w:ind w:left="840" w:hanging="420" w:firstLineChars="0"/>
    </w:pPr>
    <w:rPr>
      <w:sz w:val="18"/>
      <w:szCs w:val="18"/>
    </w:rPr>
  </w:style>
  <w:style w:type="paragraph" w:customStyle="1" w:styleId="125">
    <w:name w:val="图表脚注说明"/>
    <w:basedOn w:val="1"/>
    <w:qFormat/>
    <w:uiPriority w:val="0"/>
    <w:pPr>
      <w:ind w:left="544" w:hanging="181"/>
    </w:pPr>
    <w:rPr>
      <w:rFonts w:ascii="宋体"/>
      <w:sz w:val="18"/>
      <w:szCs w:val="18"/>
    </w:rPr>
  </w:style>
  <w:style w:type="paragraph" w:customStyle="1" w:styleId="126">
    <w:name w:val="图的脚注"/>
    <w:next w:val="2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8">
    <w:name w:val="五级无"/>
    <w:basedOn w:val="60"/>
    <w:qFormat/>
    <w:uiPriority w:val="0"/>
    <w:pPr>
      <w:spacing w:beforeLines="0" w:afterLines="0"/>
    </w:pPr>
    <w:rPr>
      <w:rFonts w:ascii="宋体" w:eastAsia="宋体"/>
    </w:rPr>
  </w:style>
  <w:style w:type="paragraph" w:customStyle="1" w:styleId="129">
    <w:name w:val="一级无"/>
    <w:basedOn w:val="46"/>
    <w:qFormat/>
    <w:uiPriority w:val="0"/>
    <w:pPr>
      <w:spacing w:beforeLines="0" w:afterLines="0"/>
    </w:pPr>
    <w:rPr>
      <w:rFonts w:ascii="宋体" w:eastAsia="宋体"/>
    </w:rPr>
  </w:style>
  <w:style w:type="paragraph" w:customStyle="1" w:styleId="130">
    <w:name w:val="正文表标题"/>
    <w:next w:val="26"/>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6"/>
    <w:next w:val="26"/>
    <w:qFormat/>
    <w:uiPriority w:val="0"/>
    <w:pPr>
      <w:ind w:firstLine="0" w:firstLineChars="0"/>
    </w:pPr>
  </w:style>
  <w:style w:type="paragraph" w:customStyle="1" w:styleId="132">
    <w:name w:val="正文图标题"/>
    <w:next w:val="26"/>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99"/>
    <w:pPr>
      <w:framePr w:hSpace="181" w:vSpace="181" w:wrap="around" w:vAnchor="text" w:hAnchor="margin" w:xAlign="center" w:y="285"/>
    </w:pPr>
  </w:style>
  <w:style w:type="paragraph" w:customStyle="1" w:styleId="134">
    <w:name w:val="其他发布日期"/>
    <w:basedOn w:val="79"/>
    <w:qFormat/>
    <w:uiPriority w:val="0"/>
    <w:pPr>
      <w:framePr w:vAnchor="page" w:hAnchor="text" w:x="1419"/>
    </w:pPr>
  </w:style>
  <w:style w:type="paragraph" w:customStyle="1" w:styleId="135">
    <w:name w:val="其他实施日期"/>
    <w:basedOn w:val="118"/>
    <w:qFormat/>
    <w:uiPriority w:val="0"/>
  </w:style>
  <w:style w:type="paragraph" w:customStyle="1" w:styleId="136">
    <w:name w:val="封面标准名称2"/>
    <w:basedOn w:val="82"/>
    <w:qFormat/>
    <w:uiPriority w:val="0"/>
    <w:pPr>
      <w:framePr w:y="4469"/>
      <w:spacing w:beforeLines="630"/>
    </w:pPr>
  </w:style>
  <w:style w:type="paragraph" w:customStyle="1" w:styleId="137">
    <w:name w:val="封面标准英文名称2"/>
    <w:basedOn w:val="83"/>
    <w:qFormat/>
    <w:uiPriority w:val="0"/>
    <w:pPr>
      <w:framePr w:y="4469"/>
    </w:pPr>
  </w:style>
  <w:style w:type="paragraph" w:customStyle="1" w:styleId="138">
    <w:name w:val="封面一致性程度标识2"/>
    <w:basedOn w:val="84"/>
    <w:qFormat/>
    <w:uiPriority w:val="0"/>
    <w:pPr>
      <w:framePr w:y="4469"/>
    </w:pPr>
  </w:style>
  <w:style w:type="paragraph" w:customStyle="1" w:styleId="139">
    <w:name w:val="封面标准文稿类别2"/>
    <w:basedOn w:val="85"/>
    <w:qFormat/>
    <w:uiPriority w:val="0"/>
    <w:pPr>
      <w:framePr w:y="4469"/>
    </w:pPr>
  </w:style>
  <w:style w:type="paragraph" w:customStyle="1" w:styleId="140">
    <w:name w:val="封面标准文稿编辑信息2"/>
    <w:basedOn w:val="86"/>
    <w:qFormat/>
    <w:uiPriority w:val="0"/>
    <w:pPr>
      <w:framePr w:y="4469"/>
    </w:pPr>
  </w:style>
  <w:style w:type="paragraph" w:customStyle="1" w:styleId="141">
    <w:name w:val="Default"/>
    <w:unhideWhenUsed/>
    <w:qFormat/>
    <w:uiPriority w:val="99"/>
    <w:pPr>
      <w:widowControl w:val="0"/>
      <w:autoSpaceDE w:val="0"/>
      <w:autoSpaceDN w:val="0"/>
      <w:adjustRightInd w:val="0"/>
    </w:pPr>
    <w:rPr>
      <w:rFonts w:hint="eastAsia" w:ascii="楷体_GB2312" w:hAnsi="楷体_GB2312" w:eastAsia="楷体_GB2312" w:cs="Times New Roman"/>
      <w:color w:val="000000"/>
      <w:sz w:val="24"/>
      <w:szCs w:val="22"/>
      <w:lang w:val="en-US" w:eastAsia="zh-CN" w:bidi="ar-SA"/>
    </w:rPr>
  </w:style>
  <w:style w:type="paragraph" w:customStyle="1" w:styleId="142">
    <w:name w:val="CM122"/>
    <w:basedOn w:val="141"/>
    <w:next w:val="141"/>
    <w:unhideWhenUsed/>
    <w:qFormat/>
    <w:uiPriority w:val="99"/>
  </w:style>
  <w:style w:type="paragraph" w:customStyle="1" w:styleId="143">
    <w:name w:val="CM124"/>
    <w:basedOn w:val="141"/>
    <w:next w:val="141"/>
    <w:unhideWhenUsed/>
    <w:qFormat/>
    <w:uiPriority w:val="99"/>
  </w:style>
  <w:style w:type="paragraph" w:customStyle="1" w:styleId="144">
    <w:name w:val="CM140"/>
    <w:basedOn w:val="141"/>
    <w:next w:val="141"/>
    <w:unhideWhenUsed/>
    <w:qFormat/>
    <w:uiPriority w:val="99"/>
  </w:style>
  <w:style w:type="paragraph" w:customStyle="1" w:styleId="145">
    <w:name w:val="CM82"/>
    <w:basedOn w:val="141"/>
    <w:next w:val="141"/>
    <w:unhideWhenUsed/>
    <w:qFormat/>
    <w:uiPriority w:val="99"/>
    <w:pPr>
      <w:spacing w:line="626" w:lineRule="atLeast"/>
    </w:pPr>
  </w:style>
  <w:style w:type="paragraph" w:customStyle="1" w:styleId="146">
    <w:name w:val="CM81"/>
    <w:basedOn w:val="141"/>
    <w:next w:val="141"/>
    <w:unhideWhenUsed/>
    <w:qFormat/>
    <w:uiPriority w:val="99"/>
  </w:style>
  <w:style w:type="paragraph" w:customStyle="1" w:styleId="147">
    <w:name w:val="CM78"/>
    <w:basedOn w:val="141"/>
    <w:next w:val="141"/>
    <w:unhideWhenUsed/>
    <w:qFormat/>
    <w:uiPriority w:val="99"/>
    <w:pPr>
      <w:spacing w:line="626" w:lineRule="atLeast"/>
    </w:pPr>
  </w:style>
  <w:style w:type="paragraph" w:customStyle="1" w:styleId="148">
    <w:name w:val="CM121"/>
    <w:basedOn w:val="141"/>
    <w:next w:val="141"/>
    <w:unhideWhenUsed/>
    <w:qFormat/>
    <w:uiPriority w:val="99"/>
  </w:style>
  <w:style w:type="character" w:customStyle="1" w:styleId="149">
    <w:name w:val="标题 1 Char"/>
    <w:basedOn w:val="37"/>
    <w:link w:val="2"/>
    <w:qFormat/>
    <w:uiPriority w:val="0"/>
    <w:rPr>
      <w:b/>
      <w:bCs/>
      <w:kern w:val="44"/>
      <w:sz w:val="44"/>
      <w:szCs w:val="44"/>
    </w:rPr>
  </w:style>
  <w:style w:type="paragraph" w:customStyle="1" w:styleId="150">
    <w:name w:val="TOC 标题1"/>
    <w:basedOn w:val="2"/>
    <w:next w:val="1"/>
    <w:semiHidden/>
    <w:unhideWhenUsed/>
    <w:qFormat/>
    <w:uiPriority w:val="39"/>
    <w:pPr>
      <w:widowControl/>
      <w:tabs>
        <w:tab w:val="clear" w:pos="1875"/>
      </w:tabs>
      <w:spacing w:before="480" w:after="0" w:line="276" w:lineRule="auto"/>
      <w:jc w:val="left"/>
      <w:outlineLvl w:val="9"/>
    </w:pPr>
    <w:rPr>
      <w:rFonts w:ascii="Cambria" w:hAnsi="Cambria"/>
      <w:color w:val="365F91"/>
      <w:kern w:val="0"/>
      <w:sz w:val="28"/>
      <w:szCs w:val="28"/>
    </w:rPr>
  </w:style>
  <w:style w:type="character" w:customStyle="1" w:styleId="151">
    <w:name w:val="批注框文本 Char"/>
    <w:basedOn w:val="37"/>
    <w:link w:val="19"/>
    <w:qFormat/>
    <w:uiPriority w:val="0"/>
    <w:rPr>
      <w:kern w:val="2"/>
      <w:sz w:val="18"/>
      <w:szCs w:val="18"/>
    </w:rPr>
  </w:style>
  <w:style w:type="character" w:customStyle="1" w:styleId="152">
    <w:name w:val="页脚 Char"/>
    <w:basedOn w:val="37"/>
    <w:link w:val="20"/>
    <w:qFormat/>
    <w:uiPriority w:val="99"/>
    <w:rPr>
      <w:kern w:val="2"/>
      <w:sz w:val="18"/>
      <w:szCs w:val="18"/>
    </w:rPr>
  </w:style>
  <w:style w:type="character" w:customStyle="1" w:styleId="153">
    <w:name w:val="apple-converted-space"/>
    <w:basedOn w:val="37"/>
    <w:qFormat/>
    <w:uiPriority w:val="0"/>
  </w:style>
  <w:style w:type="character" w:customStyle="1" w:styleId="154">
    <w:name w:val="批注文字 Char"/>
    <w:basedOn w:val="37"/>
    <w:link w:val="10"/>
    <w:semiHidden/>
    <w:qFormat/>
    <w:uiPriority w:val="0"/>
    <w:rPr>
      <w:kern w:val="2"/>
      <w:sz w:val="21"/>
      <w:szCs w:val="24"/>
    </w:rPr>
  </w:style>
  <w:style w:type="character" w:customStyle="1" w:styleId="155">
    <w:name w:val="批注主题 Char"/>
    <w:basedOn w:val="154"/>
    <w:link w:val="34"/>
    <w:semiHidden/>
    <w:qFormat/>
    <w:uiPriority w:val="0"/>
    <w:rPr>
      <w:b/>
      <w:bCs/>
      <w:kern w:val="2"/>
      <w:sz w:val="21"/>
      <w:szCs w:val="24"/>
    </w:rPr>
  </w:style>
  <w:style w:type="paragraph" w:customStyle="1" w:styleId="156">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57">
    <w:name w:val="页眉 Char"/>
    <w:basedOn w:val="37"/>
    <w:link w:val="21"/>
    <w:qFormat/>
    <w:uiPriority w:val="99"/>
    <w:rPr>
      <w:kern w:val="2"/>
      <w:sz w:val="18"/>
      <w:szCs w:val="18"/>
    </w:rPr>
  </w:style>
  <w:style w:type="character" w:customStyle="1" w:styleId="158">
    <w:name w:val="font11"/>
    <w:basedOn w:val="37"/>
    <w:qFormat/>
    <w:uiPriority w:val="0"/>
    <w:rPr>
      <w:rFonts w:hint="eastAsia" w:ascii="宋体" w:hAnsi="宋体" w:eastAsia="宋体"/>
      <w:color w:val="000000"/>
      <w:sz w:val="21"/>
      <w:szCs w:val="21"/>
      <w:u w:val="none"/>
    </w:rPr>
  </w:style>
  <w:style w:type="character" w:customStyle="1" w:styleId="159">
    <w:name w:val="日期 Char"/>
    <w:basedOn w:val="37"/>
    <w:link w:val="17"/>
    <w:semiHidden/>
    <w:qFormat/>
    <w:uiPriority w:val="0"/>
    <w:rPr>
      <w:kern w:val="2"/>
      <w:sz w:val="21"/>
      <w:szCs w:val="24"/>
    </w:rPr>
  </w:style>
  <w:style w:type="paragraph" w:styleId="160">
    <w:name w:val="List Paragraph"/>
    <w:basedOn w:val="1"/>
    <w:qFormat/>
    <w:uiPriority w:val="99"/>
    <w:pPr>
      <w:ind w:firstLine="420" w:firstLineChars="200"/>
    </w:pPr>
  </w:style>
  <w:style w:type="character" w:customStyle="1" w:styleId="161">
    <w:name w:val="标题 2 Char"/>
    <w:basedOn w:val="37"/>
    <w:link w:val="3"/>
    <w:semiHidden/>
    <w:qFormat/>
    <w:uiPriority w:val="0"/>
    <w:rPr>
      <w:rFonts w:asciiTheme="majorHAnsi" w:hAnsiTheme="majorHAnsi" w:eastAsiaTheme="majorEastAsia" w:cstheme="majorBidi"/>
      <w:b/>
      <w:bCs/>
      <w:kern w:val="2"/>
      <w:sz w:val="32"/>
      <w:szCs w:val="32"/>
    </w:rPr>
  </w:style>
  <w:style w:type="character" w:customStyle="1" w:styleId="162">
    <w:name w:val="标题 3 Char"/>
    <w:basedOn w:val="37"/>
    <w:link w:val="4"/>
    <w:semiHidden/>
    <w:qFormat/>
    <w:uiPriority w:val="0"/>
    <w:rPr>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AEFFC-24C5-4016-948B-DF67D4306338}">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21</Pages>
  <Words>1909</Words>
  <Characters>10884</Characters>
  <Lines>90</Lines>
  <Paragraphs>25</Paragraphs>
  <TotalTime>69</TotalTime>
  <ScaleCrop>false</ScaleCrop>
  <LinksUpToDate>false</LinksUpToDate>
  <CharactersWithSpaces>12768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2018-12-26T03:36:00Z</dcterms:created>
  <dc:creator>CNIS</dc:creator>
  <cp:lastModifiedBy>赵红焱</cp:lastModifiedBy>
  <cp:lastPrinted>2018-12-26T04:49:00Z</cp:lastPrinted>
  <dcterms:modified xsi:type="dcterms:W3CDTF">2019-10-18T01:57:55Z</dcterms:modified>
  <dc:title>标准名称</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