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b/>
          <w:sz w:val="36"/>
          <w:szCs w:val="28"/>
        </w:rPr>
      </w:pPr>
      <w:r>
        <w:rPr>
          <w:rFonts w:hint="eastAsia" w:ascii="仿宋" w:hAnsi="仿宋" w:eastAsia="仿宋"/>
          <w:b/>
          <w:sz w:val="36"/>
          <w:szCs w:val="28"/>
        </w:rPr>
        <w:t>《健身步道建设规范》江西省地方标准</w:t>
      </w:r>
    </w:p>
    <w:p>
      <w:pPr>
        <w:jc w:val="center"/>
        <w:rPr>
          <w:rFonts w:ascii="仿宋" w:hAnsi="仿宋" w:eastAsia="仿宋"/>
          <w:b/>
          <w:sz w:val="36"/>
          <w:szCs w:val="28"/>
        </w:rPr>
      </w:pPr>
      <w:r>
        <w:rPr>
          <w:rFonts w:hint="eastAsia" w:ascii="仿宋" w:hAnsi="仿宋" w:eastAsia="仿宋"/>
          <w:b/>
          <w:sz w:val="36"/>
          <w:szCs w:val="28"/>
        </w:rPr>
        <w:t>编制说明</w:t>
      </w:r>
    </w:p>
    <w:p>
      <w:pPr>
        <w:numPr>
          <w:ilvl w:val="0"/>
          <w:numId w:val="2"/>
        </w:numPr>
        <w:spacing w:before="312" w:beforeLines="100"/>
        <w:ind w:left="964" w:hanging="964" w:hangingChars="343"/>
        <w:rPr>
          <w:rFonts w:ascii="仿宋" w:hAnsi="仿宋" w:eastAsia="仿宋"/>
          <w:b/>
          <w:sz w:val="28"/>
          <w:szCs w:val="28"/>
        </w:rPr>
      </w:pPr>
      <w:r>
        <w:rPr>
          <w:rFonts w:hint="eastAsia" w:ascii="仿宋" w:hAnsi="仿宋" w:eastAsia="仿宋"/>
          <w:b/>
          <w:sz w:val="28"/>
          <w:szCs w:val="28"/>
        </w:rPr>
        <w:t>工作简况</w:t>
      </w:r>
    </w:p>
    <w:p>
      <w:pPr>
        <w:pStyle w:val="21"/>
        <w:numPr>
          <w:ilvl w:val="0"/>
          <w:numId w:val="3"/>
        </w:numPr>
        <w:ind w:firstLineChars="0"/>
        <w:rPr>
          <w:rFonts w:ascii="仿宋" w:hAnsi="仿宋" w:eastAsia="仿宋"/>
          <w:b/>
          <w:sz w:val="28"/>
          <w:szCs w:val="28"/>
        </w:rPr>
      </w:pPr>
      <w:r>
        <w:rPr>
          <w:rFonts w:hint="eastAsia" w:ascii="仿宋" w:hAnsi="仿宋" w:eastAsia="仿宋"/>
          <w:b/>
          <w:sz w:val="28"/>
          <w:szCs w:val="28"/>
        </w:rPr>
        <w:t>任务来源</w:t>
      </w:r>
    </w:p>
    <w:p>
      <w:pPr>
        <w:ind w:firstLine="560" w:firstLineChars="200"/>
        <w:rPr>
          <w:rFonts w:ascii="仿宋" w:hAnsi="仿宋" w:eastAsia="仿宋"/>
          <w:b/>
          <w:sz w:val="28"/>
          <w:szCs w:val="28"/>
        </w:rPr>
      </w:pPr>
      <w:r>
        <w:rPr>
          <w:rFonts w:hint="eastAsia" w:ascii="仿宋" w:hAnsi="仿宋" w:eastAsia="仿宋"/>
          <w:sz w:val="28"/>
          <w:szCs w:val="28"/>
        </w:rPr>
        <w:t>2018年3月，国家体育总局、国家发展改革委等12部委联合印发了《百万公里健身步道工程实施方案》（以下简称《实施方案》），江西省体育局为贯彻落实《实施方案》精神，决定编制江西省《健身步道建设规范》。2</w:t>
      </w:r>
      <w:r>
        <w:rPr>
          <w:rFonts w:ascii="仿宋" w:hAnsi="仿宋" w:eastAsia="仿宋"/>
          <w:sz w:val="28"/>
          <w:szCs w:val="28"/>
        </w:rPr>
        <w:t>018年</w:t>
      </w:r>
      <w:r>
        <w:rPr>
          <w:rFonts w:hint="eastAsia" w:ascii="仿宋" w:hAnsi="仿宋" w:eastAsia="仿宋"/>
          <w:sz w:val="28"/>
          <w:szCs w:val="28"/>
        </w:rPr>
        <w:t>1</w:t>
      </w:r>
      <w:r>
        <w:rPr>
          <w:rFonts w:ascii="仿宋" w:hAnsi="仿宋" w:eastAsia="仿宋"/>
          <w:sz w:val="28"/>
          <w:szCs w:val="28"/>
        </w:rPr>
        <w:t>1月</w:t>
      </w:r>
      <w:r>
        <w:rPr>
          <w:rFonts w:hint="eastAsia" w:ascii="仿宋" w:hAnsi="仿宋" w:eastAsia="仿宋"/>
          <w:sz w:val="28"/>
          <w:szCs w:val="28"/>
        </w:rPr>
        <w:t>，北京华体创研工程设计咨询有限公司通过公开竞标，获得江西省《健身步道建设规范》编制项目。</w:t>
      </w:r>
    </w:p>
    <w:p>
      <w:pPr>
        <w:pStyle w:val="21"/>
        <w:numPr>
          <w:ilvl w:val="0"/>
          <w:numId w:val="3"/>
        </w:numPr>
        <w:ind w:firstLineChars="0"/>
        <w:rPr>
          <w:rFonts w:ascii="仿宋" w:hAnsi="仿宋" w:eastAsia="仿宋"/>
          <w:b/>
          <w:sz w:val="28"/>
          <w:szCs w:val="28"/>
        </w:rPr>
      </w:pPr>
      <w:r>
        <w:rPr>
          <w:rFonts w:hint="eastAsia" w:ascii="仿宋" w:hAnsi="仿宋" w:eastAsia="仿宋"/>
          <w:b/>
          <w:sz w:val="28"/>
          <w:szCs w:val="28"/>
        </w:rPr>
        <w:t>制定标准的必要性和意义</w:t>
      </w:r>
    </w:p>
    <w:p>
      <w:pPr>
        <w:ind w:firstLine="562" w:firstLineChars="200"/>
        <w:rPr>
          <w:rFonts w:ascii="仿宋" w:hAnsi="仿宋" w:eastAsia="仿宋"/>
          <w:b/>
          <w:sz w:val="28"/>
          <w:szCs w:val="28"/>
        </w:rPr>
      </w:pPr>
      <w:r>
        <w:rPr>
          <w:rFonts w:hint="eastAsia" w:ascii="仿宋" w:hAnsi="仿宋" w:eastAsia="仿宋"/>
          <w:b/>
          <w:sz w:val="28"/>
          <w:szCs w:val="28"/>
        </w:rPr>
        <w:t>1、落实国家体育总局“百万公里健身步道工程”的重要前提</w:t>
      </w:r>
    </w:p>
    <w:p>
      <w:pPr>
        <w:ind w:firstLine="560" w:firstLineChars="200"/>
        <w:rPr>
          <w:rFonts w:ascii="仿宋" w:hAnsi="仿宋" w:eastAsia="仿宋"/>
          <w:sz w:val="28"/>
          <w:szCs w:val="28"/>
        </w:rPr>
      </w:pPr>
      <w:r>
        <w:rPr>
          <w:rFonts w:hint="eastAsia" w:ascii="仿宋" w:hAnsi="仿宋" w:eastAsia="仿宋"/>
          <w:sz w:val="28"/>
          <w:szCs w:val="28"/>
        </w:rPr>
        <w:t>《百万公里健身步道工程实施方案》中提出：“到2020年，力争在全国每个县（市、区）完成300公里左右健身步道建设，以此为载体，推动全民健身活动广泛开展，带动县域经济发展，助力脱贫攻坚，决胜全面小康”的主要目标。江西省应当以此为契机，贯彻落实《实施方案》精神，争取实现江西省各县（市、区）到2020年完成300公里左右健身步道建设的目标。因此，编制江西省《健身步道建设规范》是非常必要的，这也是下一步推进工作开展的重要前提。</w:t>
      </w:r>
    </w:p>
    <w:p>
      <w:pPr>
        <w:ind w:firstLine="562" w:firstLineChars="200"/>
        <w:rPr>
          <w:rFonts w:ascii="仿宋" w:hAnsi="仿宋" w:eastAsia="仿宋"/>
          <w:b/>
          <w:sz w:val="28"/>
          <w:szCs w:val="28"/>
        </w:rPr>
      </w:pPr>
      <w:r>
        <w:rPr>
          <w:rFonts w:hint="eastAsia" w:ascii="仿宋" w:hAnsi="仿宋" w:eastAsia="仿宋"/>
          <w:b/>
          <w:sz w:val="28"/>
          <w:szCs w:val="28"/>
        </w:rPr>
        <w:t>2、整合、提升、规范江西省健身步道建设水平的重要基础</w:t>
      </w:r>
    </w:p>
    <w:p>
      <w:pPr>
        <w:ind w:firstLine="560" w:firstLineChars="200"/>
        <w:rPr>
          <w:rFonts w:ascii="仿宋" w:hAnsi="仿宋" w:eastAsia="仿宋"/>
          <w:sz w:val="28"/>
          <w:szCs w:val="28"/>
        </w:rPr>
      </w:pPr>
      <w:r>
        <w:rPr>
          <w:rFonts w:hint="eastAsia" w:ascii="仿宋" w:hAnsi="仿宋" w:eastAsia="仿宋"/>
          <w:sz w:val="28"/>
          <w:szCs w:val="28"/>
        </w:rPr>
        <w:t>健身步道具有投资少，见效快，承载力强，容量大的特点，是全民健身的重要载体。目前江西省各地均已建有不同类型的健身步道，但由于目前健身步道领域没有统一的国家标准和行业标准，导致难以判断哪些健身步道符合要求，也难以对健身步道建设进行整体规划布局。因此，在全省范围内部署开展“百万公里健身步道工程”，必须以编制《规范》为基础，只有统一建设要求，才能进一步促进江西省健身步道健康有序发展，这也是当前的首要任务。</w:t>
      </w:r>
    </w:p>
    <w:p>
      <w:pPr>
        <w:ind w:firstLine="562" w:firstLineChars="200"/>
        <w:rPr>
          <w:rFonts w:ascii="仿宋" w:hAnsi="仿宋" w:eastAsia="仿宋"/>
          <w:b/>
          <w:sz w:val="28"/>
          <w:szCs w:val="28"/>
        </w:rPr>
      </w:pPr>
      <w:r>
        <w:rPr>
          <w:rFonts w:hint="eastAsia" w:ascii="仿宋" w:hAnsi="仿宋" w:eastAsia="仿宋"/>
          <w:b/>
          <w:sz w:val="28"/>
          <w:szCs w:val="28"/>
        </w:rPr>
        <w:t>3、促进全民健身活动广泛开展，全面决胜小康社会的重要途径</w:t>
      </w:r>
    </w:p>
    <w:p>
      <w:pPr>
        <w:ind w:firstLine="560" w:firstLineChars="200"/>
        <w:rPr>
          <w:rFonts w:ascii="仿宋" w:hAnsi="仿宋" w:eastAsia="仿宋"/>
          <w:sz w:val="28"/>
          <w:szCs w:val="28"/>
        </w:rPr>
      </w:pPr>
      <w:r>
        <w:rPr>
          <w:rFonts w:hint="eastAsia" w:ascii="仿宋" w:hAnsi="仿宋" w:eastAsia="仿宋"/>
          <w:sz w:val="28"/>
          <w:szCs w:val="28"/>
        </w:rPr>
        <w:t>江西省广泛开展各类全民健身活动，全民健身事业蓬勃发展，全民健身服务体系不断完善，《江西省全民健身实施计划（2016-2020年）》明确提出要加快发展全省体育健身活动，推动公共体育设施建设，增加全民健身场地设施有效供给，大力发展户外运动，鼓励开发户外运动精品线路，建设户外健身步道，发展户外运动俱乐部，做强户外运动产业，将户外运动打造成江西省全民健身名片。同时，健身步道具有可观的社会效益，能够将各类户外营地、美丽休闲乡村建设等串联起来，吸引全国各地的户外运动爱好者，带动体育赛事开展，刺激当地旅游业和体育产业健康发展，助力脱贫攻坚，决胜全面小康。</w:t>
      </w:r>
    </w:p>
    <w:p>
      <w:pPr>
        <w:pStyle w:val="21"/>
        <w:numPr>
          <w:ilvl w:val="0"/>
          <w:numId w:val="3"/>
        </w:numPr>
        <w:ind w:firstLineChars="0"/>
        <w:rPr>
          <w:rFonts w:ascii="仿宋" w:hAnsi="仿宋" w:eastAsia="仿宋"/>
          <w:b/>
          <w:sz w:val="28"/>
          <w:szCs w:val="28"/>
        </w:rPr>
      </w:pPr>
      <w:r>
        <w:rPr>
          <w:rFonts w:hint="eastAsia" w:ascii="仿宋" w:hAnsi="仿宋" w:eastAsia="仿宋"/>
          <w:b/>
          <w:sz w:val="28"/>
          <w:szCs w:val="28"/>
        </w:rPr>
        <w:t>主要工作过程</w:t>
      </w:r>
    </w:p>
    <w:p>
      <w:pPr>
        <w:ind w:firstLine="560" w:firstLineChars="200"/>
        <w:jc w:val="left"/>
        <w:rPr>
          <w:rFonts w:ascii="仿宋" w:hAnsi="仿宋" w:eastAsia="仿宋"/>
          <w:bCs/>
          <w:sz w:val="28"/>
          <w:szCs w:val="28"/>
        </w:rPr>
      </w:pPr>
      <w:r>
        <w:rPr>
          <w:rFonts w:hint="eastAsia" w:ascii="仿宋" w:hAnsi="仿宋" w:eastAsia="仿宋"/>
          <w:bCs/>
          <w:sz w:val="28"/>
          <w:szCs w:val="28"/>
        </w:rPr>
        <w:t>《规范》编制工作主要分为预研阶段、起草、修改、意见征求及审查阶段，主要工作过程如下：</w:t>
      </w:r>
    </w:p>
    <w:p>
      <w:pPr>
        <w:ind w:firstLine="562" w:firstLineChars="200"/>
        <w:jc w:val="left"/>
        <w:rPr>
          <w:rFonts w:ascii="仿宋" w:hAnsi="仿宋" w:eastAsia="仿宋"/>
          <w:b/>
          <w:bCs/>
          <w:sz w:val="28"/>
          <w:szCs w:val="28"/>
        </w:rPr>
      </w:pPr>
      <w:r>
        <w:rPr>
          <w:rFonts w:hint="eastAsia" w:ascii="仿宋" w:hAnsi="仿宋" w:eastAsia="仿宋"/>
          <w:b/>
          <w:bCs/>
          <w:sz w:val="28"/>
          <w:szCs w:val="28"/>
        </w:rPr>
        <w:t>1、预研阶段（2018年</w:t>
      </w:r>
      <w:r>
        <w:rPr>
          <w:rFonts w:ascii="仿宋" w:hAnsi="仿宋" w:eastAsia="仿宋"/>
          <w:b/>
          <w:bCs/>
          <w:sz w:val="28"/>
          <w:szCs w:val="28"/>
        </w:rPr>
        <w:t>11</w:t>
      </w:r>
      <w:r>
        <w:rPr>
          <w:rFonts w:hint="eastAsia" w:ascii="仿宋" w:hAnsi="仿宋" w:eastAsia="仿宋"/>
          <w:b/>
          <w:bCs/>
          <w:sz w:val="28"/>
          <w:szCs w:val="28"/>
        </w:rPr>
        <w:t>月）</w:t>
      </w:r>
    </w:p>
    <w:p>
      <w:pPr>
        <w:spacing w:line="360" w:lineRule="auto"/>
        <w:ind w:firstLine="560" w:firstLineChars="200"/>
        <w:rPr>
          <w:rFonts w:ascii="仿宋" w:hAnsi="仿宋" w:eastAsia="仿宋"/>
          <w:sz w:val="28"/>
          <w:szCs w:val="28"/>
        </w:rPr>
      </w:pPr>
      <w:r>
        <w:rPr>
          <w:rFonts w:hint="eastAsia" w:ascii="仿宋" w:hAnsi="仿宋" w:eastAsia="仿宋"/>
          <w:sz w:val="28"/>
          <w:szCs w:val="28"/>
        </w:rPr>
        <w:t>成立华体创研编制组，制定详细的工作方案，</w:t>
      </w:r>
      <w:r>
        <w:rPr>
          <w:rFonts w:hint="eastAsia" w:ascii="仿宋" w:hAnsi="仿宋" w:eastAsia="仿宋"/>
          <w:bCs/>
          <w:color w:val="000000"/>
          <w:sz w:val="28"/>
          <w:szCs w:val="28"/>
          <w:lang w:val="eu-ES"/>
        </w:rPr>
        <w:t>明确各主要成员的任务分工，做到责任落实到人，为《规范》的编制提供了人员技术保障。研究</w:t>
      </w:r>
      <w:r>
        <w:rPr>
          <w:rFonts w:hint="eastAsia" w:ascii="仿宋" w:hAnsi="仿宋" w:eastAsia="仿宋"/>
          <w:sz w:val="28"/>
          <w:szCs w:val="28"/>
        </w:rPr>
        <w:t>国内、外健身步道有关现行标准，查阅、分析江西省健身步道现状资料，并在此基础上提出编制《规范》的主要思路。</w:t>
      </w:r>
    </w:p>
    <w:p>
      <w:pPr>
        <w:ind w:firstLine="562" w:firstLineChars="200"/>
        <w:jc w:val="left"/>
        <w:rPr>
          <w:rFonts w:ascii="仿宋" w:hAnsi="仿宋" w:eastAsia="仿宋"/>
          <w:b/>
          <w:bCs/>
          <w:sz w:val="28"/>
          <w:szCs w:val="28"/>
        </w:rPr>
      </w:pPr>
      <w:r>
        <w:rPr>
          <w:rFonts w:ascii="仿宋" w:hAnsi="仿宋" w:eastAsia="仿宋"/>
          <w:b/>
          <w:bCs/>
          <w:sz w:val="28"/>
          <w:szCs w:val="28"/>
        </w:rPr>
        <w:t>2</w:t>
      </w:r>
      <w:r>
        <w:rPr>
          <w:rFonts w:hint="eastAsia" w:ascii="仿宋" w:hAnsi="仿宋" w:eastAsia="仿宋"/>
          <w:b/>
          <w:bCs/>
          <w:sz w:val="28"/>
          <w:szCs w:val="28"/>
        </w:rPr>
        <w:t>、起草阶段（2018年1</w:t>
      </w:r>
      <w:r>
        <w:rPr>
          <w:rFonts w:ascii="仿宋" w:hAnsi="仿宋" w:eastAsia="仿宋"/>
          <w:b/>
          <w:bCs/>
          <w:sz w:val="28"/>
          <w:szCs w:val="28"/>
        </w:rPr>
        <w:t>2</w:t>
      </w:r>
      <w:r>
        <w:rPr>
          <w:rFonts w:hint="eastAsia" w:ascii="仿宋" w:hAnsi="仿宋" w:eastAsia="仿宋"/>
          <w:b/>
          <w:bCs/>
          <w:sz w:val="28"/>
          <w:szCs w:val="28"/>
        </w:rPr>
        <w:t>月）</w:t>
      </w:r>
    </w:p>
    <w:p>
      <w:pPr>
        <w:ind w:firstLine="560" w:firstLineChars="200"/>
        <w:jc w:val="left"/>
        <w:rPr>
          <w:rFonts w:ascii="仿宋" w:hAnsi="仿宋" w:eastAsia="仿宋"/>
          <w:sz w:val="28"/>
          <w:szCs w:val="28"/>
        </w:rPr>
      </w:pPr>
      <w:r>
        <w:rPr>
          <w:rFonts w:ascii="仿宋" w:hAnsi="仿宋" w:eastAsia="仿宋"/>
          <w:sz w:val="28"/>
          <w:szCs w:val="28"/>
        </w:rPr>
        <w:t>在前期研究的基础上</w:t>
      </w:r>
      <w:r>
        <w:rPr>
          <w:rFonts w:hint="eastAsia" w:ascii="仿宋" w:hAnsi="仿宋" w:eastAsia="仿宋"/>
          <w:sz w:val="28"/>
          <w:szCs w:val="28"/>
        </w:rPr>
        <w:t>，结合国内、外相关标准及江西省健身步道的相关资料，</w:t>
      </w:r>
      <w:r>
        <w:rPr>
          <w:rFonts w:ascii="仿宋" w:hAnsi="仿宋" w:eastAsia="仿宋"/>
          <w:sz w:val="28"/>
          <w:szCs w:val="28"/>
        </w:rPr>
        <w:t>起草</w:t>
      </w:r>
      <w:r>
        <w:rPr>
          <w:rFonts w:hint="eastAsia" w:ascii="仿宋" w:hAnsi="仿宋" w:eastAsia="仿宋"/>
          <w:sz w:val="28"/>
          <w:szCs w:val="28"/>
        </w:rPr>
        <w:t>《规范》（草稿）。2</w:t>
      </w:r>
      <w:r>
        <w:rPr>
          <w:rFonts w:ascii="仿宋" w:hAnsi="仿宋" w:eastAsia="仿宋"/>
          <w:sz w:val="28"/>
          <w:szCs w:val="28"/>
        </w:rPr>
        <w:t>018年</w:t>
      </w:r>
      <w:r>
        <w:rPr>
          <w:rFonts w:hint="eastAsia" w:ascii="仿宋" w:hAnsi="仿宋" w:eastAsia="仿宋"/>
          <w:sz w:val="28"/>
          <w:szCs w:val="28"/>
        </w:rPr>
        <w:t>1</w:t>
      </w:r>
      <w:r>
        <w:rPr>
          <w:rFonts w:ascii="仿宋" w:hAnsi="仿宋" w:eastAsia="仿宋"/>
          <w:sz w:val="28"/>
          <w:szCs w:val="28"/>
        </w:rPr>
        <w:t>2月</w:t>
      </w:r>
      <w:r>
        <w:rPr>
          <w:rFonts w:hint="eastAsia" w:ascii="仿宋" w:hAnsi="仿宋" w:eastAsia="仿宋"/>
          <w:sz w:val="28"/>
          <w:szCs w:val="28"/>
        </w:rPr>
        <w:t>1</w:t>
      </w:r>
      <w:r>
        <w:rPr>
          <w:rFonts w:ascii="仿宋" w:hAnsi="仿宋" w:eastAsia="仿宋"/>
          <w:sz w:val="28"/>
          <w:szCs w:val="28"/>
        </w:rPr>
        <w:t>3日</w:t>
      </w:r>
      <w:r>
        <w:rPr>
          <w:rFonts w:hint="eastAsia" w:ascii="仿宋" w:hAnsi="仿宋" w:eastAsia="仿宋"/>
          <w:sz w:val="28"/>
          <w:szCs w:val="28"/>
        </w:rPr>
        <w:t>，</w:t>
      </w:r>
      <w:r>
        <w:rPr>
          <w:rFonts w:ascii="仿宋" w:hAnsi="仿宋" w:eastAsia="仿宋"/>
          <w:sz w:val="28"/>
          <w:szCs w:val="28"/>
        </w:rPr>
        <w:t>编制组组织</w:t>
      </w:r>
      <w:r>
        <w:rPr>
          <w:rFonts w:hint="eastAsia" w:ascii="仿宋" w:hAnsi="仿宋" w:eastAsia="仿宋"/>
          <w:sz w:val="28"/>
          <w:szCs w:val="28"/>
        </w:rPr>
        <w:t>相关</w:t>
      </w:r>
      <w:r>
        <w:rPr>
          <w:rFonts w:ascii="仿宋" w:hAnsi="仿宋" w:eastAsia="仿宋"/>
          <w:sz w:val="28"/>
          <w:szCs w:val="28"/>
        </w:rPr>
        <w:t>领域专家对</w:t>
      </w:r>
      <w:r>
        <w:rPr>
          <w:rFonts w:hint="eastAsia" w:ascii="仿宋" w:hAnsi="仿宋" w:eastAsia="仿宋"/>
          <w:sz w:val="28"/>
          <w:szCs w:val="28"/>
        </w:rPr>
        <w:t>《规范》（草稿）</w:t>
      </w:r>
      <w:r>
        <w:rPr>
          <w:rFonts w:ascii="仿宋" w:hAnsi="仿宋" w:eastAsia="仿宋"/>
          <w:sz w:val="28"/>
          <w:szCs w:val="28"/>
        </w:rPr>
        <w:t>大纲进行了研究论证</w:t>
      </w:r>
      <w:r>
        <w:rPr>
          <w:rFonts w:hint="eastAsia" w:ascii="仿宋" w:hAnsi="仿宋" w:eastAsia="仿宋"/>
          <w:sz w:val="28"/>
          <w:szCs w:val="28"/>
        </w:rPr>
        <w:t>，并</w:t>
      </w:r>
      <w:r>
        <w:rPr>
          <w:rFonts w:ascii="仿宋" w:hAnsi="仿宋" w:eastAsia="仿宋"/>
          <w:sz w:val="28"/>
          <w:szCs w:val="28"/>
        </w:rPr>
        <w:t>根据专家意见</w:t>
      </w:r>
      <w:r>
        <w:rPr>
          <w:rFonts w:hint="eastAsia" w:ascii="仿宋" w:hAnsi="仿宋" w:eastAsia="仿宋"/>
          <w:sz w:val="28"/>
          <w:szCs w:val="28"/>
        </w:rPr>
        <w:t>进一步完善了《规范》（草稿）的整体架构。</w:t>
      </w:r>
    </w:p>
    <w:p>
      <w:pPr>
        <w:ind w:firstLine="562" w:firstLineChars="200"/>
        <w:jc w:val="left"/>
        <w:rPr>
          <w:rFonts w:ascii="仿宋" w:hAnsi="仿宋" w:eastAsia="仿宋"/>
          <w:sz w:val="28"/>
          <w:szCs w:val="28"/>
        </w:rPr>
      </w:pPr>
      <w:r>
        <w:rPr>
          <w:rFonts w:hint="eastAsia" w:ascii="仿宋" w:hAnsi="仿宋" w:eastAsia="仿宋"/>
          <w:b/>
          <w:bCs/>
          <w:sz w:val="28"/>
          <w:szCs w:val="28"/>
        </w:rPr>
        <w:t>3、修改阶段（2018年1</w:t>
      </w:r>
      <w:r>
        <w:rPr>
          <w:rFonts w:ascii="仿宋" w:hAnsi="仿宋" w:eastAsia="仿宋"/>
          <w:b/>
          <w:bCs/>
          <w:sz w:val="28"/>
          <w:szCs w:val="28"/>
        </w:rPr>
        <w:t>2</w:t>
      </w:r>
      <w:r>
        <w:rPr>
          <w:rFonts w:hint="eastAsia" w:ascii="仿宋" w:hAnsi="仿宋" w:eastAsia="仿宋"/>
          <w:b/>
          <w:bCs/>
          <w:sz w:val="28"/>
          <w:szCs w:val="28"/>
        </w:rPr>
        <w:t>月—2</w:t>
      </w:r>
      <w:r>
        <w:rPr>
          <w:rFonts w:ascii="仿宋" w:hAnsi="仿宋" w:eastAsia="仿宋"/>
          <w:b/>
          <w:bCs/>
          <w:sz w:val="28"/>
          <w:szCs w:val="28"/>
        </w:rPr>
        <w:t>019年5</w:t>
      </w:r>
      <w:r>
        <w:rPr>
          <w:rFonts w:hint="eastAsia" w:ascii="仿宋" w:hAnsi="仿宋" w:eastAsia="仿宋"/>
          <w:b/>
          <w:bCs/>
          <w:sz w:val="28"/>
          <w:szCs w:val="28"/>
        </w:rPr>
        <w:t>月）</w:t>
      </w:r>
    </w:p>
    <w:p>
      <w:pPr>
        <w:ind w:firstLine="560" w:firstLineChars="200"/>
        <w:jc w:val="left"/>
        <w:rPr>
          <w:rFonts w:ascii="仿宋" w:hAnsi="仿宋" w:eastAsia="仿宋"/>
          <w:sz w:val="28"/>
          <w:szCs w:val="28"/>
        </w:rPr>
      </w:pPr>
      <w:r>
        <w:rPr>
          <w:rFonts w:ascii="仿宋" w:hAnsi="仿宋" w:eastAsia="仿宋"/>
          <w:sz w:val="28"/>
          <w:szCs w:val="28"/>
        </w:rPr>
        <w:t>2018年</w:t>
      </w:r>
      <w:r>
        <w:rPr>
          <w:rFonts w:hint="eastAsia" w:ascii="仿宋" w:hAnsi="仿宋" w:eastAsia="仿宋"/>
          <w:sz w:val="28"/>
          <w:szCs w:val="28"/>
        </w:rPr>
        <w:t>1</w:t>
      </w:r>
      <w:r>
        <w:rPr>
          <w:rFonts w:ascii="仿宋" w:hAnsi="仿宋" w:eastAsia="仿宋"/>
          <w:sz w:val="28"/>
          <w:szCs w:val="28"/>
        </w:rPr>
        <w:t>2月</w:t>
      </w:r>
      <w:r>
        <w:rPr>
          <w:rFonts w:hint="eastAsia" w:ascii="仿宋" w:hAnsi="仿宋" w:eastAsia="仿宋"/>
          <w:sz w:val="28"/>
          <w:szCs w:val="28"/>
        </w:rPr>
        <w:t>1</w:t>
      </w:r>
      <w:r>
        <w:rPr>
          <w:rFonts w:ascii="仿宋" w:hAnsi="仿宋" w:eastAsia="仿宋"/>
          <w:sz w:val="28"/>
          <w:szCs w:val="28"/>
        </w:rPr>
        <w:t>8日</w:t>
      </w:r>
      <w:r>
        <w:rPr>
          <w:rFonts w:hint="eastAsia" w:ascii="仿宋" w:hAnsi="仿宋" w:eastAsia="仿宋"/>
          <w:sz w:val="28"/>
          <w:szCs w:val="28"/>
        </w:rPr>
        <w:t>至2</w:t>
      </w:r>
      <w:r>
        <w:rPr>
          <w:rFonts w:ascii="仿宋" w:hAnsi="仿宋" w:eastAsia="仿宋"/>
          <w:sz w:val="28"/>
          <w:szCs w:val="28"/>
        </w:rPr>
        <w:t>1日</w:t>
      </w:r>
      <w:r>
        <w:rPr>
          <w:rFonts w:hint="eastAsia" w:ascii="仿宋" w:hAnsi="仿宋" w:eastAsia="仿宋"/>
          <w:sz w:val="28"/>
          <w:szCs w:val="28"/>
        </w:rPr>
        <w:t>，</w:t>
      </w:r>
      <w:r>
        <w:rPr>
          <w:rFonts w:ascii="仿宋" w:hAnsi="仿宋" w:eastAsia="仿宋"/>
          <w:sz w:val="28"/>
          <w:szCs w:val="28"/>
        </w:rPr>
        <w:t>编制组赴江西省赣州</w:t>
      </w:r>
      <w:r>
        <w:rPr>
          <w:rFonts w:hint="eastAsia" w:ascii="仿宋" w:hAnsi="仿宋" w:eastAsia="仿宋"/>
          <w:sz w:val="28"/>
          <w:szCs w:val="28"/>
        </w:rPr>
        <w:t>、吉安、</w:t>
      </w:r>
      <w:r>
        <w:rPr>
          <w:rFonts w:ascii="仿宋" w:hAnsi="仿宋" w:eastAsia="仿宋"/>
          <w:sz w:val="28"/>
          <w:szCs w:val="28"/>
        </w:rPr>
        <w:t>井冈山实地调研了健身步道的具体情况</w:t>
      </w:r>
      <w:r>
        <w:rPr>
          <w:rFonts w:hint="eastAsia" w:ascii="仿宋" w:hAnsi="仿宋" w:eastAsia="仿宋"/>
          <w:color w:val="000000" w:themeColor="text1"/>
          <w:sz w:val="28"/>
          <w:szCs w:val="28"/>
          <w14:textFill>
            <w14:solidFill>
              <w14:schemeClr w14:val="tx1"/>
            </w14:solidFill>
          </w14:textFill>
        </w:rPr>
        <w:t>，</w:t>
      </w:r>
      <w:r>
        <w:rPr>
          <w:rFonts w:hint="eastAsia" w:ascii="仿宋" w:hAnsi="仿宋" w:eastAsia="仿宋"/>
          <w:sz w:val="28"/>
          <w:szCs w:val="28"/>
        </w:rPr>
        <w:t>并在全省范围内下发了健身步道调研问卷。编制组根据本次调研情况和问卷调研结果进行了内部研讨，并在《规范》（草稿）的基础上进行了修改完善。</w:t>
      </w:r>
    </w:p>
    <w:p>
      <w:pPr>
        <w:ind w:firstLine="560" w:firstLineChars="200"/>
        <w:jc w:val="left"/>
        <w:rPr>
          <w:rFonts w:ascii="仿宋" w:hAnsi="仿宋" w:eastAsia="仿宋"/>
          <w:sz w:val="28"/>
          <w:szCs w:val="28"/>
        </w:rPr>
      </w:pPr>
      <w:r>
        <w:rPr>
          <w:rFonts w:ascii="仿宋" w:hAnsi="仿宋" w:eastAsia="仿宋"/>
          <w:sz w:val="28"/>
          <w:szCs w:val="28"/>
        </w:rPr>
        <w:t>2019年</w:t>
      </w:r>
      <w:r>
        <w:rPr>
          <w:rFonts w:hint="eastAsia" w:ascii="仿宋" w:hAnsi="仿宋" w:eastAsia="仿宋"/>
          <w:sz w:val="28"/>
          <w:szCs w:val="28"/>
        </w:rPr>
        <w:t>1月8日，编制组再次召集有关领域专家对阶段性工作成果进行了研究论证。在本次研讨会后的修改阶段，编制组多次与江西省体育局进行沟通，不断对文稿内容及格式进行优化，并形成《规范》（初稿）。</w:t>
      </w:r>
    </w:p>
    <w:p>
      <w:pPr>
        <w:ind w:firstLine="560" w:firstLineChars="200"/>
        <w:jc w:val="left"/>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019年</w:t>
      </w:r>
      <w:r>
        <w:rPr>
          <w:rFonts w:hint="eastAsia" w:ascii="仿宋" w:hAnsi="仿宋" w:eastAsia="仿宋"/>
          <w:sz w:val="28"/>
          <w:szCs w:val="28"/>
        </w:rPr>
        <w:t>4月2</w:t>
      </w:r>
      <w:r>
        <w:rPr>
          <w:rFonts w:ascii="仿宋" w:hAnsi="仿宋" w:eastAsia="仿宋"/>
          <w:sz w:val="28"/>
          <w:szCs w:val="28"/>
        </w:rPr>
        <w:t>4日</w:t>
      </w:r>
      <w:r>
        <w:rPr>
          <w:rFonts w:hint="eastAsia" w:ascii="仿宋" w:hAnsi="仿宋" w:eastAsia="仿宋"/>
          <w:sz w:val="28"/>
          <w:szCs w:val="28"/>
        </w:rPr>
        <w:t>，编制组邀请了江西省体育产业发展中心、国家体育总局群体司领导以及多位各相关领域的权威专家再次对《规范》（初稿）进行研讨。会上领导和专家对《规范》（初稿）的内容、编制格式、技术要点等方面的内容进行了深入讨论，高度肯定了《规范》编写的意义和价值，并就《规范》（初稿）各部分内容提出了具体修改意见。会后，项目组认真研究学习了专家意见，并以“展示江西特色，建设江西样板”为基本原则，再次完善了文本内容，并形成《规范》（征求意见稿）及编制说明。</w:t>
      </w:r>
    </w:p>
    <w:p>
      <w:pPr>
        <w:pStyle w:val="21"/>
        <w:numPr>
          <w:ilvl w:val="0"/>
          <w:numId w:val="3"/>
        </w:numPr>
        <w:ind w:firstLineChars="0"/>
        <w:rPr>
          <w:rFonts w:ascii="仿宋" w:hAnsi="仿宋" w:eastAsia="仿宋"/>
          <w:b/>
          <w:sz w:val="28"/>
          <w:szCs w:val="28"/>
        </w:rPr>
      </w:pPr>
      <w:r>
        <w:rPr>
          <w:rFonts w:hint="eastAsia" w:ascii="仿宋" w:hAnsi="仿宋" w:eastAsia="仿宋"/>
          <w:b/>
          <w:sz w:val="28"/>
          <w:szCs w:val="28"/>
        </w:rPr>
        <w:t>编制组成员及任务分工</w:t>
      </w:r>
    </w:p>
    <w:p>
      <w:pPr>
        <w:ind w:firstLine="560" w:firstLineChars="200"/>
        <w:rPr>
          <w:rFonts w:ascii="仿宋" w:hAnsi="仿宋" w:eastAsia="仿宋"/>
          <w:sz w:val="28"/>
          <w:szCs w:val="28"/>
        </w:rPr>
      </w:pPr>
      <w:r>
        <w:rPr>
          <w:rFonts w:hint="eastAsia" w:ascii="仿宋" w:hAnsi="仿宋" w:eastAsia="仿宋"/>
          <w:sz w:val="28"/>
          <w:szCs w:val="28"/>
        </w:rPr>
        <w:t>华体创研编制组成员熟悉体育场地专业特点，熟悉百万公里健身步道工作情况，并具有多年从事群众体育事业服务、体育场地设施规划建设和相关标准、规范编制的工作经验。编制组主要成员及任务分工如下：</w:t>
      </w:r>
    </w:p>
    <w:tbl>
      <w:tblPr>
        <w:tblStyle w:val="13"/>
        <w:tblW w:w="81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7"/>
        <w:gridCol w:w="1855"/>
        <w:gridCol w:w="4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4" w:hRule="atLeast"/>
          <w:jc w:val="center"/>
        </w:trPr>
        <w:tc>
          <w:tcPr>
            <w:tcW w:w="1347" w:type="dxa"/>
            <w:shd w:val="clear" w:color="auto" w:fill="A4A4A4" w:themeFill="background1" w:themeFillShade="A5"/>
            <w:vAlign w:val="center"/>
          </w:tcPr>
          <w:p>
            <w:pPr>
              <w:jc w:val="center"/>
              <w:rPr>
                <w:rFonts w:ascii="仿宋" w:hAnsi="仿宋" w:eastAsia="仿宋" w:cs="仿宋"/>
                <w:b/>
                <w:bCs/>
                <w:sz w:val="24"/>
                <w:szCs w:val="28"/>
              </w:rPr>
            </w:pPr>
            <w:r>
              <w:rPr>
                <w:rFonts w:hint="eastAsia" w:ascii="仿宋" w:hAnsi="仿宋" w:eastAsia="仿宋" w:cs="仿宋"/>
                <w:b/>
                <w:bCs/>
                <w:sz w:val="24"/>
                <w:szCs w:val="28"/>
              </w:rPr>
              <w:t>姓名</w:t>
            </w:r>
          </w:p>
        </w:tc>
        <w:tc>
          <w:tcPr>
            <w:tcW w:w="1855" w:type="dxa"/>
            <w:shd w:val="clear" w:color="auto" w:fill="A4A4A4" w:themeFill="background1" w:themeFillShade="A5"/>
            <w:vAlign w:val="center"/>
          </w:tcPr>
          <w:p>
            <w:pPr>
              <w:jc w:val="center"/>
              <w:rPr>
                <w:rFonts w:ascii="仿宋" w:hAnsi="仿宋" w:eastAsia="仿宋" w:cs="仿宋"/>
                <w:b/>
                <w:bCs/>
                <w:sz w:val="24"/>
                <w:szCs w:val="28"/>
              </w:rPr>
            </w:pPr>
            <w:r>
              <w:rPr>
                <w:rFonts w:hint="eastAsia" w:ascii="仿宋" w:hAnsi="仿宋" w:eastAsia="仿宋" w:cs="仿宋"/>
                <w:b/>
                <w:bCs/>
                <w:sz w:val="24"/>
                <w:szCs w:val="28"/>
              </w:rPr>
              <w:t>职称</w:t>
            </w:r>
          </w:p>
        </w:tc>
        <w:tc>
          <w:tcPr>
            <w:tcW w:w="4961" w:type="dxa"/>
            <w:shd w:val="clear" w:color="auto" w:fill="A4A4A4" w:themeFill="background1" w:themeFillShade="A5"/>
            <w:vAlign w:val="center"/>
          </w:tcPr>
          <w:p>
            <w:pPr>
              <w:jc w:val="center"/>
              <w:rPr>
                <w:rFonts w:ascii="仿宋" w:hAnsi="仿宋" w:eastAsia="仿宋" w:cs="仿宋"/>
                <w:b/>
                <w:bCs/>
                <w:sz w:val="24"/>
                <w:szCs w:val="28"/>
              </w:rPr>
            </w:pPr>
            <w:r>
              <w:rPr>
                <w:rFonts w:hint="eastAsia" w:ascii="仿宋" w:hAnsi="仿宋" w:eastAsia="仿宋" w:cs="仿宋"/>
                <w:b/>
                <w:bCs/>
                <w:sz w:val="24"/>
                <w:szCs w:val="28"/>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4" w:hRule="atLeast"/>
          <w:jc w:val="center"/>
        </w:trPr>
        <w:tc>
          <w:tcPr>
            <w:tcW w:w="1347" w:type="dxa"/>
            <w:vAlign w:val="center"/>
          </w:tcPr>
          <w:p>
            <w:pPr>
              <w:jc w:val="center"/>
              <w:rPr>
                <w:rFonts w:ascii="仿宋" w:hAnsi="仿宋" w:eastAsia="仿宋" w:cs="仿宋"/>
                <w:sz w:val="24"/>
                <w:szCs w:val="28"/>
              </w:rPr>
            </w:pPr>
            <w:r>
              <w:rPr>
                <w:rFonts w:hint="eastAsia" w:ascii="仿宋" w:hAnsi="仿宋" w:eastAsia="仿宋" w:cs="仿宋"/>
                <w:sz w:val="24"/>
                <w:szCs w:val="28"/>
              </w:rPr>
              <w:t>岳  亨</w:t>
            </w:r>
          </w:p>
        </w:tc>
        <w:tc>
          <w:tcPr>
            <w:tcW w:w="1855" w:type="dxa"/>
            <w:vAlign w:val="center"/>
          </w:tcPr>
          <w:p>
            <w:pPr>
              <w:jc w:val="center"/>
              <w:rPr>
                <w:rFonts w:ascii="仿宋" w:hAnsi="仿宋" w:eastAsia="仿宋" w:cs="仿宋"/>
                <w:sz w:val="24"/>
                <w:szCs w:val="28"/>
              </w:rPr>
            </w:pPr>
            <w:r>
              <w:rPr>
                <w:rFonts w:hint="eastAsia" w:ascii="仿宋" w:hAnsi="仿宋" w:eastAsia="仿宋" w:cs="仿宋"/>
                <w:sz w:val="24"/>
                <w:szCs w:val="28"/>
              </w:rPr>
              <w:t>副总经理</w:t>
            </w:r>
          </w:p>
        </w:tc>
        <w:tc>
          <w:tcPr>
            <w:tcW w:w="4961" w:type="dxa"/>
            <w:vAlign w:val="center"/>
          </w:tcPr>
          <w:p>
            <w:pPr>
              <w:rPr>
                <w:rFonts w:ascii="仿宋" w:hAnsi="仿宋" w:eastAsia="仿宋" w:cs="仿宋"/>
                <w:sz w:val="24"/>
                <w:szCs w:val="28"/>
              </w:rPr>
            </w:pPr>
            <w:r>
              <w:rPr>
                <w:rFonts w:hint="eastAsia" w:ascii="仿宋" w:hAnsi="仿宋" w:eastAsia="仿宋" w:cs="仿宋"/>
                <w:sz w:val="24"/>
                <w:szCs w:val="28"/>
              </w:rPr>
              <w:t>负责本项目公司内外部组织协调工作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4" w:hRule="atLeast"/>
          <w:jc w:val="center"/>
        </w:trPr>
        <w:tc>
          <w:tcPr>
            <w:tcW w:w="1347" w:type="dxa"/>
            <w:vAlign w:val="center"/>
          </w:tcPr>
          <w:p>
            <w:pPr>
              <w:jc w:val="center"/>
              <w:rPr>
                <w:rFonts w:ascii="仿宋" w:hAnsi="仿宋" w:eastAsia="仿宋" w:cs="仿宋"/>
                <w:sz w:val="24"/>
                <w:szCs w:val="28"/>
              </w:rPr>
            </w:pPr>
            <w:r>
              <w:rPr>
                <w:rFonts w:hint="eastAsia" w:ascii="仿宋" w:hAnsi="仿宋" w:eastAsia="仿宋" w:cs="仿宋"/>
                <w:sz w:val="24"/>
                <w:szCs w:val="28"/>
              </w:rPr>
              <w:t>魏国强</w:t>
            </w:r>
          </w:p>
        </w:tc>
        <w:tc>
          <w:tcPr>
            <w:tcW w:w="1855" w:type="dxa"/>
            <w:vAlign w:val="center"/>
          </w:tcPr>
          <w:p>
            <w:pPr>
              <w:jc w:val="center"/>
              <w:rPr>
                <w:rFonts w:ascii="仿宋" w:hAnsi="仿宋" w:eastAsia="仿宋" w:cs="仿宋"/>
                <w:sz w:val="24"/>
                <w:szCs w:val="28"/>
              </w:rPr>
            </w:pPr>
            <w:r>
              <w:rPr>
                <w:rFonts w:hint="eastAsia" w:ascii="仿宋" w:hAnsi="仿宋" w:eastAsia="仿宋" w:cs="仿宋"/>
                <w:sz w:val="24"/>
                <w:szCs w:val="28"/>
              </w:rPr>
              <w:t>总工程师</w:t>
            </w:r>
          </w:p>
        </w:tc>
        <w:tc>
          <w:tcPr>
            <w:tcW w:w="4961" w:type="dxa"/>
            <w:vAlign w:val="center"/>
          </w:tcPr>
          <w:p>
            <w:pPr>
              <w:rPr>
                <w:rFonts w:ascii="仿宋" w:hAnsi="仿宋" w:eastAsia="仿宋" w:cs="仿宋"/>
                <w:sz w:val="24"/>
                <w:szCs w:val="28"/>
              </w:rPr>
            </w:pPr>
            <w:r>
              <w:rPr>
                <w:rFonts w:hint="eastAsia" w:ascii="仿宋" w:hAnsi="仿宋" w:eastAsia="仿宋" w:cs="仿宋"/>
                <w:sz w:val="24"/>
                <w:szCs w:val="28"/>
              </w:rPr>
              <w:t>参与本项目技术支持与服务工作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4" w:hRule="atLeast"/>
          <w:jc w:val="center"/>
        </w:trPr>
        <w:tc>
          <w:tcPr>
            <w:tcW w:w="1347" w:type="dxa"/>
            <w:vAlign w:val="center"/>
          </w:tcPr>
          <w:p>
            <w:pPr>
              <w:jc w:val="center"/>
              <w:rPr>
                <w:rFonts w:ascii="仿宋" w:hAnsi="仿宋" w:eastAsia="仿宋" w:cs="仿宋"/>
                <w:sz w:val="24"/>
                <w:szCs w:val="28"/>
              </w:rPr>
            </w:pPr>
            <w:r>
              <w:rPr>
                <w:rFonts w:hint="eastAsia" w:ascii="仿宋" w:hAnsi="仿宋" w:eastAsia="仿宋" w:cs="仿宋"/>
                <w:sz w:val="24"/>
                <w:szCs w:val="28"/>
              </w:rPr>
              <w:t>高　建</w:t>
            </w:r>
          </w:p>
        </w:tc>
        <w:tc>
          <w:tcPr>
            <w:tcW w:w="1855" w:type="dxa"/>
            <w:vAlign w:val="center"/>
          </w:tcPr>
          <w:p>
            <w:pPr>
              <w:jc w:val="center"/>
              <w:rPr>
                <w:rFonts w:ascii="仿宋" w:hAnsi="仿宋" w:eastAsia="仿宋" w:cs="仿宋"/>
                <w:sz w:val="24"/>
                <w:szCs w:val="28"/>
              </w:rPr>
            </w:pPr>
            <w:r>
              <w:rPr>
                <w:rFonts w:hint="eastAsia" w:ascii="仿宋" w:hAnsi="仿宋" w:eastAsia="仿宋" w:cs="仿宋"/>
                <w:sz w:val="24"/>
                <w:szCs w:val="28"/>
              </w:rPr>
              <w:t>项目负责人</w:t>
            </w:r>
          </w:p>
        </w:tc>
        <w:tc>
          <w:tcPr>
            <w:tcW w:w="4961" w:type="dxa"/>
            <w:vAlign w:val="center"/>
          </w:tcPr>
          <w:p>
            <w:pPr>
              <w:rPr>
                <w:rFonts w:ascii="仿宋" w:hAnsi="仿宋" w:eastAsia="仿宋" w:cs="仿宋"/>
                <w:sz w:val="24"/>
                <w:szCs w:val="28"/>
              </w:rPr>
            </w:pPr>
            <w:r>
              <w:rPr>
                <w:rFonts w:hint="eastAsia" w:ascii="仿宋" w:hAnsi="仿宋" w:eastAsia="仿宋" w:cs="仿宋"/>
                <w:sz w:val="24"/>
                <w:szCs w:val="28"/>
              </w:rPr>
              <w:t>总体负责本项目团队组织管理及内部协调工作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4" w:hRule="atLeast"/>
          <w:jc w:val="center"/>
        </w:trPr>
        <w:tc>
          <w:tcPr>
            <w:tcW w:w="1347" w:type="dxa"/>
            <w:vAlign w:val="center"/>
          </w:tcPr>
          <w:p>
            <w:pPr>
              <w:jc w:val="center"/>
              <w:rPr>
                <w:rFonts w:ascii="仿宋" w:hAnsi="仿宋" w:eastAsia="仿宋" w:cs="仿宋"/>
                <w:sz w:val="24"/>
                <w:szCs w:val="28"/>
              </w:rPr>
            </w:pPr>
            <w:r>
              <w:rPr>
                <w:rFonts w:hint="eastAsia" w:ascii="仿宋" w:hAnsi="仿宋" w:eastAsia="仿宋" w:cs="仿宋"/>
                <w:sz w:val="24"/>
                <w:szCs w:val="28"/>
              </w:rPr>
              <w:t>王云涧</w:t>
            </w:r>
          </w:p>
        </w:tc>
        <w:tc>
          <w:tcPr>
            <w:tcW w:w="1855" w:type="dxa"/>
            <w:vAlign w:val="center"/>
          </w:tcPr>
          <w:p>
            <w:pPr>
              <w:jc w:val="center"/>
              <w:rPr>
                <w:rFonts w:ascii="仿宋" w:hAnsi="仿宋" w:eastAsia="仿宋" w:cs="仿宋"/>
                <w:sz w:val="24"/>
                <w:szCs w:val="28"/>
              </w:rPr>
            </w:pPr>
            <w:r>
              <w:rPr>
                <w:rFonts w:hint="eastAsia" w:ascii="仿宋" w:hAnsi="仿宋" w:eastAsia="仿宋" w:cs="仿宋"/>
                <w:sz w:val="24"/>
                <w:szCs w:val="28"/>
              </w:rPr>
              <w:t>工程师</w:t>
            </w:r>
          </w:p>
        </w:tc>
        <w:tc>
          <w:tcPr>
            <w:tcW w:w="4961" w:type="dxa"/>
            <w:vAlign w:val="center"/>
          </w:tcPr>
          <w:p>
            <w:pPr>
              <w:rPr>
                <w:rFonts w:ascii="仿宋" w:hAnsi="仿宋" w:eastAsia="仿宋" w:cs="仿宋"/>
                <w:sz w:val="24"/>
                <w:szCs w:val="28"/>
              </w:rPr>
            </w:pPr>
            <w:r>
              <w:rPr>
                <w:rFonts w:hint="eastAsia" w:ascii="仿宋" w:hAnsi="仿宋" w:eastAsia="仿宋" w:cs="仿宋"/>
                <w:sz w:val="24"/>
                <w:szCs w:val="28"/>
              </w:rPr>
              <w:t>参与本项目技术支持与服务工作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4" w:hRule="atLeast"/>
          <w:jc w:val="center"/>
        </w:trPr>
        <w:tc>
          <w:tcPr>
            <w:tcW w:w="1347" w:type="dxa"/>
            <w:vAlign w:val="center"/>
          </w:tcPr>
          <w:p>
            <w:pPr>
              <w:jc w:val="center"/>
              <w:rPr>
                <w:rFonts w:ascii="仿宋" w:hAnsi="仿宋" w:eastAsia="仿宋" w:cs="仿宋"/>
                <w:sz w:val="24"/>
                <w:szCs w:val="28"/>
              </w:rPr>
            </w:pPr>
            <w:r>
              <w:rPr>
                <w:rFonts w:hint="eastAsia" w:ascii="仿宋" w:hAnsi="仿宋" w:eastAsia="仿宋" w:cs="仿宋"/>
                <w:sz w:val="24"/>
                <w:szCs w:val="28"/>
              </w:rPr>
              <w:t xml:space="preserve">杨 </w:t>
            </w:r>
            <w:r>
              <w:rPr>
                <w:rFonts w:ascii="仿宋" w:hAnsi="仿宋" w:eastAsia="仿宋" w:cs="仿宋"/>
                <w:sz w:val="24"/>
                <w:szCs w:val="28"/>
              </w:rPr>
              <w:t xml:space="preserve"> </w:t>
            </w:r>
            <w:r>
              <w:rPr>
                <w:rFonts w:hint="eastAsia" w:ascii="仿宋" w:hAnsi="仿宋" w:eastAsia="仿宋" w:cs="仿宋"/>
                <w:sz w:val="24"/>
                <w:szCs w:val="28"/>
              </w:rPr>
              <w:t>媛</w:t>
            </w:r>
          </w:p>
        </w:tc>
        <w:tc>
          <w:tcPr>
            <w:tcW w:w="1855" w:type="dxa"/>
            <w:vAlign w:val="center"/>
          </w:tcPr>
          <w:p>
            <w:pPr>
              <w:jc w:val="center"/>
              <w:rPr>
                <w:rFonts w:ascii="仿宋" w:hAnsi="仿宋" w:eastAsia="仿宋" w:cs="仿宋"/>
                <w:sz w:val="24"/>
                <w:szCs w:val="28"/>
              </w:rPr>
            </w:pPr>
            <w:r>
              <w:rPr>
                <w:rFonts w:hint="eastAsia" w:ascii="仿宋" w:hAnsi="仿宋" w:eastAsia="仿宋" w:cs="仿宋"/>
                <w:sz w:val="24"/>
                <w:szCs w:val="28"/>
              </w:rPr>
              <w:t>工程师</w:t>
            </w:r>
          </w:p>
        </w:tc>
        <w:tc>
          <w:tcPr>
            <w:tcW w:w="4961" w:type="dxa"/>
            <w:vAlign w:val="center"/>
          </w:tcPr>
          <w:p>
            <w:pPr>
              <w:rPr>
                <w:rFonts w:ascii="仿宋" w:hAnsi="仿宋" w:eastAsia="仿宋" w:cs="仿宋"/>
                <w:sz w:val="24"/>
                <w:szCs w:val="28"/>
              </w:rPr>
            </w:pPr>
            <w:r>
              <w:rPr>
                <w:rFonts w:hint="eastAsia" w:ascii="仿宋" w:hAnsi="仿宋" w:eastAsia="仿宋" w:cs="仿宋"/>
                <w:sz w:val="24"/>
                <w:szCs w:val="28"/>
              </w:rPr>
              <w:t>参与本项目技术支持与服务工作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4" w:hRule="atLeast"/>
          <w:jc w:val="center"/>
        </w:trPr>
        <w:tc>
          <w:tcPr>
            <w:tcW w:w="1347" w:type="dxa"/>
            <w:vAlign w:val="center"/>
          </w:tcPr>
          <w:p>
            <w:pPr>
              <w:jc w:val="center"/>
              <w:rPr>
                <w:rFonts w:ascii="仿宋" w:hAnsi="仿宋" w:eastAsia="仿宋" w:cs="仿宋"/>
                <w:sz w:val="24"/>
                <w:szCs w:val="28"/>
              </w:rPr>
            </w:pPr>
            <w:r>
              <w:rPr>
                <w:rFonts w:hint="eastAsia" w:ascii="仿宋" w:hAnsi="仿宋" w:eastAsia="仿宋" w:cs="仿宋"/>
                <w:sz w:val="24"/>
                <w:szCs w:val="28"/>
              </w:rPr>
              <w:t>阚　魏</w:t>
            </w:r>
          </w:p>
        </w:tc>
        <w:tc>
          <w:tcPr>
            <w:tcW w:w="1855" w:type="dxa"/>
            <w:vAlign w:val="center"/>
          </w:tcPr>
          <w:p>
            <w:pPr>
              <w:jc w:val="center"/>
              <w:rPr>
                <w:rFonts w:ascii="仿宋" w:hAnsi="仿宋" w:eastAsia="仿宋" w:cs="仿宋"/>
                <w:sz w:val="24"/>
                <w:szCs w:val="28"/>
              </w:rPr>
            </w:pPr>
            <w:r>
              <w:rPr>
                <w:rFonts w:hint="eastAsia" w:ascii="仿宋" w:hAnsi="仿宋" w:eastAsia="仿宋" w:cs="仿宋"/>
                <w:sz w:val="24"/>
                <w:szCs w:val="28"/>
              </w:rPr>
              <w:t>工程师</w:t>
            </w:r>
          </w:p>
        </w:tc>
        <w:tc>
          <w:tcPr>
            <w:tcW w:w="4961" w:type="dxa"/>
            <w:vAlign w:val="center"/>
          </w:tcPr>
          <w:p>
            <w:pPr>
              <w:rPr>
                <w:rFonts w:ascii="仿宋" w:hAnsi="仿宋" w:eastAsia="仿宋" w:cs="仿宋"/>
                <w:sz w:val="24"/>
                <w:szCs w:val="28"/>
              </w:rPr>
            </w:pPr>
            <w:r>
              <w:rPr>
                <w:rFonts w:hint="eastAsia" w:ascii="仿宋" w:hAnsi="仿宋" w:eastAsia="仿宋" w:cs="仿宋"/>
                <w:sz w:val="24"/>
                <w:szCs w:val="28"/>
              </w:rPr>
              <w:t>参与本项目技术支持与服务工作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jc w:val="center"/>
        </w:trPr>
        <w:tc>
          <w:tcPr>
            <w:tcW w:w="1347" w:type="dxa"/>
            <w:vAlign w:val="center"/>
          </w:tcPr>
          <w:p>
            <w:pPr>
              <w:jc w:val="center"/>
              <w:rPr>
                <w:rFonts w:ascii="仿宋" w:hAnsi="仿宋" w:eastAsia="仿宋" w:cs="仿宋"/>
                <w:sz w:val="24"/>
                <w:szCs w:val="28"/>
              </w:rPr>
            </w:pPr>
            <w:r>
              <w:rPr>
                <w:rFonts w:hint="eastAsia" w:ascii="仿宋" w:hAnsi="仿宋" w:eastAsia="仿宋" w:cs="仿宋"/>
                <w:sz w:val="24"/>
                <w:szCs w:val="28"/>
              </w:rPr>
              <w:t>杜  颖</w:t>
            </w:r>
          </w:p>
        </w:tc>
        <w:tc>
          <w:tcPr>
            <w:tcW w:w="1855" w:type="dxa"/>
            <w:vAlign w:val="center"/>
          </w:tcPr>
          <w:p>
            <w:pPr>
              <w:jc w:val="center"/>
              <w:rPr>
                <w:rFonts w:ascii="仿宋" w:hAnsi="仿宋" w:eastAsia="仿宋" w:cs="仿宋"/>
                <w:sz w:val="24"/>
                <w:szCs w:val="28"/>
              </w:rPr>
            </w:pPr>
            <w:r>
              <w:rPr>
                <w:rFonts w:hint="eastAsia" w:ascii="仿宋" w:hAnsi="仿宋" w:eastAsia="仿宋" w:cs="仿宋"/>
                <w:sz w:val="24"/>
                <w:szCs w:val="28"/>
              </w:rPr>
              <w:t>助理工程师</w:t>
            </w:r>
          </w:p>
        </w:tc>
        <w:tc>
          <w:tcPr>
            <w:tcW w:w="4961" w:type="dxa"/>
            <w:vAlign w:val="center"/>
          </w:tcPr>
          <w:p>
            <w:pPr>
              <w:rPr>
                <w:rFonts w:ascii="仿宋" w:hAnsi="仿宋" w:eastAsia="仿宋" w:cs="仿宋"/>
                <w:sz w:val="24"/>
                <w:szCs w:val="28"/>
              </w:rPr>
            </w:pPr>
            <w:r>
              <w:rPr>
                <w:rFonts w:ascii="仿宋" w:hAnsi="仿宋" w:eastAsia="仿宋" w:cs="仿宋"/>
                <w:sz w:val="24"/>
                <w:szCs w:val="28"/>
              </w:rPr>
              <w:t>主要负责本项目成果文件撰写工作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jc w:val="center"/>
        </w:trPr>
        <w:tc>
          <w:tcPr>
            <w:tcW w:w="1347" w:type="dxa"/>
            <w:vAlign w:val="center"/>
          </w:tcPr>
          <w:p>
            <w:pPr>
              <w:jc w:val="center"/>
              <w:rPr>
                <w:rFonts w:ascii="仿宋" w:hAnsi="仿宋" w:eastAsia="仿宋" w:cs="仿宋"/>
                <w:sz w:val="24"/>
                <w:szCs w:val="28"/>
              </w:rPr>
            </w:pPr>
            <w:r>
              <w:rPr>
                <w:rFonts w:hint="eastAsia" w:ascii="仿宋" w:hAnsi="仿宋" w:eastAsia="仿宋" w:cs="仿宋"/>
                <w:sz w:val="24"/>
                <w:szCs w:val="28"/>
              </w:rPr>
              <w:t>杨  帆</w:t>
            </w:r>
          </w:p>
        </w:tc>
        <w:tc>
          <w:tcPr>
            <w:tcW w:w="1855" w:type="dxa"/>
            <w:vAlign w:val="center"/>
          </w:tcPr>
          <w:p>
            <w:pPr>
              <w:jc w:val="center"/>
              <w:rPr>
                <w:rFonts w:ascii="仿宋" w:hAnsi="仿宋" w:eastAsia="仿宋" w:cs="仿宋"/>
                <w:sz w:val="24"/>
                <w:szCs w:val="28"/>
              </w:rPr>
            </w:pPr>
            <w:r>
              <w:rPr>
                <w:rFonts w:hint="eastAsia" w:ascii="仿宋" w:hAnsi="仿宋" w:eastAsia="仿宋" w:cs="仿宋"/>
                <w:sz w:val="24"/>
                <w:szCs w:val="28"/>
              </w:rPr>
              <w:t>助理工程师</w:t>
            </w:r>
          </w:p>
        </w:tc>
        <w:tc>
          <w:tcPr>
            <w:tcW w:w="4961" w:type="dxa"/>
            <w:vAlign w:val="center"/>
          </w:tcPr>
          <w:p>
            <w:pPr>
              <w:rPr>
                <w:rFonts w:ascii="仿宋" w:hAnsi="仿宋" w:eastAsia="仿宋" w:cs="仿宋"/>
                <w:sz w:val="24"/>
                <w:szCs w:val="28"/>
              </w:rPr>
            </w:pPr>
            <w:r>
              <w:rPr>
                <w:rFonts w:ascii="仿宋" w:hAnsi="仿宋" w:eastAsia="仿宋" w:cs="仿宋"/>
                <w:sz w:val="24"/>
                <w:szCs w:val="28"/>
              </w:rPr>
              <w:t>参与本项目成果文件撰写工作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jc w:val="center"/>
        </w:trPr>
        <w:tc>
          <w:tcPr>
            <w:tcW w:w="1347" w:type="dxa"/>
            <w:vAlign w:val="center"/>
          </w:tcPr>
          <w:p>
            <w:pPr>
              <w:jc w:val="center"/>
              <w:rPr>
                <w:rFonts w:ascii="仿宋" w:hAnsi="仿宋" w:eastAsia="仿宋" w:cs="仿宋"/>
                <w:sz w:val="24"/>
                <w:szCs w:val="28"/>
              </w:rPr>
            </w:pPr>
            <w:r>
              <w:rPr>
                <w:rFonts w:hint="eastAsia" w:ascii="仿宋" w:hAnsi="仿宋" w:eastAsia="仿宋" w:cs="仿宋"/>
                <w:sz w:val="24"/>
                <w:szCs w:val="28"/>
              </w:rPr>
              <w:t>郑馨叶</w:t>
            </w:r>
          </w:p>
        </w:tc>
        <w:tc>
          <w:tcPr>
            <w:tcW w:w="1855" w:type="dxa"/>
            <w:vAlign w:val="center"/>
          </w:tcPr>
          <w:p>
            <w:pPr>
              <w:jc w:val="center"/>
              <w:rPr>
                <w:rFonts w:ascii="仿宋" w:hAnsi="仿宋" w:eastAsia="仿宋" w:cs="仿宋"/>
                <w:sz w:val="24"/>
                <w:szCs w:val="28"/>
              </w:rPr>
            </w:pPr>
            <w:r>
              <w:rPr>
                <w:rFonts w:hint="eastAsia" w:ascii="仿宋" w:hAnsi="仿宋" w:eastAsia="仿宋" w:cs="仿宋"/>
                <w:sz w:val="24"/>
                <w:szCs w:val="28"/>
              </w:rPr>
              <w:t>助理工程师</w:t>
            </w:r>
          </w:p>
        </w:tc>
        <w:tc>
          <w:tcPr>
            <w:tcW w:w="4961" w:type="dxa"/>
            <w:vAlign w:val="center"/>
          </w:tcPr>
          <w:p>
            <w:pPr>
              <w:rPr>
                <w:rFonts w:ascii="仿宋" w:hAnsi="仿宋" w:eastAsia="仿宋" w:cs="仿宋"/>
                <w:sz w:val="24"/>
                <w:szCs w:val="28"/>
              </w:rPr>
            </w:pPr>
            <w:r>
              <w:rPr>
                <w:rFonts w:ascii="仿宋" w:hAnsi="仿宋" w:eastAsia="仿宋" w:cs="仿宋"/>
                <w:sz w:val="24"/>
                <w:szCs w:val="28"/>
              </w:rPr>
              <w:t>参与本项目成果文件撰写工作</w:t>
            </w:r>
          </w:p>
        </w:tc>
      </w:tr>
    </w:tbl>
    <w:p>
      <w:pPr>
        <w:rPr>
          <w:rFonts w:ascii="仿宋" w:hAnsi="仿宋" w:eastAsia="仿宋"/>
          <w:b/>
          <w:sz w:val="24"/>
          <w:szCs w:val="28"/>
        </w:rPr>
      </w:pPr>
    </w:p>
    <w:p>
      <w:pPr>
        <w:spacing w:before="312" w:beforeLines="100"/>
        <w:rPr>
          <w:rFonts w:ascii="仿宋" w:hAnsi="仿宋" w:eastAsia="仿宋"/>
          <w:b/>
          <w:sz w:val="28"/>
          <w:szCs w:val="28"/>
        </w:rPr>
      </w:pPr>
      <w:r>
        <w:rPr>
          <w:rFonts w:hint="eastAsia" w:ascii="仿宋" w:hAnsi="仿宋" w:eastAsia="仿宋"/>
          <w:b/>
          <w:sz w:val="28"/>
          <w:szCs w:val="28"/>
        </w:rPr>
        <w:t>二、编制原则、主要内容和技术条款先进性、创新性</w:t>
      </w:r>
    </w:p>
    <w:p>
      <w:pPr>
        <w:rPr>
          <w:rFonts w:ascii="仿宋" w:hAnsi="仿宋" w:eastAsia="仿宋"/>
          <w:b/>
          <w:sz w:val="28"/>
          <w:szCs w:val="28"/>
        </w:rPr>
      </w:pPr>
      <w:r>
        <w:rPr>
          <w:rFonts w:hint="eastAsia" w:ascii="仿宋" w:hAnsi="仿宋" w:eastAsia="仿宋"/>
          <w:b/>
          <w:sz w:val="28"/>
          <w:szCs w:val="28"/>
        </w:rPr>
        <w:t>（一）编制原则</w:t>
      </w:r>
    </w:p>
    <w:p>
      <w:pPr>
        <w:ind w:firstLine="562" w:firstLineChars="200"/>
        <w:rPr>
          <w:rFonts w:ascii="仿宋" w:hAnsi="仿宋" w:eastAsia="仿宋" w:cs="仿宋"/>
          <w:sz w:val="28"/>
          <w:szCs w:val="28"/>
        </w:rPr>
      </w:pPr>
      <w:r>
        <w:rPr>
          <w:rFonts w:hint="eastAsia" w:ascii="仿宋" w:hAnsi="仿宋" w:eastAsia="仿宋" w:cs="仿宋"/>
          <w:b/>
          <w:sz w:val="28"/>
          <w:szCs w:val="28"/>
        </w:rPr>
        <w:t>适用性。</w:t>
      </w:r>
      <w:r>
        <w:rPr>
          <w:rFonts w:hint="eastAsia" w:ascii="仿宋" w:hAnsi="仿宋" w:eastAsia="仿宋" w:cs="仿宋"/>
          <w:sz w:val="28"/>
          <w:szCs w:val="28"/>
        </w:rPr>
        <w:t>《规范》从江西省健身步道实际情况出发，立足现状进行分析和研究。在确定《规范》内容时，注意《规范》的适用范围，所涵盖的领域要恰当合理，确保《规范》能够落到实处。</w:t>
      </w:r>
    </w:p>
    <w:p>
      <w:pPr>
        <w:ind w:firstLine="562" w:firstLineChars="200"/>
        <w:rPr>
          <w:rFonts w:ascii="仿宋" w:hAnsi="仿宋" w:eastAsia="仿宋"/>
          <w:sz w:val="28"/>
          <w:szCs w:val="28"/>
        </w:rPr>
      </w:pPr>
      <w:r>
        <w:rPr>
          <w:rFonts w:hint="eastAsia" w:ascii="仿宋" w:hAnsi="仿宋" w:eastAsia="仿宋"/>
          <w:b/>
          <w:sz w:val="28"/>
          <w:szCs w:val="28"/>
        </w:rPr>
        <w:t>先进性。</w:t>
      </w:r>
      <w:r>
        <w:rPr>
          <w:rFonts w:hint="eastAsia" w:ascii="仿宋" w:hAnsi="仿宋" w:eastAsia="仿宋"/>
          <w:sz w:val="28"/>
          <w:szCs w:val="28"/>
        </w:rPr>
        <w:t>《规范》所涉及的技术内容应满足既定需求。在充分调研江西省健身步道现状及国内有关技术文件的基础上，认真进行分析、研究，在预期可达到的条件下，积极地把先进内容纳入《规范》，提高《规范》的先进性。</w:t>
      </w:r>
    </w:p>
    <w:p>
      <w:pPr>
        <w:ind w:firstLine="562" w:firstLineChars="200"/>
        <w:jc w:val="left"/>
        <w:rPr>
          <w:rFonts w:ascii="仿宋" w:hAnsi="仿宋" w:eastAsia="仿宋"/>
          <w:sz w:val="28"/>
          <w:szCs w:val="28"/>
        </w:rPr>
      </w:pPr>
      <w:r>
        <w:rPr>
          <w:rFonts w:hint="eastAsia" w:ascii="仿宋" w:hAnsi="仿宋" w:eastAsia="仿宋"/>
          <w:b/>
          <w:sz w:val="28"/>
          <w:szCs w:val="28"/>
        </w:rPr>
        <w:t>统一性。</w:t>
      </w:r>
      <w:r>
        <w:rPr>
          <w:rFonts w:hint="eastAsia" w:ascii="仿宋" w:hAnsi="仿宋" w:eastAsia="仿宋"/>
          <w:sz w:val="28"/>
          <w:szCs w:val="28"/>
        </w:rPr>
        <w:t>《规范》编制过程中要遵循相关法律法规和政策要求，并注意与有关现行标准、规范的协调性，避免与法律法规以及相关标准、规范之间出现矛盾。</w:t>
      </w:r>
    </w:p>
    <w:p>
      <w:pPr>
        <w:rPr>
          <w:rFonts w:ascii="仿宋" w:hAnsi="仿宋" w:eastAsia="仿宋"/>
          <w:b/>
          <w:sz w:val="28"/>
          <w:szCs w:val="28"/>
        </w:rPr>
      </w:pPr>
      <w:r>
        <w:rPr>
          <w:rFonts w:hint="eastAsia" w:ascii="仿宋" w:hAnsi="仿宋" w:eastAsia="仿宋"/>
          <w:b/>
          <w:sz w:val="28"/>
          <w:szCs w:val="28"/>
        </w:rPr>
        <w:t>（二）主要内容</w:t>
      </w:r>
    </w:p>
    <w:p>
      <w:pPr>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江西省《健身步道建设规范》分为十个部分，包括范围、规范性引用文件、术语和定义、总则、分类与构成、选线要求、设计要求、建设要求、验收和使用安全。《规范》中分别对江西省健身步道的定义、分类、构成和适用范围进行了阐述，并对江西省健身步道的主题元素、路线设计、道路设计、道路建设、标识、服务设施、验收和安全性等进行了规定。</w:t>
      </w:r>
    </w:p>
    <w:p>
      <w:pPr>
        <w:rPr>
          <w:rFonts w:ascii="仿宋" w:hAnsi="仿宋" w:eastAsia="仿宋"/>
          <w:b/>
          <w:sz w:val="28"/>
          <w:szCs w:val="28"/>
        </w:rPr>
      </w:pPr>
      <w:r>
        <w:rPr>
          <w:rFonts w:hint="eastAsia" w:ascii="仿宋" w:hAnsi="仿宋" w:eastAsia="仿宋"/>
          <w:b/>
          <w:sz w:val="28"/>
          <w:szCs w:val="28"/>
        </w:rPr>
        <w:t>（三）技术条款先进性、创新性</w:t>
      </w:r>
    </w:p>
    <w:p>
      <w:pPr>
        <w:ind w:firstLine="560" w:firstLineChars="200"/>
        <w:rPr>
          <w:rFonts w:ascii="仿宋" w:hAnsi="仿宋" w:eastAsia="仿宋"/>
          <w:b/>
          <w:sz w:val="28"/>
          <w:szCs w:val="28"/>
        </w:rPr>
      </w:pPr>
      <w:r>
        <w:rPr>
          <w:rFonts w:hint="eastAsia" w:ascii="仿宋" w:hAnsi="仿宋" w:eastAsia="仿宋"/>
          <w:bCs/>
          <w:sz w:val="28"/>
          <w:szCs w:val="28"/>
        </w:rPr>
        <w:t>现阶段，我国尚未发布统一的健身步道建设标准和规范，且各省市也未发布过相关技术文件。现有的国内相关标准和规范大部分集中对登山健身步道和健走步道的设计、建设、附属设施等作了相关规定，但其中极少有涉及到骑行道方面的内容。在本规范中，不仅根据江西省健身步道的实际情况，进一步整合、统一、完善了登山健身步道和健走步道的建设规范，还将骑行道的建设规范也纳入其中。本规范中健身步道的各项技术指标均在参考了国内现行标准和规范的有关规定的情况下，结合了相关领域专家意见进行设定，并引用了国内标准和规范中部分有关道路、环境、公共设施、标识等相关技术条款的内容。本规范作为指导性文件对《</w:t>
      </w:r>
      <w:r>
        <w:rPr>
          <w:rFonts w:hint="eastAsia" w:ascii="仿宋" w:hAnsi="仿宋" w:eastAsia="仿宋"/>
          <w:sz w:val="28"/>
          <w:szCs w:val="28"/>
        </w:rPr>
        <w:t>百万公里健身步道工程实施方案</w:t>
      </w:r>
      <w:r>
        <w:rPr>
          <w:rFonts w:hint="eastAsia" w:ascii="仿宋" w:hAnsi="仿宋" w:eastAsia="仿宋"/>
          <w:bCs/>
          <w:sz w:val="28"/>
          <w:szCs w:val="28"/>
        </w:rPr>
        <w:t>》等国家政策文件的贯彻落实具有一定的可操作性，体现出江西省体育行业的相关技术条款可满足国家相关要求。</w:t>
      </w:r>
    </w:p>
    <w:p>
      <w:pPr>
        <w:rPr>
          <w:rFonts w:ascii="仿宋" w:hAnsi="仿宋" w:eastAsia="仿宋"/>
          <w:b/>
          <w:sz w:val="28"/>
          <w:szCs w:val="28"/>
        </w:rPr>
      </w:pPr>
      <w:r>
        <w:rPr>
          <w:rFonts w:hint="eastAsia" w:ascii="仿宋" w:hAnsi="仿宋" w:eastAsia="仿宋"/>
          <w:b/>
          <w:sz w:val="28"/>
          <w:szCs w:val="28"/>
        </w:rPr>
        <w:t>（五）适用范围及实施主体</w:t>
      </w:r>
    </w:p>
    <w:p>
      <w:pPr>
        <w:rPr>
          <w:rFonts w:ascii="仿宋" w:hAnsi="仿宋" w:eastAsia="仿宋"/>
          <w:bCs/>
          <w:sz w:val="28"/>
          <w:szCs w:val="28"/>
        </w:rPr>
      </w:pPr>
      <w:r>
        <w:rPr>
          <w:rFonts w:hint="eastAsia" w:ascii="仿宋" w:hAnsi="仿宋" w:eastAsia="仿宋"/>
          <w:sz w:val="28"/>
          <w:szCs w:val="28"/>
        </w:rPr>
        <w:t xml:space="preserve"> </w:t>
      </w:r>
      <w:r>
        <w:rPr>
          <w:rFonts w:ascii="仿宋" w:hAnsi="仿宋" w:eastAsia="仿宋"/>
          <w:sz w:val="28"/>
          <w:szCs w:val="28"/>
        </w:rPr>
        <w:t xml:space="preserve">  </w:t>
      </w:r>
      <w:r>
        <w:rPr>
          <w:rFonts w:hint="eastAsia" w:ascii="仿宋" w:hAnsi="仿宋" w:eastAsia="仿宋"/>
          <w:bCs/>
          <w:sz w:val="28"/>
          <w:szCs w:val="28"/>
        </w:rPr>
        <w:t>本规范适用于江西省行政区域内由各级人民政府和社会力量投资建设、向公众开放的健身步道。本规范的直接使用者，是各有关单位的决策部门和检查监督部门，相关使用者包括健身步道的管理单位、设计咨询单位、建设项目可行性报告编制单位及施工单位等。</w:t>
      </w:r>
    </w:p>
    <w:p>
      <w:pPr>
        <w:spacing w:before="312" w:beforeLines="100"/>
        <w:rPr>
          <w:rFonts w:ascii="仿宋" w:hAnsi="仿宋" w:eastAsia="仿宋"/>
          <w:b/>
          <w:sz w:val="28"/>
          <w:szCs w:val="28"/>
        </w:rPr>
      </w:pPr>
      <w:r>
        <w:rPr>
          <w:rFonts w:hint="eastAsia" w:ascii="仿宋" w:hAnsi="仿宋" w:eastAsia="仿宋"/>
          <w:b/>
          <w:sz w:val="28"/>
          <w:szCs w:val="28"/>
        </w:rPr>
        <w:t>三、采用国际标准和国外先进标准的情况，与国际、国内同类标准水平的对比情况</w:t>
      </w:r>
    </w:p>
    <w:p>
      <w:pPr>
        <w:ind w:firstLine="560" w:firstLineChars="200"/>
        <w:rPr>
          <w:rFonts w:ascii="仿宋" w:hAnsi="仿宋" w:eastAsia="仿宋"/>
          <w:bCs/>
          <w:kern w:val="0"/>
          <w:sz w:val="28"/>
          <w:szCs w:val="28"/>
        </w:rPr>
      </w:pPr>
      <w:r>
        <w:rPr>
          <w:rFonts w:hint="eastAsia" w:ascii="仿宋" w:hAnsi="仿宋" w:eastAsia="仿宋"/>
          <w:bCs/>
          <w:kern w:val="0"/>
          <w:sz w:val="28"/>
          <w:szCs w:val="28"/>
        </w:rPr>
        <w:t>本规范没有采用相关国际标准。本规范在制定过程中查找了同类国际标准，经编制组和专家讨论，同类国际标准不适用本规范。</w:t>
      </w:r>
    </w:p>
    <w:p>
      <w:pPr>
        <w:ind w:firstLine="560" w:firstLineChars="200"/>
        <w:rPr>
          <w:rFonts w:ascii="仿宋" w:hAnsi="仿宋" w:eastAsia="仿宋"/>
          <w:bCs/>
          <w:kern w:val="0"/>
          <w:sz w:val="28"/>
          <w:szCs w:val="28"/>
        </w:rPr>
      </w:pPr>
      <w:r>
        <w:rPr>
          <w:rFonts w:hint="eastAsia" w:ascii="仿宋" w:hAnsi="仿宋" w:eastAsia="仿宋"/>
          <w:bCs/>
          <w:kern w:val="0"/>
          <w:sz w:val="28"/>
          <w:szCs w:val="28"/>
        </w:rPr>
        <w:t>本标准主要参考了：</w:t>
      </w:r>
    </w:p>
    <w:p>
      <w:pPr>
        <w:rPr>
          <w:rFonts w:ascii="仿宋" w:hAnsi="仿宋" w:eastAsia="仿宋"/>
          <w:bCs/>
          <w:kern w:val="0"/>
          <w:sz w:val="28"/>
          <w:szCs w:val="28"/>
        </w:rPr>
      </w:pPr>
      <w:r>
        <w:rPr>
          <w:rFonts w:ascii="仿宋" w:hAnsi="仿宋" w:eastAsia="仿宋"/>
          <w:bCs/>
          <w:kern w:val="0"/>
          <w:sz w:val="28"/>
          <w:szCs w:val="28"/>
        </w:rPr>
        <w:t xml:space="preserve">  </w:t>
      </w:r>
      <w:r>
        <w:rPr>
          <w:rFonts w:hint="eastAsia" w:ascii="仿宋" w:hAnsi="仿宋" w:eastAsia="仿宋"/>
          <w:bCs/>
          <w:kern w:val="0"/>
          <w:sz w:val="28"/>
          <w:szCs w:val="28"/>
        </w:rPr>
        <w:t xml:space="preserve"> </w:t>
      </w:r>
      <w:r>
        <w:rPr>
          <w:rFonts w:ascii="仿宋" w:hAnsi="仿宋" w:eastAsia="仿宋"/>
          <w:bCs/>
          <w:kern w:val="0"/>
          <w:sz w:val="28"/>
          <w:szCs w:val="28"/>
        </w:rPr>
        <w:t xml:space="preserve"> </w:t>
      </w:r>
      <w:r>
        <w:rPr>
          <w:rFonts w:hint="eastAsia" w:ascii="仿宋" w:hAnsi="仿宋" w:eastAsia="仿宋"/>
          <w:bCs/>
          <w:kern w:val="0"/>
          <w:sz w:val="28"/>
          <w:szCs w:val="28"/>
        </w:rPr>
        <w:t xml:space="preserve">GB 8978  污水综合排放标准  </w:t>
      </w:r>
    </w:p>
    <w:p>
      <w:pPr>
        <w:ind w:firstLine="560" w:firstLineChars="200"/>
        <w:rPr>
          <w:rFonts w:ascii="仿宋" w:hAnsi="仿宋" w:eastAsia="仿宋"/>
          <w:bCs/>
          <w:kern w:val="0"/>
          <w:sz w:val="28"/>
          <w:szCs w:val="28"/>
        </w:rPr>
      </w:pPr>
      <w:r>
        <w:rPr>
          <w:rFonts w:hint="eastAsia" w:ascii="仿宋" w:hAnsi="仿宋" w:eastAsia="仿宋"/>
          <w:bCs/>
          <w:kern w:val="0"/>
          <w:sz w:val="28"/>
          <w:szCs w:val="28"/>
        </w:rPr>
        <w:t>GB/T 10001.1  标志用公共信息图形符号  第1部分：通用符号</w:t>
      </w:r>
    </w:p>
    <w:p>
      <w:pPr>
        <w:ind w:firstLine="560" w:firstLineChars="200"/>
        <w:rPr>
          <w:rFonts w:ascii="仿宋" w:hAnsi="仿宋" w:eastAsia="仿宋"/>
          <w:bCs/>
          <w:kern w:val="0"/>
          <w:sz w:val="28"/>
          <w:szCs w:val="28"/>
        </w:rPr>
      </w:pPr>
      <w:r>
        <w:rPr>
          <w:rFonts w:hint="eastAsia" w:ascii="仿宋" w:hAnsi="仿宋" w:eastAsia="仿宋"/>
          <w:bCs/>
          <w:kern w:val="0"/>
          <w:sz w:val="28"/>
          <w:szCs w:val="28"/>
        </w:rPr>
        <w:t>GB/T 10001.2  标志用公共信息图形符号  第2部分：旅游休闲符号</w:t>
      </w:r>
    </w:p>
    <w:p>
      <w:pPr>
        <w:ind w:firstLine="560" w:firstLineChars="200"/>
        <w:rPr>
          <w:rFonts w:ascii="仿宋" w:hAnsi="仿宋" w:eastAsia="仿宋"/>
          <w:bCs/>
          <w:kern w:val="0"/>
          <w:sz w:val="28"/>
          <w:szCs w:val="28"/>
        </w:rPr>
      </w:pPr>
      <w:r>
        <w:rPr>
          <w:rFonts w:hint="eastAsia" w:ascii="仿宋" w:hAnsi="仿宋" w:eastAsia="仿宋"/>
          <w:bCs/>
          <w:kern w:val="0"/>
          <w:sz w:val="28"/>
          <w:szCs w:val="28"/>
        </w:rPr>
        <w:t>GB/T 10001.4  标志用公共信息图形符号  第4部分：体育运动符号</w:t>
      </w:r>
    </w:p>
    <w:p>
      <w:pPr>
        <w:autoSpaceDE w:val="0"/>
        <w:autoSpaceDN w:val="0"/>
        <w:ind w:firstLine="560" w:firstLineChars="200"/>
        <w:rPr>
          <w:rFonts w:ascii="仿宋" w:hAnsi="仿宋" w:eastAsia="仿宋"/>
          <w:bCs/>
          <w:kern w:val="0"/>
          <w:sz w:val="28"/>
          <w:szCs w:val="28"/>
        </w:rPr>
      </w:pPr>
      <w:r>
        <w:rPr>
          <w:rFonts w:hint="eastAsia" w:ascii="仿宋" w:hAnsi="仿宋" w:eastAsia="仿宋"/>
          <w:bCs/>
          <w:kern w:val="0"/>
          <w:sz w:val="28"/>
          <w:szCs w:val="28"/>
        </w:rPr>
        <w:t>GB/T 14685  建筑用碎石、卵石  III类</w:t>
      </w:r>
    </w:p>
    <w:p>
      <w:pPr>
        <w:autoSpaceDE w:val="0"/>
        <w:autoSpaceDN w:val="0"/>
        <w:ind w:firstLine="560" w:firstLineChars="200"/>
        <w:rPr>
          <w:rFonts w:ascii="仿宋" w:hAnsi="仿宋" w:eastAsia="仿宋"/>
          <w:bCs/>
          <w:kern w:val="0"/>
          <w:sz w:val="28"/>
          <w:szCs w:val="28"/>
        </w:rPr>
      </w:pPr>
      <w:r>
        <w:rPr>
          <w:rFonts w:hint="eastAsia" w:ascii="仿宋" w:hAnsi="仿宋" w:eastAsia="仿宋"/>
          <w:bCs/>
          <w:kern w:val="0"/>
          <w:sz w:val="28"/>
          <w:szCs w:val="28"/>
        </w:rPr>
        <w:t>GB/T 15566.7  公共信息导向系统 设置原则与要求 第7部分：运动场所</w:t>
      </w:r>
    </w:p>
    <w:p>
      <w:pPr>
        <w:autoSpaceDE w:val="0"/>
        <w:autoSpaceDN w:val="0"/>
        <w:ind w:firstLine="560" w:firstLineChars="200"/>
        <w:rPr>
          <w:rFonts w:ascii="仿宋" w:hAnsi="仿宋" w:eastAsia="仿宋"/>
          <w:bCs/>
          <w:kern w:val="0"/>
          <w:sz w:val="28"/>
          <w:szCs w:val="28"/>
        </w:rPr>
      </w:pPr>
      <w:r>
        <w:rPr>
          <w:rFonts w:hint="eastAsia" w:ascii="仿宋" w:hAnsi="仿宋" w:eastAsia="仿宋"/>
          <w:bCs/>
          <w:kern w:val="0"/>
          <w:sz w:val="28"/>
          <w:szCs w:val="28"/>
        </w:rPr>
        <w:t>GB 19272  室外健身器材的安全 通用要求</w:t>
      </w:r>
    </w:p>
    <w:p>
      <w:pPr>
        <w:autoSpaceDE w:val="0"/>
        <w:autoSpaceDN w:val="0"/>
        <w:ind w:firstLine="560" w:firstLineChars="200"/>
        <w:rPr>
          <w:rFonts w:ascii="仿宋" w:hAnsi="仿宋" w:eastAsia="仿宋"/>
          <w:bCs/>
          <w:kern w:val="0"/>
          <w:sz w:val="28"/>
          <w:szCs w:val="28"/>
        </w:rPr>
      </w:pPr>
      <w:r>
        <w:rPr>
          <w:rFonts w:hint="eastAsia" w:ascii="仿宋" w:hAnsi="仿宋" w:eastAsia="仿宋"/>
          <w:bCs/>
          <w:kern w:val="0"/>
          <w:sz w:val="28"/>
          <w:szCs w:val="28"/>
        </w:rPr>
        <w:t>GB/T 27651  防腐木材的使用分类和要求  C3.2防腐木材</w:t>
      </w:r>
    </w:p>
    <w:p>
      <w:pPr>
        <w:autoSpaceDE w:val="0"/>
        <w:autoSpaceDN w:val="0"/>
        <w:ind w:firstLine="560" w:firstLineChars="200"/>
        <w:rPr>
          <w:rFonts w:hint="eastAsia" w:ascii="仿宋" w:hAnsi="仿宋" w:eastAsia="仿宋"/>
          <w:bCs/>
          <w:kern w:val="0"/>
          <w:sz w:val="28"/>
          <w:szCs w:val="28"/>
        </w:rPr>
      </w:pPr>
      <w:r>
        <w:rPr>
          <w:rFonts w:hint="eastAsia" w:ascii="仿宋" w:hAnsi="仿宋" w:eastAsia="仿宋"/>
          <w:bCs/>
          <w:kern w:val="0"/>
          <w:sz w:val="28"/>
          <w:szCs w:val="28"/>
        </w:rPr>
        <w:t>GB/T 34290  公共体育设施 室外健身设施的配置与管理</w:t>
      </w:r>
    </w:p>
    <w:p>
      <w:pPr>
        <w:autoSpaceDE w:val="0"/>
        <w:autoSpaceDN w:val="0"/>
        <w:ind w:firstLine="560" w:firstLineChars="200"/>
        <w:rPr>
          <w:rFonts w:ascii="仿宋" w:hAnsi="仿宋" w:eastAsia="仿宋"/>
          <w:bCs/>
          <w:kern w:val="0"/>
          <w:sz w:val="28"/>
          <w:szCs w:val="28"/>
        </w:rPr>
      </w:pPr>
      <w:r>
        <w:rPr>
          <w:rFonts w:hint="eastAsia" w:ascii="仿宋" w:hAnsi="仿宋" w:eastAsia="仿宋"/>
          <w:bCs/>
          <w:kern w:val="0"/>
          <w:sz w:val="28"/>
          <w:szCs w:val="28"/>
        </w:rPr>
        <w:t xml:space="preserve">GB/T 50337  </w:t>
      </w:r>
      <w:bookmarkStart w:id="0" w:name="_GoBack"/>
      <w:bookmarkEnd w:id="0"/>
      <w:r>
        <w:rPr>
          <w:rFonts w:hint="eastAsia" w:ascii="仿宋" w:hAnsi="仿宋" w:eastAsia="仿宋"/>
          <w:bCs/>
          <w:kern w:val="0"/>
          <w:sz w:val="28"/>
          <w:szCs w:val="28"/>
        </w:rPr>
        <w:t xml:space="preserve">城市环境卫生设施规划标准  </w:t>
      </w:r>
    </w:p>
    <w:p>
      <w:pPr>
        <w:autoSpaceDE w:val="0"/>
        <w:autoSpaceDN w:val="0"/>
        <w:ind w:firstLine="560" w:firstLineChars="200"/>
        <w:rPr>
          <w:rFonts w:ascii="仿宋" w:hAnsi="仿宋" w:eastAsia="仿宋"/>
          <w:bCs/>
          <w:kern w:val="0"/>
          <w:sz w:val="28"/>
          <w:szCs w:val="28"/>
        </w:rPr>
      </w:pPr>
      <w:r>
        <w:rPr>
          <w:rFonts w:hint="eastAsia" w:ascii="仿宋" w:hAnsi="仿宋" w:eastAsia="仿宋"/>
          <w:bCs/>
          <w:kern w:val="0"/>
          <w:sz w:val="28"/>
          <w:szCs w:val="28"/>
        </w:rPr>
        <w:t xml:space="preserve">GB 50763  无障碍设计规范   </w:t>
      </w:r>
    </w:p>
    <w:p>
      <w:pPr>
        <w:autoSpaceDE w:val="0"/>
        <w:autoSpaceDN w:val="0"/>
        <w:ind w:firstLine="560" w:firstLineChars="200"/>
        <w:rPr>
          <w:rFonts w:ascii="仿宋" w:hAnsi="仿宋" w:eastAsia="仿宋"/>
          <w:bCs/>
          <w:kern w:val="0"/>
          <w:sz w:val="28"/>
          <w:szCs w:val="28"/>
        </w:rPr>
      </w:pPr>
      <w:r>
        <w:rPr>
          <w:rFonts w:hint="eastAsia" w:ascii="仿宋" w:hAnsi="仿宋" w:eastAsia="仿宋"/>
          <w:bCs/>
          <w:kern w:val="0"/>
          <w:sz w:val="28"/>
          <w:szCs w:val="28"/>
        </w:rPr>
        <w:t>CJJ 169  城镇道路路面设计规范  水泥混凝土路面 面层材料 支路</w:t>
      </w:r>
    </w:p>
    <w:p>
      <w:pPr>
        <w:autoSpaceDE w:val="0"/>
        <w:autoSpaceDN w:val="0"/>
        <w:ind w:firstLine="560" w:firstLineChars="200"/>
        <w:rPr>
          <w:rFonts w:ascii="仿宋" w:hAnsi="仿宋" w:eastAsia="仿宋"/>
          <w:bCs/>
          <w:kern w:val="0"/>
          <w:sz w:val="28"/>
          <w:szCs w:val="28"/>
        </w:rPr>
      </w:pPr>
      <w:r>
        <w:rPr>
          <w:rFonts w:hint="eastAsia" w:ascii="仿宋" w:hAnsi="仿宋" w:eastAsia="仿宋"/>
          <w:bCs/>
          <w:kern w:val="0"/>
          <w:sz w:val="28"/>
          <w:szCs w:val="28"/>
        </w:rPr>
        <w:t>CJJ/T 188  透水砖路面技术规程</w:t>
      </w:r>
    </w:p>
    <w:p>
      <w:pPr>
        <w:autoSpaceDE w:val="0"/>
        <w:autoSpaceDN w:val="0"/>
        <w:ind w:firstLine="560" w:firstLineChars="200"/>
        <w:rPr>
          <w:rFonts w:ascii="仿宋" w:hAnsi="仿宋" w:eastAsia="仿宋"/>
          <w:bCs/>
          <w:kern w:val="0"/>
          <w:sz w:val="28"/>
          <w:szCs w:val="28"/>
        </w:rPr>
      </w:pPr>
      <w:r>
        <w:rPr>
          <w:rFonts w:ascii="仿宋" w:hAnsi="仿宋" w:eastAsia="仿宋"/>
          <w:bCs/>
          <w:kern w:val="0"/>
          <w:sz w:val="28"/>
          <w:szCs w:val="28"/>
        </w:rPr>
        <w:t>GA 654</w:t>
      </w:r>
      <w:r>
        <w:rPr>
          <w:rFonts w:hint="eastAsia" w:ascii="仿宋" w:hAnsi="仿宋" w:eastAsia="仿宋"/>
          <w:bCs/>
          <w:kern w:val="0"/>
          <w:sz w:val="28"/>
          <w:szCs w:val="28"/>
        </w:rPr>
        <w:t xml:space="preserve">  </w:t>
      </w:r>
      <w:r>
        <w:rPr>
          <w:rFonts w:ascii="仿宋" w:hAnsi="仿宋" w:eastAsia="仿宋"/>
          <w:bCs/>
          <w:kern w:val="0"/>
          <w:sz w:val="28"/>
          <w:szCs w:val="28"/>
        </w:rPr>
        <w:t>人员密集场所消防安全管理</w:t>
      </w:r>
    </w:p>
    <w:p>
      <w:pPr>
        <w:autoSpaceDE w:val="0"/>
        <w:autoSpaceDN w:val="0"/>
        <w:ind w:firstLine="560" w:firstLineChars="200"/>
        <w:rPr>
          <w:rFonts w:ascii="仿宋" w:hAnsi="仿宋" w:eastAsia="仿宋"/>
          <w:bCs/>
          <w:kern w:val="0"/>
          <w:sz w:val="28"/>
          <w:szCs w:val="28"/>
        </w:rPr>
      </w:pPr>
      <w:r>
        <w:rPr>
          <w:rFonts w:hint="eastAsia" w:ascii="仿宋" w:hAnsi="仿宋" w:eastAsia="仿宋"/>
          <w:bCs/>
          <w:kern w:val="0"/>
          <w:sz w:val="28"/>
          <w:szCs w:val="28"/>
        </w:rPr>
        <w:t>JTG F40  公路沥青路面施工技术规范  行人及非机动车道路</w:t>
      </w:r>
    </w:p>
    <w:p>
      <w:pPr>
        <w:autoSpaceDE w:val="0"/>
        <w:autoSpaceDN w:val="0"/>
        <w:ind w:firstLine="560" w:firstLineChars="200"/>
        <w:rPr>
          <w:rFonts w:hint="eastAsia" w:ascii="仿宋" w:hAnsi="仿宋" w:eastAsia="仿宋"/>
          <w:bCs/>
          <w:kern w:val="0"/>
          <w:sz w:val="28"/>
          <w:szCs w:val="28"/>
        </w:rPr>
      </w:pPr>
      <w:r>
        <w:rPr>
          <w:rFonts w:hint="eastAsia" w:ascii="仿宋" w:hAnsi="仿宋" w:eastAsia="仿宋"/>
          <w:bCs/>
          <w:kern w:val="0"/>
          <w:sz w:val="28"/>
          <w:szCs w:val="28"/>
        </w:rPr>
        <w:t>T/CSVA 0102  合成材料面层健身步道要求</w:t>
      </w:r>
    </w:p>
    <w:p>
      <w:pPr>
        <w:autoSpaceDE w:val="0"/>
        <w:autoSpaceDN w:val="0"/>
        <w:ind w:firstLine="560" w:firstLineChars="200"/>
        <w:rPr>
          <w:rFonts w:ascii="仿宋" w:hAnsi="仿宋" w:eastAsia="仿宋"/>
          <w:bCs/>
          <w:kern w:val="0"/>
          <w:sz w:val="28"/>
          <w:szCs w:val="28"/>
        </w:rPr>
      </w:pPr>
      <w:r>
        <w:rPr>
          <w:rFonts w:hint="eastAsia" w:ascii="仿宋" w:hAnsi="仿宋" w:eastAsia="仿宋"/>
          <w:bCs/>
          <w:kern w:val="0"/>
          <w:sz w:val="28"/>
          <w:szCs w:val="28"/>
        </w:rPr>
        <w:t>DB36/T 591</w:t>
      </w:r>
      <w:r>
        <w:rPr>
          <w:rFonts w:hint="eastAsia" w:ascii="仿宋" w:hAnsi="仿宋" w:eastAsia="仿宋"/>
          <w:bCs/>
          <w:kern w:val="0"/>
          <w:sz w:val="28"/>
          <w:szCs w:val="28"/>
          <w:lang w:val="en-US" w:eastAsia="zh-CN"/>
        </w:rPr>
        <w:t xml:space="preserve">  </w:t>
      </w:r>
      <w:r>
        <w:rPr>
          <w:rFonts w:hint="eastAsia" w:ascii="仿宋" w:hAnsi="仿宋" w:eastAsia="仿宋"/>
          <w:bCs/>
          <w:kern w:val="0"/>
          <w:sz w:val="28"/>
          <w:szCs w:val="28"/>
        </w:rPr>
        <w:t xml:space="preserve">江西省旅游生态设施规范  </w:t>
      </w:r>
    </w:p>
    <w:p>
      <w:pPr>
        <w:spacing w:before="312" w:beforeLines="100"/>
        <w:rPr>
          <w:rFonts w:ascii="仿宋" w:hAnsi="仿宋" w:eastAsia="仿宋"/>
          <w:b/>
          <w:sz w:val="28"/>
          <w:szCs w:val="28"/>
        </w:rPr>
      </w:pPr>
      <w:r>
        <w:rPr>
          <w:rFonts w:hint="eastAsia" w:ascii="仿宋" w:hAnsi="仿宋" w:eastAsia="仿宋"/>
          <w:b/>
          <w:sz w:val="28"/>
          <w:szCs w:val="28"/>
        </w:rPr>
        <w:t>四、与有关的现行法律、法规和强制性标准的关系 </w:t>
      </w:r>
    </w:p>
    <w:p>
      <w:pPr>
        <w:pStyle w:val="22"/>
        <w:tabs>
          <w:tab w:val="center" w:pos="4201"/>
          <w:tab w:val="right" w:leader="dot" w:pos="9298"/>
        </w:tabs>
        <w:ind w:firstLine="560"/>
        <w:rPr>
          <w:rFonts w:ascii="仿宋" w:hAnsi="仿宋" w:eastAsia="仿宋"/>
          <w:bCs/>
          <w:sz w:val="28"/>
          <w:szCs w:val="28"/>
        </w:rPr>
      </w:pPr>
      <w:r>
        <w:rPr>
          <w:rFonts w:hint="eastAsia" w:ascii="仿宋" w:hAnsi="仿宋" w:eastAsia="仿宋"/>
          <w:bCs/>
          <w:sz w:val="28"/>
          <w:szCs w:val="28"/>
        </w:rPr>
        <w:t>本规范与我国现行法律、法规和强制性标准没有冲突。</w:t>
      </w:r>
    </w:p>
    <w:p>
      <w:pPr>
        <w:spacing w:before="312" w:beforeLines="100"/>
        <w:rPr>
          <w:rFonts w:ascii="仿宋" w:hAnsi="仿宋" w:eastAsia="仿宋"/>
          <w:b/>
          <w:sz w:val="28"/>
          <w:szCs w:val="28"/>
        </w:rPr>
      </w:pPr>
      <w:r>
        <w:rPr>
          <w:rFonts w:hint="eastAsia" w:ascii="仿宋" w:hAnsi="仿宋" w:eastAsia="仿宋"/>
          <w:b/>
          <w:sz w:val="28"/>
          <w:szCs w:val="28"/>
        </w:rPr>
        <w:t>五、实施预期效益</w:t>
      </w:r>
    </w:p>
    <w:p>
      <w:pPr>
        <w:pStyle w:val="22"/>
        <w:ind w:firstLine="560"/>
        <w:rPr>
          <w:rFonts w:ascii="仿宋" w:hAnsi="仿宋" w:eastAsia="仿宋"/>
          <w:bCs/>
          <w:sz w:val="28"/>
          <w:szCs w:val="28"/>
        </w:rPr>
      </w:pPr>
      <w:r>
        <w:rPr>
          <w:rFonts w:hint="eastAsia" w:ascii="仿宋" w:hAnsi="仿宋" w:eastAsia="仿宋"/>
          <w:bCs/>
          <w:sz w:val="28"/>
          <w:szCs w:val="28"/>
        </w:rPr>
        <w:t>《规范》根据各类健身步道的特点，结合江西省健身步道发展现状、面临的问题与未来发展趋势，在健身步道设计、建设、管理等方面提出了科学合理的要求，对于规范江西省健身步道建设具有重要的指导意义。《规范》的颁布与实施，能够有效促进江西省健身步道健康有序发展，打造具有江西省特色的全民健身名片。同时，规范化的健身步道作为全民健身的重要载体，能够带动相关产业发展，在开展体育赛事、刺激体育旅游等方面具有积极的促进作用，提高招商引资能力，助力脱贫攻坚，推动地方经济增长。</w:t>
      </w:r>
    </w:p>
    <w:p>
      <w:pPr>
        <w:spacing w:before="312" w:beforeLines="100"/>
        <w:rPr>
          <w:rFonts w:ascii="仿宋" w:hAnsi="仿宋" w:eastAsia="仿宋"/>
          <w:b/>
          <w:sz w:val="28"/>
          <w:szCs w:val="28"/>
        </w:rPr>
      </w:pPr>
      <w:r>
        <w:rPr>
          <w:rFonts w:hint="eastAsia" w:ascii="仿宋" w:hAnsi="仿宋" w:eastAsia="仿宋"/>
          <w:b/>
          <w:sz w:val="28"/>
          <w:szCs w:val="28"/>
        </w:rPr>
        <w:t>六</w:t>
      </w:r>
      <w:r>
        <w:rPr>
          <w:rFonts w:ascii="仿宋" w:hAnsi="仿宋" w:eastAsia="仿宋"/>
          <w:b/>
          <w:sz w:val="28"/>
          <w:szCs w:val="28"/>
        </w:rPr>
        <w:t>、贯彻</w:t>
      </w:r>
      <w:r>
        <w:rPr>
          <w:rFonts w:hint="eastAsia" w:ascii="仿宋" w:hAnsi="仿宋" w:eastAsia="仿宋"/>
          <w:b/>
          <w:sz w:val="28"/>
          <w:szCs w:val="28"/>
        </w:rPr>
        <w:t>《规范》</w:t>
      </w:r>
      <w:r>
        <w:rPr>
          <w:rFonts w:ascii="仿宋" w:hAnsi="仿宋" w:eastAsia="仿宋"/>
          <w:b/>
          <w:sz w:val="28"/>
          <w:szCs w:val="28"/>
        </w:rPr>
        <w:t>的要求和措施建议</w:t>
      </w:r>
    </w:p>
    <w:p>
      <w:pPr>
        <w:pStyle w:val="22"/>
        <w:ind w:firstLine="560"/>
        <w:rPr>
          <w:rFonts w:ascii="仿宋" w:hAnsi="仿宋" w:eastAsia="仿宋"/>
          <w:bCs/>
          <w:sz w:val="28"/>
          <w:szCs w:val="28"/>
        </w:rPr>
      </w:pPr>
      <w:r>
        <w:rPr>
          <w:rFonts w:hint="eastAsia" w:ascii="仿宋" w:hAnsi="仿宋" w:eastAsia="仿宋"/>
          <w:bCs/>
          <w:sz w:val="28"/>
          <w:szCs w:val="28"/>
        </w:rPr>
        <w:t>《规范》发布实施后，建议各级体育行政主管部门及健身步道相关管理部门、管理单位认真组织学习，就《规范》具体内容进行解读，使相关执行人员了解《规范》、熟悉《规范》。在落实《规范》的过程中，对于新建的健身步道，其建设者应当首先做到合理选址，并综合考虑选址地的地形地貌、生态环境、经济环境等因素，参照《规范》中相应的建设要求进行规划建设。切勿不考虑实际情况，盲目追求大修大建，造成经济损失；对于改建和扩建的健身步道，其建设者应当充分考虑健身步道现状及运营情况，有效利用原有设施，并根据实际需求参照《规范》中相应的建设要求进行规划建设。</w:t>
      </w:r>
    </w:p>
    <w:p>
      <w:pPr>
        <w:rPr>
          <w:rFonts w:ascii="仿宋" w:hAnsi="仿宋" w:eastAsia="仿宋"/>
          <w:b/>
          <w:sz w:val="28"/>
          <w:szCs w:val="28"/>
        </w:rPr>
      </w:pPr>
      <w:r>
        <w:rPr>
          <w:rFonts w:hint="eastAsia" w:ascii="仿宋" w:hAnsi="仿宋" w:eastAsia="仿宋"/>
          <w:b/>
          <w:sz w:val="28"/>
          <w:szCs w:val="28"/>
        </w:rPr>
        <w:t xml:space="preserve">                                        </w:t>
      </w:r>
    </w:p>
    <w:p>
      <w:pPr>
        <w:rPr>
          <w:rFonts w:ascii="仿宋" w:hAnsi="仿宋" w:eastAsia="仿宋"/>
          <w:b/>
          <w:sz w:val="28"/>
          <w:szCs w:val="28"/>
        </w:rPr>
      </w:pPr>
    </w:p>
    <w:p>
      <w:pPr>
        <w:jc w:val="right"/>
        <w:rPr>
          <w:rFonts w:ascii="仿宋" w:hAnsi="仿宋" w:eastAsia="仿宋"/>
          <w:bCs/>
          <w:kern w:val="0"/>
          <w:sz w:val="28"/>
          <w:szCs w:val="28"/>
        </w:rPr>
      </w:pPr>
      <w:r>
        <w:rPr>
          <w:rFonts w:hint="eastAsia" w:ascii="仿宋" w:hAnsi="仿宋" w:eastAsia="仿宋"/>
          <w:bCs/>
          <w:kern w:val="0"/>
          <w:sz w:val="28"/>
          <w:szCs w:val="28"/>
        </w:rPr>
        <w:t>健身步道建设规范编制组</w:t>
      </w:r>
    </w:p>
    <w:p>
      <w:pPr>
        <w:jc w:val="right"/>
        <w:rPr>
          <w:rFonts w:ascii="仿宋" w:hAnsi="仿宋" w:eastAsia="仿宋"/>
          <w:bCs/>
          <w:kern w:val="0"/>
          <w:sz w:val="28"/>
          <w:szCs w:val="28"/>
        </w:rPr>
      </w:pPr>
      <w:r>
        <w:rPr>
          <w:rFonts w:hint="eastAsia" w:ascii="仿宋" w:hAnsi="仿宋" w:eastAsia="仿宋"/>
          <w:bCs/>
          <w:kern w:val="0"/>
          <w:sz w:val="28"/>
          <w:szCs w:val="28"/>
        </w:rPr>
        <w:t>2019年6月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8A3C1E"/>
    <w:multiLevelType w:val="multilevel"/>
    <w:tmpl w:val="388A3C1E"/>
    <w:lvl w:ilvl="0" w:tentative="0">
      <w:start w:val="1"/>
      <w:numFmt w:val="japaneseCounting"/>
      <w:lvlText w:val="（%1）"/>
      <w:lvlJc w:val="left"/>
      <w:pPr>
        <w:ind w:left="1080" w:hanging="10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7F95F7E"/>
    <w:multiLevelType w:val="multilevel"/>
    <w:tmpl w:val="47F95F7E"/>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9D6EA02"/>
    <w:multiLevelType w:val="multilevel"/>
    <w:tmpl w:val="59D6EA02"/>
    <w:lvl w:ilvl="0" w:tentative="0">
      <w:start w:val="1"/>
      <w:numFmt w:val="decimal"/>
      <w:pStyle w:val="17"/>
      <w:lvlText w:val="%1 "/>
      <w:lvlJc w:val="left"/>
      <w:pPr>
        <w:ind w:left="432" w:hanging="432"/>
      </w:pPr>
      <w:rPr>
        <w:rFonts w:hint="default" w:ascii="Times New Roman" w:hAnsi="Times New Roman" w:eastAsia="宋体" w:cs="宋体"/>
      </w:rPr>
    </w:lvl>
    <w:lvl w:ilvl="1" w:tentative="0">
      <w:start w:val="1"/>
      <w:numFmt w:val="decimal"/>
      <w:pStyle w:val="18"/>
      <w:lvlText w:val="%1.%2 "/>
      <w:lvlJc w:val="left"/>
      <w:pPr>
        <w:ind w:left="575" w:hanging="575"/>
      </w:pPr>
      <w:rPr>
        <w:rFonts w:hint="default" w:ascii="Times New Roman" w:hAnsi="Times New Roman" w:eastAsia="宋体" w:cs="宋体"/>
      </w:rPr>
    </w:lvl>
    <w:lvl w:ilvl="2" w:tentative="0">
      <w:start w:val="1"/>
      <w:numFmt w:val="decimal"/>
      <w:pStyle w:val="19"/>
      <w:lvlText w:val="%1.%2.%3 "/>
      <w:lvlJc w:val="left"/>
      <w:pPr>
        <w:ind w:left="720" w:hanging="720"/>
      </w:pPr>
      <w:rPr>
        <w:rFonts w:hint="default" w:ascii="Times New Roman" w:hAnsi="Times New Roman" w:eastAsia="宋体" w:cs="宋体"/>
      </w:rPr>
    </w:lvl>
    <w:lvl w:ilvl="3" w:tentative="0">
      <w:start w:val="1"/>
      <w:numFmt w:val="decimal"/>
      <w:pStyle w:val="3"/>
      <w:lvlText w:val="%1.%2.%3.%4."/>
      <w:lvlJc w:val="left"/>
      <w:pPr>
        <w:ind w:left="864" w:hanging="864"/>
      </w:pPr>
      <w:rPr>
        <w:rFonts w:hint="default"/>
      </w:rPr>
    </w:lvl>
    <w:lvl w:ilvl="4" w:tentative="0">
      <w:start w:val="1"/>
      <w:numFmt w:val="decimal"/>
      <w:pStyle w:val="4"/>
      <w:lvlText w:val="%1.%2.%3.%4.%5."/>
      <w:lvlJc w:val="left"/>
      <w:pPr>
        <w:ind w:left="1008" w:hanging="1008"/>
      </w:pPr>
      <w:rPr>
        <w:rFonts w:hint="default"/>
      </w:rPr>
    </w:lvl>
    <w:lvl w:ilvl="5" w:tentative="0">
      <w:start w:val="1"/>
      <w:numFmt w:val="decimal"/>
      <w:pStyle w:val="5"/>
      <w:lvlText w:val="%1.%2.%3.%4.%5.%6."/>
      <w:lvlJc w:val="left"/>
      <w:pPr>
        <w:ind w:left="1151" w:hanging="1151"/>
      </w:pPr>
      <w:rPr>
        <w:rFonts w:hint="default"/>
      </w:rPr>
    </w:lvl>
    <w:lvl w:ilvl="6" w:tentative="0">
      <w:start w:val="1"/>
      <w:numFmt w:val="decimal"/>
      <w:pStyle w:val="6"/>
      <w:lvlText w:val="%1.%2.%3.%4.%5.%6.%7."/>
      <w:lvlJc w:val="left"/>
      <w:pPr>
        <w:ind w:left="1296" w:hanging="1296"/>
      </w:pPr>
      <w:rPr>
        <w:rFonts w:hint="default"/>
      </w:rPr>
    </w:lvl>
    <w:lvl w:ilvl="7" w:tentative="0">
      <w:start w:val="1"/>
      <w:numFmt w:val="decimal"/>
      <w:pStyle w:val="7"/>
      <w:lvlText w:val="%1.%2.%3.%4.%5.%6.%7.%8."/>
      <w:lvlJc w:val="left"/>
      <w:pPr>
        <w:ind w:left="1440" w:hanging="1440"/>
      </w:pPr>
      <w:rPr>
        <w:rFonts w:hint="default"/>
      </w:rPr>
    </w:lvl>
    <w:lvl w:ilvl="8" w:tentative="0">
      <w:start w:val="1"/>
      <w:numFmt w:val="decimal"/>
      <w:pStyle w:val="8"/>
      <w:lvlText w:val="%1.%2.%3.%4.%5.%6.%7.%8.%9."/>
      <w:lvlJc w:val="left"/>
      <w:pPr>
        <w:ind w:left="1583" w:hanging="1583"/>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4462A8"/>
    <w:rsid w:val="00014F6B"/>
    <w:rsid w:val="0002592D"/>
    <w:rsid w:val="00027FFD"/>
    <w:rsid w:val="00033170"/>
    <w:rsid w:val="0006009A"/>
    <w:rsid w:val="000669AF"/>
    <w:rsid w:val="000A631B"/>
    <w:rsid w:val="000B725A"/>
    <w:rsid w:val="000D5F33"/>
    <w:rsid w:val="00146526"/>
    <w:rsid w:val="00157834"/>
    <w:rsid w:val="001D26C2"/>
    <w:rsid w:val="001D5484"/>
    <w:rsid w:val="001E2E3F"/>
    <w:rsid w:val="00202DBF"/>
    <w:rsid w:val="00202F1F"/>
    <w:rsid w:val="002056FB"/>
    <w:rsid w:val="002240DD"/>
    <w:rsid w:val="00281D26"/>
    <w:rsid w:val="002E755C"/>
    <w:rsid w:val="002F22D4"/>
    <w:rsid w:val="0031296C"/>
    <w:rsid w:val="00340325"/>
    <w:rsid w:val="00356618"/>
    <w:rsid w:val="00357D33"/>
    <w:rsid w:val="00390FE5"/>
    <w:rsid w:val="003B66F1"/>
    <w:rsid w:val="003D11F3"/>
    <w:rsid w:val="003D7F5B"/>
    <w:rsid w:val="003E7BC9"/>
    <w:rsid w:val="003F72EE"/>
    <w:rsid w:val="00423261"/>
    <w:rsid w:val="0042665C"/>
    <w:rsid w:val="004374DB"/>
    <w:rsid w:val="00455936"/>
    <w:rsid w:val="004764F3"/>
    <w:rsid w:val="004A4AB8"/>
    <w:rsid w:val="004C4E60"/>
    <w:rsid w:val="004D1BF1"/>
    <w:rsid w:val="00500476"/>
    <w:rsid w:val="00504679"/>
    <w:rsid w:val="00515032"/>
    <w:rsid w:val="00542FCF"/>
    <w:rsid w:val="00553B50"/>
    <w:rsid w:val="005648A4"/>
    <w:rsid w:val="00573164"/>
    <w:rsid w:val="00607829"/>
    <w:rsid w:val="00647D45"/>
    <w:rsid w:val="00661700"/>
    <w:rsid w:val="0068561E"/>
    <w:rsid w:val="006E70FD"/>
    <w:rsid w:val="006F2E44"/>
    <w:rsid w:val="00706F1D"/>
    <w:rsid w:val="0074782C"/>
    <w:rsid w:val="00761A68"/>
    <w:rsid w:val="00784D31"/>
    <w:rsid w:val="007915FC"/>
    <w:rsid w:val="007C415E"/>
    <w:rsid w:val="00856010"/>
    <w:rsid w:val="00860FB4"/>
    <w:rsid w:val="0088098F"/>
    <w:rsid w:val="008B38F9"/>
    <w:rsid w:val="009328CA"/>
    <w:rsid w:val="00997CBC"/>
    <w:rsid w:val="00A07B5A"/>
    <w:rsid w:val="00A71DDB"/>
    <w:rsid w:val="00AA4D30"/>
    <w:rsid w:val="00AE3786"/>
    <w:rsid w:val="00AF2A65"/>
    <w:rsid w:val="00B07FCF"/>
    <w:rsid w:val="00B113BF"/>
    <w:rsid w:val="00B55871"/>
    <w:rsid w:val="00B850E8"/>
    <w:rsid w:val="00B87932"/>
    <w:rsid w:val="00BB183D"/>
    <w:rsid w:val="00BC6A84"/>
    <w:rsid w:val="00BD6438"/>
    <w:rsid w:val="00BE6CC9"/>
    <w:rsid w:val="00C54AD3"/>
    <w:rsid w:val="00D00A0D"/>
    <w:rsid w:val="00D10E36"/>
    <w:rsid w:val="00D113C0"/>
    <w:rsid w:val="00D17245"/>
    <w:rsid w:val="00D3104E"/>
    <w:rsid w:val="00D544A6"/>
    <w:rsid w:val="00D8331F"/>
    <w:rsid w:val="00DA0F35"/>
    <w:rsid w:val="00E501E1"/>
    <w:rsid w:val="00E619BC"/>
    <w:rsid w:val="00E73DCE"/>
    <w:rsid w:val="00EF6DEF"/>
    <w:rsid w:val="00F604E6"/>
    <w:rsid w:val="00F63B18"/>
    <w:rsid w:val="00F716B8"/>
    <w:rsid w:val="00F9440D"/>
    <w:rsid w:val="00FD390F"/>
    <w:rsid w:val="00FD677D"/>
    <w:rsid w:val="00FE05BA"/>
    <w:rsid w:val="00FE722D"/>
    <w:rsid w:val="059A3028"/>
    <w:rsid w:val="12F85737"/>
    <w:rsid w:val="26A94D84"/>
    <w:rsid w:val="2B2E2E38"/>
    <w:rsid w:val="2BB93963"/>
    <w:rsid w:val="2EA44B0D"/>
    <w:rsid w:val="3B6267E8"/>
    <w:rsid w:val="3E5E4BEB"/>
    <w:rsid w:val="46F31DCE"/>
    <w:rsid w:val="53BA7BFF"/>
    <w:rsid w:val="546D16A8"/>
    <w:rsid w:val="55986C28"/>
    <w:rsid w:val="57A90EDA"/>
    <w:rsid w:val="599D4A58"/>
    <w:rsid w:val="5A991F68"/>
    <w:rsid w:val="5EF019B5"/>
    <w:rsid w:val="626D008D"/>
    <w:rsid w:val="684462A8"/>
    <w:rsid w:val="70BC28E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outlineLvl w:val="0"/>
    </w:pPr>
    <w:rPr>
      <w:rFonts w:ascii="Calibri" w:hAnsi="Calibri"/>
      <w:kern w:val="44"/>
      <w:sz w:val="24"/>
    </w:rPr>
  </w:style>
  <w:style w:type="paragraph" w:styleId="3">
    <w:name w:val="heading 4"/>
    <w:basedOn w:val="1"/>
    <w:next w:val="1"/>
    <w:unhideWhenUsed/>
    <w:qFormat/>
    <w:uiPriority w:val="0"/>
    <w:pPr>
      <w:keepNext/>
      <w:keepLines/>
      <w:numPr>
        <w:ilvl w:val="3"/>
        <w:numId w:val="1"/>
      </w:numPr>
      <w:spacing w:before="280" w:after="290" w:line="372" w:lineRule="auto"/>
      <w:outlineLvl w:val="3"/>
    </w:pPr>
    <w:rPr>
      <w:rFonts w:ascii="Arial" w:hAnsi="Arial" w:eastAsia="黑体"/>
      <w:b/>
      <w:sz w:val="28"/>
    </w:rPr>
  </w:style>
  <w:style w:type="paragraph" w:styleId="4">
    <w:name w:val="heading 5"/>
    <w:basedOn w:val="1"/>
    <w:next w:val="1"/>
    <w:unhideWhenUsed/>
    <w:qFormat/>
    <w:uiPriority w:val="0"/>
    <w:pPr>
      <w:keepNext/>
      <w:keepLines/>
      <w:numPr>
        <w:ilvl w:val="4"/>
        <w:numId w:val="1"/>
      </w:numPr>
      <w:spacing w:before="280" w:after="290" w:line="372" w:lineRule="auto"/>
      <w:outlineLvl w:val="4"/>
    </w:pPr>
    <w:rPr>
      <w:b/>
      <w:sz w:val="28"/>
    </w:rPr>
  </w:style>
  <w:style w:type="paragraph" w:styleId="5">
    <w:name w:val="heading 6"/>
    <w:basedOn w:val="1"/>
    <w:next w:val="1"/>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6">
    <w:name w:val="heading 7"/>
    <w:basedOn w:val="1"/>
    <w:next w:val="1"/>
    <w:unhideWhenUsed/>
    <w:qFormat/>
    <w:uiPriority w:val="0"/>
    <w:pPr>
      <w:keepNext/>
      <w:keepLines/>
      <w:numPr>
        <w:ilvl w:val="6"/>
        <w:numId w:val="1"/>
      </w:numPr>
      <w:spacing w:before="240" w:after="64" w:line="317" w:lineRule="auto"/>
      <w:outlineLvl w:val="6"/>
    </w:pPr>
    <w:rPr>
      <w:b/>
      <w:sz w:val="24"/>
    </w:rPr>
  </w:style>
  <w:style w:type="paragraph" w:styleId="7">
    <w:name w:val="heading 8"/>
    <w:basedOn w:val="1"/>
    <w:next w:val="1"/>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8">
    <w:name w:val="heading 9"/>
    <w:basedOn w:val="1"/>
    <w:next w:val="1"/>
    <w:unhideWhenUsed/>
    <w:qFormat/>
    <w:uiPriority w:val="0"/>
    <w:pPr>
      <w:keepNext/>
      <w:keepLines/>
      <w:numPr>
        <w:ilvl w:val="8"/>
        <w:numId w:val="1"/>
      </w:numPr>
      <w:spacing w:before="240" w:after="64" w:line="317" w:lineRule="auto"/>
      <w:outlineLvl w:val="8"/>
    </w:pPr>
    <w:rPr>
      <w:rFonts w:ascii="Arial" w:hAnsi="Arial" w:eastAsia="黑体"/>
    </w:rPr>
  </w:style>
  <w:style w:type="character" w:default="1" w:styleId="14">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9">
    <w:name w:val="endnote text"/>
    <w:basedOn w:val="1"/>
    <w:qFormat/>
    <w:uiPriority w:val="0"/>
    <w:pPr>
      <w:snapToGrid w:val="0"/>
      <w:spacing w:line="320" w:lineRule="exact"/>
      <w:jc w:val="left"/>
    </w:pPr>
  </w:style>
  <w:style w:type="paragraph" w:styleId="10">
    <w:name w:val="footer"/>
    <w:basedOn w:val="1"/>
    <w:link w:val="25"/>
    <w:qFormat/>
    <w:uiPriority w:val="0"/>
    <w:pPr>
      <w:tabs>
        <w:tab w:val="center" w:pos="4153"/>
        <w:tab w:val="right" w:pos="8306"/>
      </w:tabs>
      <w:snapToGrid w:val="0"/>
      <w:jc w:val="left"/>
    </w:pPr>
    <w:rPr>
      <w:sz w:val="18"/>
      <w:szCs w:val="18"/>
    </w:rPr>
  </w:style>
  <w:style w:type="paragraph" w:styleId="11">
    <w:name w:val="header"/>
    <w:basedOn w:val="1"/>
    <w:link w:val="24"/>
    <w:uiPriority w:val="0"/>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0"/>
    <w:pPr>
      <w:widowControl w:val="0"/>
      <w:jc w:val="both"/>
    </w:pPr>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5">
    <w:name w:val="endnote reference"/>
    <w:qFormat/>
    <w:uiPriority w:val="0"/>
    <w:rPr>
      <w:rFonts w:ascii="Times New Roman" w:hAnsi="Times New Roman" w:eastAsia="宋体"/>
      <w:vertAlign w:val="superscript"/>
    </w:rPr>
  </w:style>
  <w:style w:type="paragraph" w:customStyle="1" w:styleId="16">
    <w:name w:val="论文正文一级标题"/>
    <w:basedOn w:val="1"/>
    <w:qFormat/>
    <w:uiPriority w:val="0"/>
    <w:rPr>
      <w:rFonts w:asciiTheme="minorHAnsi" w:hAnsiTheme="minorHAnsi"/>
    </w:rPr>
  </w:style>
  <w:style w:type="paragraph" w:customStyle="1" w:styleId="17">
    <w:name w:val="论文正文标题1"/>
    <w:basedOn w:val="1"/>
    <w:qFormat/>
    <w:uiPriority w:val="0"/>
    <w:pPr>
      <w:numPr>
        <w:ilvl w:val="0"/>
        <w:numId w:val="1"/>
      </w:numPr>
      <w:spacing w:before="480" w:after="360"/>
      <w:outlineLvl w:val="0"/>
    </w:pPr>
    <w:rPr>
      <w:rFonts w:eastAsia="黑体"/>
      <w:sz w:val="32"/>
    </w:rPr>
  </w:style>
  <w:style w:type="paragraph" w:customStyle="1" w:styleId="18">
    <w:name w:val="论文正文标题2"/>
    <w:basedOn w:val="17"/>
    <w:qFormat/>
    <w:uiPriority w:val="0"/>
    <w:pPr>
      <w:numPr>
        <w:ilvl w:val="1"/>
      </w:numPr>
      <w:spacing w:after="120"/>
      <w:ind w:left="0" w:firstLine="0"/>
      <w:outlineLvl w:val="1"/>
    </w:pPr>
    <w:rPr>
      <w:sz w:val="26"/>
    </w:rPr>
  </w:style>
  <w:style w:type="paragraph" w:customStyle="1" w:styleId="19">
    <w:name w:val="论文正文标题3"/>
    <w:basedOn w:val="18"/>
    <w:qFormat/>
    <w:uiPriority w:val="0"/>
    <w:pPr>
      <w:numPr>
        <w:ilvl w:val="2"/>
      </w:numPr>
      <w:spacing w:before="240"/>
      <w:outlineLvl w:val="2"/>
    </w:pPr>
  </w:style>
  <w:style w:type="paragraph" w:customStyle="1" w:styleId="20">
    <w:name w:val="论文正文"/>
    <w:basedOn w:val="1"/>
    <w:qFormat/>
    <w:uiPriority w:val="0"/>
    <w:pPr>
      <w:spacing w:line="400" w:lineRule="exact"/>
      <w:ind w:firstLine="562" w:firstLineChars="200"/>
    </w:pPr>
    <w:rPr>
      <w:sz w:val="24"/>
    </w:rPr>
  </w:style>
  <w:style w:type="paragraph" w:styleId="21">
    <w:name w:val="List Paragraph"/>
    <w:basedOn w:val="1"/>
    <w:qFormat/>
    <w:uiPriority w:val="34"/>
    <w:pPr>
      <w:ind w:firstLine="420" w:firstLineChars="200"/>
    </w:pPr>
  </w:style>
  <w:style w:type="paragraph" w:customStyle="1" w:styleId="22">
    <w:name w:val="段"/>
    <w:link w:val="23"/>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
    <w:name w:val="段 Char"/>
    <w:link w:val="22"/>
    <w:qFormat/>
    <w:uiPriority w:val="0"/>
    <w:rPr>
      <w:rFonts w:ascii="宋体" w:hAnsi="Times New Roman"/>
      <w:sz w:val="21"/>
    </w:rPr>
  </w:style>
  <w:style w:type="character" w:customStyle="1" w:styleId="24">
    <w:name w:val="页眉 Char"/>
    <w:basedOn w:val="14"/>
    <w:link w:val="11"/>
    <w:qFormat/>
    <w:uiPriority w:val="0"/>
    <w:rPr>
      <w:rFonts w:ascii="Times New Roman" w:hAnsi="Times New Roman"/>
      <w:kern w:val="2"/>
      <w:sz w:val="18"/>
      <w:szCs w:val="18"/>
    </w:rPr>
  </w:style>
  <w:style w:type="character" w:customStyle="1" w:styleId="25">
    <w:name w:val="页脚 Char"/>
    <w:basedOn w:val="14"/>
    <w:link w:val="10"/>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FA4447-AD35-4B5C-AD59-0F9414802057}">
  <ds:schemaRefs/>
</ds:datastoreItem>
</file>

<file path=docProps/app.xml><?xml version="1.0" encoding="utf-8"?>
<Properties xmlns="http://schemas.openxmlformats.org/officeDocument/2006/extended-properties" xmlns:vt="http://schemas.openxmlformats.org/officeDocument/2006/docPropsVTypes">
  <Template>Normal.dotm</Template>
  <Pages>8</Pages>
  <Words>633</Words>
  <Characters>3609</Characters>
  <Lines>30</Lines>
  <Paragraphs>8</Paragraphs>
  <TotalTime>1362</TotalTime>
  <ScaleCrop>false</ScaleCrop>
  <LinksUpToDate>false</LinksUpToDate>
  <CharactersWithSpaces>4234</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2019-01-04T06:04:00Z</dcterms:created>
  <dc:creator>guangzhi1988</dc:creator>
  <cp:lastModifiedBy>guangzhi1988</cp:lastModifiedBy>
  <dcterms:modified xsi:type="dcterms:W3CDTF">2019-07-24T11:38:31Z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