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44"/>
          <w:szCs w:val="44"/>
        </w:rPr>
      </w:pPr>
    </w:p>
    <w:p>
      <w:pPr>
        <w:jc w:val="center"/>
        <w:rPr>
          <w:rFonts w:ascii="黑体" w:hAnsi="黑体" w:eastAsia="黑体" w:cs="黑体"/>
          <w:b/>
          <w:bCs/>
          <w:sz w:val="44"/>
          <w:szCs w:val="44"/>
        </w:rPr>
      </w:pPr>
    </w:p>
    <w:p>
      <w:pPr>
        <w:jc w:val="center"/>
        <w:rPr>
          <w:rFonts w:ascii="黑体" w:hAnsi="黑体" w:eastAsia="黑体" w:cs="黑体"/>
          <w:b/>
          <w:bCs/>
          <w:sz w:val="44"/>
          <w:szCs w:val="44"/>
        </w:rPr>
      </w:pPr>
      <w:r>
        <w:rPr>
          <w:rFonts w:hint="eastAsia" w:ascii="黑体" w:hAnsi="黑体" w:eastAsia="黑体" w:cs="黑体"/>
          <w:b/>
          <w:bCs/>
          <w:sz w:val="44"/>
          <w:szCs w:val="44"/>
        </w:rPr>
        <w:t>健身步道建设规范</w:t>
      </w:r>
    </w:p>
    <w:p>
      <w:pPr>
        <w:jc w:val="center"/>
        <w:rPr>
          <w:b/>
          <w:bCs/>
          <w:sz w:val="48"/>
          <w:szCs w:val="40"/>
        </w:rPr>
      </w:pPr>
    </w:p>
    <w:p>
      <w:pPr>
        <w:jc w:val="center"/>
        <w:rPr>
          <w:rFonts w:asciiTheme="majorEastAsia" w:hAnsiTheme="majorEastAsia" w:eastAsiaTheme="majorEastAsia" w:cstheme="majorEastAsia"/>
          <w:b/>
          <w:bCs/>
          <w:szCs w:val="32"/>
        </w:rPr>
      </w:pPr>
      <w:r>
        <w:rPr>
          <w:rFonts w:hint="eastAsia" w:asciiTheme="majorEastAsia" w:hAnsiTheme="majorEastAsia" w:eastAsiaTheme="majorEastAsia" w:cstheme="majorEastAsia"/>
          <w:b/>
          <w:bCs/>
          <w:szCs w:val="32"/>
        </w:rPr>
        <w:t>条文说明</w:t>
      </w:r>
    </w:p>
    <w:p>
      <w:pPr>
        <w:jc w:val="center"/>
        <w:rPr>
          <w:b/>
          <w:bCs/>
          <w:sz w:val="48"/>
          <w:szCs w:val="40"/>
        </w:rPr>
      </w:pPr>
    </w:p>
    <w:p>
      <w:pPr>
        <w:jc w:val="center"/>
        <w:rPr>
          <w:b/>
          <w:bCs/>
          <w:sz w:val="36"/>
          <w:szCs w:val="28"/>
        </w:rPr>
      </w:pPr>
      <w:bookmarkStart w:id="58" w:name="_GoBack"/>
      <w:r>
        <w:rPr>
          <w:rFonts w:hint="eastAsia"/>
          <w:b/>
          <w:bCs/>
          <w:sz w:val="36"/>
          <w:szCs w:val="28"/>
        </w:rPr>
        <w:t>（征求意见稿）</w:t>
      </w:r>
    </w:p>
    <w:p>
      <w:pPr>
        <w:jc w:val="center"/>
        <w:rPr>
          <w:b/>
          <w:bCs/>
          <w:sz w:val="36"/>
          <w:szCs w:val="28"/>
        </w:rPr>
      </w:pPr>
    </w:p>
    <w:bookmarkEnd w:id="58"/>
    <w:p>
      <w:pPr>
        <w:jc w:val="center"/>
        <w:rPr>
          <w:b/>
          <w:bCs/>
          <w:sz w:val="36"/>
          <w:szCs w:val="28"/>
        </w:rPr>
      </w:pPr>
    </w:p>
    <w:p>
      <w:pPr>
        <w:jc w:val="center"/>
        <w:rPr>
          <w:b/>
          <w:bCs/>
          <w:sz w:val="36"/>
          <w:szCs w:val="28"/>
        </w:rPr>
      </w:pPr>
    </w:p>
    <w:p>
      <w:pPr>
        <w:jc w:val="center"/>
        <w:rPr>
          <w:b/>
          <w:bCs/>
          <w:sz w:val="36"/>
          <w:szCs w:val="28"/>
        </w:rPr>
      </w:pPr>
    </w:p>
    <w:p>
      <w:pPr>
        <w:jc w:val="center"/>
        <w:rPr>
          <w:b/>
          <w:bCs/>
          <w:sz w:val="36"/>
          <w:szCs w:val="28"/>
        </w:rPr>
      </w:pPr>
    </w:p>
    <w:p>
      <w:pPr>
        <w:jc w:val="center"/>
        <w:rPr>
          <w:b/>
          <w:bCs/>
          <w:sz w:val="36"/>
          <w:szCs w:val="28"/>
        </w:rPr>
      </w:pPr>
    </w:p>
    <w:p>
      <w:pPr>
        <w:jc w:val="center"/>
        <w:rPr>
          <w:b/>
          <w:bCs/>
          <w:sz w:val="36"/>
          <w:szCs w:val="28"/>
        </w:rPr>
      </w:pPr>
    </w:p>
    <w:p>
      <w:pPr>
        <w:jc w:val="center"/>
        <w:rPr>
          <w:b/>
          <w:bCs/>
          <w:sz w:val="36"/>
          <w:szCs w:val="28"/>
        </w:rPr>
      </w:pPr>
    </w:p>
    <w:p>
      <w:pPr>
        <w:jc w:val="center"/>
        <w:rPr>
          <w:b/>
          <w:bCs/>
          <w:sz w:val="36"/>
          <w:szCs w:val="28"/>
        </w:rPr>
      </w:pPr>
    </w:p>
    <w:p>
      <w:pPr>
        <w:jc w:val="center"/>
        <w:rPr>
          <w:b/>
          <w:bCs/>
          <w:sz w:val="36"/>
          <w:szCs w:val="28"/>
        </w:rPr>
      </w:pPr>
    </w:p>
    <w:p>
      <w:pPr>
        <w:jc w:val="center"/>
        <w:rPr>
          <w:b/>
          <w:bCs/>
          <w:sz w:val="36"/>
          <w:szCs w:val="28"/>
        </w:rPr>
      </w:pPr>
    </w:p>
    <w:p>
      <w:pPr>
        <w:jc w:val="right"/>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江西省健身步道建设标准编制组</w:t>
      </w:r>
    </w:p>
    <w:p>
      <w:pPr>
        <w:jc w:val="right"/>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2019年6月</w:t>
      </w:r>
    </w:p>
    <w:p>
      <w:pPr>
        <w:widowControl/>
        <w:jc w:val="center"/>
        <w:rPr>
          <w:rFonts w:asciiTheme="minorEastAsia" w:hAnsiTheme="minorEastAsia" w:eastAsiaTheme="minorEastAsia" w:cstheme="minorEastAsia"/>
          <w:b/>
          <w:sz w:val="28"/>
          <w:szCs w:val="28"/>
        </w:rPr>
        <w:sectPr>
          <w:pgSz w:w="11906" w:h="16838"/>
          <w:pgMar w:top="1440" w:right="1800" w:bottom="1440" w:left="1800" w:header="851" w:footer="992" w:gutter="0"/>
          <w:cols w:space="425" w:num="1"/>
          <w:docGrid w:type="lines" w:linePitch="312" w:charSpace="0"/>
        </w:sectPr>
      </w:pPr>
    </w:p>
    <w:p>
      <w:pPr>
        <w:widowControl/>
        <w:jc w:val="center"/>
        <w:rPr>
          <w:rFonts w:asciiTheme="minorEastAsia" w:hAnsiTheme="minorEastAsia" w:eastAsiaTheme="minorEastAsia" w:cstheme="minorEastAsia"/>
          <w:b/>
          <w:sz w:val="28"/>
          <w:szCs w:val="28"/>
        </w:rPr>
        <w:sectPr>
          <w:footerReference r:id="rId3" w:type="default"/>
          <w:pgSz w:w="11906" w:h="16838"/>
          <w:pgMar w:top="1440" w:right="1800" w:bottom="1440" w:left="1800" w:header="851" w:footer="992" w:gutter="0"/>
          <w:pgNumType w:fmt="upperRoman" w:start="1"/>
          <w:cols w:space="425" w:num="1"/>
          <w:docGrid w:type="lines" w:linePitch="312" w:charSpace="0"/>
        </w:sectPr>
      </w:pPr>
    </w:p>
    <w:p>
      <w:pPr>
        <w:widowControl/>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制定说明</w:t>
      </w:r>
    </w:p>
    <w:p>
      <w:pPr>
        <w:ind w:firstLine="420" w:firstLineChars="200"/>
        <w:jc w:val="left"/>
        <w:rPr>
          <w:rFonts w:asciiTheme="minorEastAsia" w:hAnsiTheme="minorEastAsia" w:eastAsiaTheme="minorEastAsia" w:cstheme="minorEastAsia"/>
          <w:sz w:val="21"/>
          <w:szCs w:val="21"/>
        </w:rPr>
      </w:pPr>
    </w:p>
    <w:p>
      <w:pPr>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便于有关单位在使用本规范时能够正确地理解和执行条文规定，江西省《健身步道建设规范》编制组按章、节、条顺序编制了本规范的条文说明，对条文规定的目的、依据以及执行中需注意的有关事项进行了说明，着重对强制性条文的强制性理由做了解释，供省内使用者参考。本条文说明不具备与规范正文同等的法律效力，仅供使用者作为理解和把握规范时的参考。</w:t>
      </w:r>
    </w:p>
    <w:p>
      <w:pPr>
        <w:jc w:val="left"/>
        <w:rPr>
          <w:rFonts w:asciiTheme="minorEastAsia" w:hAnsiTheme="minorEastAsia" w:eastAsiaTheme="minorEastAsia" w:cstheme="minorEastAsia"/>
          <w:b/>
          <w:bCs/>
          <w:sz w:val="21"/>
          <w:szCs w:val="21"/>
        </w:rPr>
      </w:pPr>
    </w:p>
    <w:p>
      <w:pPr>
        <w:jc w:val="left"/>
        <w:rPr>
          <w:rFonts w:asciiTheme="minorEastAsia" w:hAnsiTheme="minorEastAsia" w:eastAsiaTheme="minorEastAsia" w:cstheme="minorEastAsia"/>
          <w:b/>
          <w:bCs/>
          <w:sz w:val="21"/>
          <w:szCs w:val="21"/>
        </w:rPr>
      </w:pPr>
    </w:p>
    <w:p>
      <w:pPr>
        <w:jc w:val="left"/>
        <w:rPr>
          <w:rFonts w:asciiTheme="minorEastAsia" w:hAnsiTheme="minorEastAsia" w:eastAsiaTheme="minorEastAsia" w:cstheme="minorEastAsia"/>
          <w:b/>
          <w:bCs/>
          <w:sz w:val="21"/>
          <w:szCs w:val="21"/>
        </w:rPr>
      </w:pPr>
    </w:p>
    <w:p>
      <w:pPr>
        <w:jc w:val="left"/>
        <w:rPr>
          <w:rFonts w:asciiTheme="minorEastAsia" w:hAnsiTheme="minorEastAsia" w:eastAsiaTheme="minorEastAsia" w:cstheme="minorEastAsia"/>
          <w:b/>
          <w:bCs/>
          <w:sz w:val="21"/>
          <w:szCs w:val="21"/>
        </w:rPr>
      </w:pPr>
    </w:p>
    <w:p>
      <w:pPr>
        <w:jc w:val="righ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健身步道建设规范编制组</w:t>
      </w:r>
    </w:p>
    <w:p>
      <w:pPr>
        <w:jc w:val="righ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2019年6月</w:t>
      </w:r>
    </w:p>
    <w:p>
      <w:pPr>
        <w:rPr>
          <w:rFonts w:asciiTheme="majorEastAsia" w:hAnsiTheme="majorEastAsia" w:eastAsiaTheme="majorEastAsia" w:cstheme="majorEastAsia"/>
          <w:b/>
          <w:bCs/>
          <w:sz w:val="28"/>
          <w:szCs w:val="28"/>
        </w:rPr>
      </w:pPr>
      <w:r>
        <w:rPr>
          <w:rFonts w:asciiTheme="majorEastAsia" w:hAnsiTheme="majorEastAsia" w:eastAsiaTheme="majorEastAsia" w:cstheme="majorEastAsia"/>
          <w:b/>
          <w:bCs/>
          <w:sz w:val="28"/>
          <w:szCs w:val="28"/>
        </w:rPr>
        <w:br w:type="page"/>
      </w:r>
    </w:p>
    <w:sdt>
      <w:sdtPr>
        <w:rPr>
          <w:rFonts w:hint="eastAsia" w:ascii="黑体" w:hAnsi="黑体" w:eastAsia="黑体" w:cs="黑体"/>
          <w:sz w:val="30"/>
          <w:szCs w:val="30"/>
        </w:rPr>
        <w:id w:val="-1063484174"/>
        <w15:color w:val="DBDBDB"/>
        <w:docPartObj>
          <w:docPartGallery w:val="Table of Contents"/>
          <w:docPartUnique/>
        </w:docPartObj>
      </w:sdtPr>
      <w:sdtEndPr>
        <w:rPr>
          <w:rFonts w:hint="eastAsia" w:ascii="黑体" w:hAnsi="黑体" w:eastAsia="黑体" w:cs="黑体"/>
          <w:sz w:val="21"/>
          <w:szCs w:val="21"/>
        </w:rPr>
      </w:sdtEndPr>
      <w:sdtContent>
        <w:p>
          <w:pPr>
            <w:jc w:val="center"/>
            <w:rPr>
              <w:rFonts w:ascii="黑体" w:hAnsi="黑体" w:eastAsia="黑体" w:cs="黑体"/>
              <w:sz w:val="30"/>
              <w:szCs w:val="30"/>
            </w:rPr>
          </w:pPr>
          <w:bookmarkStart w:id="0" w:name="_Toc7756_WPSOffice_Type1"/>
          <w:r>
            <w:rPr>
              <w:rFonts w:hint="eastAsia" w:ascii="黑体" w:hAnsi="黑体" w:eastAsia="黑体" w:cs="黑体"/>
              <w:sz w:val="30"/>
              <w:szCs w:val="30"/>
            </w:rPr>
            <w:t>目    录</w:t>
          </w:r>
        </w:p>
        <w:p>
          <w:pPr>
            <w:pStyle w:val="28"/>
            <w:tabs>
              <w:tab w:val="right" w:leader="dot" w:pos="8306"/>
            </w:tabs>
            <w:rPr>
              <w:rFonts w:ascii="黑体" w:hAnsi="黑体" w:eastAsia="黑体" w:cs="黑体"/>
              <w:sz w:val="21"/>
              <w:szCs w:val="21"/>
            </w:rPr>
          </w:pPr>
          <w:r>
            <w:fldChar w:fldCharType="begin"/>
          </w:r>
          <w:r>
            <w:instrText xml:space="preserve"> HYPERLINK \l "_Toc29258_WPSOffice_Level1" </w:instrText>
          </w:r>
          <w:r>
            <w:fldChar w:fldCharType="separate"/>
          </w:r>
          <w:sdt>
            <w:sdtPr>
              <w:rPr>
                <w:rFonts w:hint="eastAsia" w:ascii="黑体" w:hAnsi="黑体" w:eastAsia="黑体" w:cs="黑体"/>
                <w:smallCaps/>
                <w:kern w:val="2"/>
                <w:sz w:val="21"/>
                <w:szCs w:val="21"/>
              </w:rPr>
              <w:id w:val="147471738"/>
              <w:placeholder>
                <w:docPart w:val="{b610b002-348c-4ead-9796-b067cc4bb050}"/>
              </w:placeholder>
              <w15:color w:val="509DF3"/>
            </w:sdtPr>
            <w:sdtEndPr>
              <w:rPr>
                <w:rFonts w:hint="eastAsia" w:ascii="黑体" w:hAnsi="黑体" w:eastAsia="黑体" w:cs="黑体"/>
                <w:smallCaps/>
                <w:kern w:val="2"/>
                <w:sz w:val="21"/>
                <w:szCs w:val="21"/>
              </w:rPr>
            </w:sdtEndPr>
            <w:sdtContent>
              <w:r>
                <w:rPr>
                  <w:rFonts w:hint="eastAsia" w:ascii="黑体" w:hAnsi="黑体" w:eastAsia="黑体" w:cs="黑体"/>
                  <w:sz w:val="21"/>
                  <w:szCs w:val="21"/>
                </w:rPr>
                <w:t>1. 范围</w:t>
              </w:r>
            </w:sdtContent>
          </w:sdt>
          <w:r>
            <w:rPr>
              <w:rFonts w:hint="eastAsia" w:ascii="黑体" w:hAnsi="黑体" w:eastAsia="黑体" w:cs="黑体"/>
              <w:sz w:val="21"/>
              <w:szCs w:val="21"/>
            </w:rPr>
            <w:tab/>
          </w:r>
          <w:bookmarkStart w:id="1" w:name="_Toc29258_WPSOffice_Level1Page"/>
          <w:r>
            <w:rPr>
              <w:rFonts w:hint="eastAsia" w:ascii="黑体" w:hAnsi="黑体" w:eastAsia="黑体" w:cs="黑体"/>
              <w:sz w:val="21"/>
              <w:szCs w:val="21"/>
            </w:rPr>
            <w:t>1</w:t>
          </w:r>
          <w:bookmarkEnd w:id="1"/>
          <w:r>
            <w:rPr>
              <w:rFonts w:hint="eastAsia" w:ascii="黑体" w:hAnsi="黑体" w:eastAsia="黑体" w:cs="黑体"/>
              <w:sz w:val="21"/>
              <w:szCs w:val="21"/>
            </w:rPr>
            <w:fldChar w:fldCharType="end"/>
          </w:r>
        </w:p>
        <w:p>
          <w:pPr>
            <w:pStyle w:val="28"/>
            <w:tabs>
              <w:tab w:val="right" w:leader="dot" w:pos="8306"/>
            </w:tabs>
            <w:rPr>
              <w:rFonts w:ascii="黑体" w:hAnsi="黑体" w:eastAsia="黑体" w:cs="黑体"/>
              <w:sz w:val="21"/>
              <w:szCs w:val="21"/>
            </w:rPr>
          </w:pPr>
          <w:r>
            <w:fldChar w:fldCharType="begin"/>
          </w:r>
          <w:r>
            <w:instrText xml:space="preserve"> HYPERLINK \l "_Toc7756_WPSOffice_Level1" </w:instrText>
          </w:r>
          <w:r>
            <w:fldChar w:fldCharType="separate"/>
          </w:r>
          <w:sdt>
            <w:sdtPr>
              <w:rPr>
                <w:rFonts w:hint="eastAsia" w:ascii="黑体" w:hAnsi="黑体" w:eastAsia="黑体" w:cs="黑体"/>
                <w:smallCaps/>
                <w:kern w:val="2"/>
                <w:sz w:val="21"/>
                <w:szCs w:val="21"/>
              </w:rPr>
              <w:id w:val="-276337359"/>
              <w:placeholder>
                <w:docPart w:val="{e1d971fa-5f40-4034-ba1c-5719528a25cc}"/>
              </w:placeholder>
              <w15:color w:val="509DF3"/>
            </w:sdtPr>
            <w:sdtEndPr>
              <w:rPr>
                <w:rFonts w:hint="eastAsia" w:ascii="黑体" w:hAnsi="黑体" w:eastAsia="黑体" w:cs="黑体"/>
                <w:smallCaps/>
                <w:kern w:val="2"/>
                <w:sz w:val="21"/>
                <w:szCs w:val="21"/>
              </w:rPr>
            </w:sdtEndPr>
            <w:sdtContent>
              <w:r>
                <w:rPr>
                  <w:rFonts w:hint="eastAsia" w:ascii="黑体" w:hAnsi="黑体" w:eastAsia="黑体" w:cs="黑体"/>
                  <w:sz w:val="21"/>
                  <w:szCs w:val="21"/>
                </w:rPr>
                <w:t>2. 规范性引用文件</w:t>
              </w:r>
            </w:sdtContent>
          </w:sdt>
          <w:r>
            <w:rPr>
              <w:rFonts w:hint="eastAsia" w:ascii="黑体" w:hAnsi="黑体" w:eastAsia="黑体" w:cs="黑体"/>
              <w:sz w:val="21"/>
              <w:szCs w:val="21"/>
            </w:rPr>
            <w:tab/>
          </w:r>
          <w:bookmarkStart w:id="2" w:name="_Toc7756_WPSOffice_Level1Page"/>
          <w:r>
            <w:rPr>
              <w:rFonts w:hint="eastAsia" w:ascii="黑体" w:hAnsi="黑体" w:eastAsia="黑体" w:cs="黑体"/>
              <w:sz w:val="21"/>
              <w:szCs w:val="21"/>
            </w:rPr>
            <w:t>1</w:t>
          </w:r>
          <w:bookmarkEnd w:id="2"/>
          <w:r>
            <w:rPr>
              <w:rFonts w:hint="eastAsia" w:ascii="黑体" w:hAnsi="黑体" w:eastAsia="黑体" w:cs="黑体"/>
              <w:sz w:val="21"/>
              <w:szCs w:val="21"/>
            </w:rPr>
            <w:fldChar w:fldCharType="end"/>
          </w:r>
        </w:p>
        <w:p>
          <w:pPr>
            <w:pStyle w:val="28"/>
            <w:tabs>
              <w:tab w:val="right" w:leader="dot" w:pos="8306"/>
            </w:tabs>
            <w:rPr>
              <w:rFonts w:ascii="黑体" w:hAnsi="黑体" w:eastAsia="黑体" w:cs="黑体"/>
              <w:sz w:val="21"/>
              <w:szCs w:val="21"/>
            </w:rPr>
          </w:pPr>
          <w:r>
            <w:fldChar w:fldCharType="begin"/>
          </w:r>
          <w:r>
            <w:instrText xml:space="preserve"> HYPERLINK \l "_Toc24560_WPSOffice_Level1" </w:instrText>
          </w:r>
          <w:r>
            <w:fldChar w:fldCharType="separate"/>
          </w:r>
          <w:sdt>
            <w:sdtPr>
              <w:rPr>
                <w:rFonts w:hint="eastAsia" w:ascii="黑体" w:hAnsi="黑体" w:eastAsia="黑体" w:cs="黑体"/>
                <w:smallCaps/>
                <w:kern w:val="2"/>
                <w:sz w:val="21"/>
                <w:szCs w:val="21"/>
              </w:rPr>
              <w:id w:val="962857325"/>
              <w:placeholder>
                <w:docPart w:val="{e570a7c1-c441-452b-9b92-d6aeb36bfc1c}"/>
              </w:placeholder>
              <w15:color w:val="509DF3"/>
            </w:sdtPr>
            <w:sdtEndPr>
              <w:rPr>
                <w:rFonts w:hint="eastAsia" w:ascii="黑体" w:hAnsi="黑体" w:eastAsia="黑体" w:cs="黑体"/>
                <w:smallCaps/>
                <w:kern w:val="2"/>
                <w:sz w:val="21"/>
                <w:szCs w:val="21"/>
              </w:rPr>
            </w:sdtEndPr>
            <w:sdtContent>
              <w:r>
                <w:rPr>
                  <w:rFonts w:hint="eastAsia" w:ascii="黑体" w:hAnsi="黑体" w:eastAsia="黑体" w:cs="黑体"/>
                  <w:sz w:val="21"/>
                  <w:szCs w:val="21"/>
                </w:rPr>
                <w:t>4. 总则</w:t>
              </w:r>
            </w:sdtContent>
          </w:sdt>
          <w:r>
            <w:rPr>
              <w:rFonts w:hint="eastAsia" w:ascii="黑体" w:hAnsi="黑体" w:eastAsia="黑体" w:cs="黑体"/>
              <w:sz w:val="21"/>
              <w:szCs w:val="21"/>
            </w:rPr>
            <w:tab/>
          </w:r>
          <w:bookmarkStart w:id="3" w:name="_Toc24560_WPSOffice_Level1Page"/>
          <w:r>
            <w:rPr>
              <w:rFonts w:hint="eastAsia" w:ascii="黑体" w:hAnsi="黑体" w:eastAsia="黑体" w:cs="黑体"/>
              <w:sz w:val="21"/>
              <w:szCs w:val="21"/>
            </w:rPr>
            <w:t>1</w:t>
          </w:r>
          <w:bookmarkEnd w:id="3"/>
          <w:r>
            <w:rPr>
              <w:rFonts w:hint="eastAsia" w:ascii="黑体" w:hAnsi="黑体" w:eastAsia="黑体" w:cs="黑体"/>
              <w:sz w:val="21"/>
              <w:szCs w:val="21"/>
            </w:rPr>
            <w:fldChar w:fldCharType="end"/>
          </w:r>
        </w:p>
        <w:p>
          <w:pPr>
            <w:pStyle w:val="28"/>
            <w:tabs>
              <w:tab w:val="right" w:leader="dot" w:pos="8306"/>
            </w:tabs>
            <w:rPr>
              <w:rFonts w:ascii="黑体" w:hAnsi="黑体" w:eastAsia="黑体" w:cs="黑体"/>
              <w:sz w:val="21"/>
              <w:szCs w:val="21"/>
            </w:rPr>
          </w:pPr>
          <w:r>
            <w:fldChar w:fldCharType="begin"/>
          </w:r>
          <w:r>
            <w:instrText xml:space="preserve"> HYPERLINK \l "_Toc27848_WPSOffice_Level1" </w:instrText>
          </w:r>
          <w:r>
            <w:fldChar w:fldCharType="separate"/>
          </w:r>
          <w:sdt>
            <w:sdtPr>
              <w:rPr>
                <w:rFonts w:hint="eastAsia" w:ascii="黑体" w:hAnsi="黑体" w:eastAsia="黑体" w:cs="黑体"/>
                <w:smallCaps/>
                <w:kern w:val="2"/>
                <w:sz w:val="21"/>
                <w:szCs w:val="21"/>
              </w:rPr>
              <w:id w:val="-432977706"/>
              <w:placeholder>
                <w:docPart w:val="{cfb5052a-18e2-41f4-8b8f-0f4601a2356d}"/>
              </w:placeholder>
              <w15:color w:val="509DF3"/>
            </w:sdtPr>
            <w:sdtEndPr>
              <w:rPr>
                <w:rFonts w:hint="eastAsia" w:ascii="黑体" w:hAnsi="黑体" w:eastAsia="黑体" w:cs="黑体"/>
                <w:smallCaps/>
                <w:kern w:val="2"/>
                <w:sz w:val="21"/>
                <w:szCs w:val="21"/>
              </w:rPr>
            </w:sdtEndPr>
            <w:sdtContent>
              <w:r>
                <w:rPr>
                  <w:rFonts w:hint="eastAsia" w:ascii="黑体" w:hAnsi="黑体" w:eastAsia="黑体" w:cs="黑体"/>
                  <w:sz w:val="21"/>
                  <w:szCs w:val="21"/>
                </w:rPr>
                <w:t>5. 分类与构成</w:t>
              </w:r>
            </w:sdtContent>
          </w:sdt>
          <w:r>
            <w:rPr>
              <w:rFonts w:hint="eastAsia" w:ascii="黑体" w:hAnsi="黑体" w:eastAsia="黑体" w:cs="黑体"/>
              <w:sz w:val="21"/>
              <w:szCs w:val="21"/>
            </w:rPr>
            <w:tab/>
          </w:r>
          <w:bookmarkStart w:id="4" w:name="_Toc27848_WPSOffice_Level1Page"/>
          <w:r>
            <w:rPr>
              <w:rFonts w:hint="eastAsia" w:ascii="黑体" w:hAnsi="黑体" w:eastAsia="黑体" w:cs="黑体"/>
              <w:sz w:val="21"/>
              <w:szCs w:val="21"/>
            </w:rPr>
            <w:t>2</w:t>
          </w:r>
          <w:bookmarkEnd w:id="4"/>
          <w:r>
            <w:rPr>
              <w:rFonts w:hint="eastAsia" w:ascii="黑体" w:hAnsi="黑体" w:eastAsia="黑体" w:cs="黑体"/>
              <w:sz w:val="21"/>
              <w:szCs w:val="21"/>
            </w:rPr>
            <w:fldChar w:fldCharType="end"/>
          </w:r>
        </w:p>
        <w:p>
          <w:pPr>
            <w:pStyle w:val="28"/>
            <w:tabs>
              <w:tab w:val="right" w:leader="dot" w:pos="8306"/>
            </w:tabs>
            <w:rPr>
              <w:rFonts w:ascii="黑体" w:hAnsi="黑体" w:eastAsia="黑体" w:cs="黑体"/>
              <w:sz w:val="21"/>
              <w:szCs w:val="21"/>
            </w:rPr>
          </w:pPr>
          <w:r>
            <w:fldChar w:fldCharType="begin"/>
          </w:r>
          <w:r>
            <w:instrText xml:space="preserve"> HYPERLINK \l "_Toc740_WPSOffice_Level1" </w:instrText>
          </w:r>
          <w:r>
            <w:fldChar w:fldCharType="separate"/>
          </w:r>
          <w:sdt>
            <w:sdtPr>
              <w:rPr>
                <w:rFonts w:hint="eastAsia" w:ascii="黑体" w:hAnsi="黑体" w:eastAsia="黑体" w:cs="黑体"/>
                <w:smallCaps/>
                <w:kern w:val="2"/>
                <w:sz w:val="21"/>
                <w:szCs w:val="21"/>
              </w:rPr>
              <w:id w:val="-1596168496"/>
              <w:placeholder>
                <w:docPart w:val="{d5afcfbb-2603-47db-82a4-4f598026e1fb}"/>
              </w:placeholder>
              <w15:color w:val="509DF3"/>
            </w:sdtPr>
            <w:sdtEndPr>
              <w:rPr>
                <w:rFonts w:hint="eastAsia" w:ascii="黑体" w:hAnsi="黑体" w:eastAsia="黑体" w:cs="黑体"/>
                <w:smallCaps/>
                <w:kern w:val="2"/>
                <w:sz w:val="21"/>
                <w:szCs w:val="21"/>
              </w:rPr>
            </w:sdtEndPr>
            <w:sdtContent>
              <w:r>
                <w:rPr>
                  <w:rFonts w:hint="eastAsia" w:ascii="黑体" w:hAnsi="黑体" w:eastAsia="黑体" w:cs="黑体"/>
                  <w:sz w:val="21"/>
                  <w:szCs w:val="21"/>
                </w:rPr>
                <w:t>6. 选线要求</w:t>
              </w:r>
            </w:sdtContent>
          </w:sdt>
          <w:r>
            <w:rPr>
              <w:rFonts w:hint="eastAsia" w:ascii="黑体" w:hAnsi="黑体" w:eastAsia="黑体" w:cs="黑体"/>
              <w:sz w:val="21"/>
              <w:szCs w:val="21"/>
            </w:rPr>
            <w:tab/>
          </w:r>
          <w:bookmarkStart w:id="5" w:name="_Toc740_WPSOffice_Level1Page"/>
          <w:r>
            <w:rPr>
              <w:rFonts w:hint="eastAsia" w:ascii="黑体" w:hAnsi="黑体" w:eastAsia="黑体" w:cs="黑体"/>
              <w:sz w:val="21"/>
              <w:szCs w:val="21"/>
            </w:rPr>
            <w:t>3</w:t>
          </w:r>
          <w:bookmarkEnd w:id="5"/>
          <w:r>
            <w:rPr>
              <w:rFonts w:hint="eastAsia" w:ascii="黑体" w:hAnsi="黑体" w:eastAsia="黑体" w:cs="黑体"/>
              <w:sz w:val="21"/>
              <w:szCs w:val="21"/>
            </w:rPr>
            <w:fldChar w:fldCharType="end"/>
          </w:r>
        </w:p>
        <w:p>
          <w:pPr>
            <w:pStyle w:val="28"/>
            <w:tabs>
              <w:tab w:val="right" w:leader="dot" w:pos="8306"/>
            </w:tabs>
            <w:rPr>
              <w:rFonts w:ascii="黑体" w:hAnsi="黑体" w:eastAsia="黑体" w:cs="黑体"/>
              <w:sz w:val="21"/>
              <w:szCs w:val="21"/>
            </w:rPr>
          </w:pPr>
          <w:r>
            <w:fldChar w:fldCharType="begin"/>
          </w:r>
          <w:r>
            <w:instrText xml:space="preserve"> HYPERLINK \l "_Toc13523_WPSOffice_Level1" </w:instrText>
          </w:r>
          <w:r>
            <w:fldChar w:fldCharType="separate"/>
          </w:r>
          <w:sdt>
            <w:sdtPr>
              <w:rPr>
                <w:rFonts w:hint="eastAsia" w:ascii="黑体" w:hAnsi="黑体" w:eastAsia="黑体" w:cs="黑体"/>
                <w:smallCaps/>
                <w:kern w:val="2"/>
                <w:sz w:val="21"/>
                <w:szCs w:val="21"/>
              </w:rPr>
              <w:id w:val="-1571339982"/>
              <w:placeholder>
                <w:docPart w:val="{4739b297-ab53-477e-833a-0bc0d6a1bea3}"/>
              </w:placeholder>
              <w15:color w:val="509DF3"/>
            </w:sdtPr>
            <w:sdtEndPr>
              <w:rPr>
                <w:rFonts w:hint="eastAsia" w:ascii="黑体" w:hAnsi="黑体" w:eastAsia="黑体" w:cs="黑体"/>
                <w:smallCaps/>
                <w:kern w:val="2"/>
                <w:sz w:val="21"/>
                <w:szCs w:val="21"/>
              </w:rPr>
            </w:sdtEndPr>
            <w:sdtContent>
              <w:r>
                <w:rPr>
                  <w:rFonts w:hint="eastAsia" w:ascii="黑体" w:hAnsi="黑体" w:eastAsia="黑体" w:cs="黑体"/>
                  <w:sz w:val="21"/>
                  <w:szCs w:val="21"/>
                </w:rPr>
                <w:t>7. 设计要求</w:t>
              </w:r>
            </w:sdtContent>
          </w:sdt>
          <w:r>
            <w:rPr>
              <w:rFonts w:hint="eastAsia" w:ascii="黑体" w:hAnsi="黑体" w:eastAsia="黑体" w:cs="黑体"/>
              <w:sz w:val="21"/>
              <w:szCs w:val="21"/>
            </w:rPr>
            <w:tab/>
          </w:r>
          <w:bookmarkStart w:id="6" w:name="_Toc13523_WPSOffice_Level1Page"/>
          <w:r>
            <w:rPr>
              <w:rFonts w:hint="eastAsia" w:ascii="黑体" w:hAnsi="黑体" w:eastAsia="黑体" w:cs="黑体"/>
              <w:sz w:val="21"/>
              <w:szCs w:val="21"/>
            </w:rPr>
            <w:t>4</w:t>
          </w:r>
          <w:bookmarkEnd w:id="6"/>
          <w:r>
            <w:rPr>
              <w:rFonts w:hint="eastAsia" w:ascii="黑体" w:hAnsi="黑体" w:eastAsia="黑体" w:cs="黑体"/>
              <w:sz w:val="21"/>
              <w:szCs w:val="21"/>
            </w:rPr>
            <w:fldChar w:fldCharType="end"/>
          </w:r>
        </w:p>
        <w:p>
          <w:pPr>
            <w:pStyle w:val="28"/>
            <w:tabs>
              <w:tab w:val="right" w:leader="dot" w:pos="8306"/>
            </w:tabs>
            <w:rPr>
              <w:rFonts w:ascii="黑体" w:hAnsi="黑体" w:eastAsia="黑体" w:cs="黑体"/>
              <w:sz w:val="21"/>
              <w:szCs w:val="21"/>
            </w:rPr>
          </w:pPr>
          <w:r>
            <w:fldChar w:fldCharType="begin"/>
          </w:r>
          <w:r>
            <w:instrText xml:space="preserve"> HYPERLINK \l "_Toc945_WPSOffice_Level1" </w:instrText>
          </w:r>
          <w:r>
            <w:fldChar w:fldCharType="separate"/>
          </w:r>
          <w:sdt>
            <w:sdtPr>
              <w:rPr>
                <w:rFonts w:hint="eastAsia" w:ascii="黑体" w:hAnsi="黑体" w:eastAsia="黑体" w:cs="黑体"/>
                <w:smallCaps/>
                <w:kern w:val="2"/>
                <w:sz w:val="21"/>
                <w:szCs w:val="21"/>
              </w:rPr>
              <w:id w:val="1757170267"/>
              <w:placeholder>
                <w:docPart w:val="{8a88b9b7-09cb-4aae-9301-d039a5b42fb7}"/>
              </w:placeholder>
              <w15:color w:val="509DF3"/>
            </w:sdtPr>
            <w:sdtEndPr>
              <w:rPr>
                <w:rFonts w:hint="eastAsia" w:ascii="黑体" w:hAnsi="黑体" w:eastAsia="黑体" w:cs="黑体"/>
                <w:smallCaps/>
                <w:kern w:val="2"/>
                <w:sz w:val="21"/>
                <w:szCs w:val="21"/>
              </w:rPr>
            </w:sdtEndPr>
            <w:sdtContent>
              <w:r>
                <w:rPr>
                  <w:rFonts w:hint="eastAsia" w:ascii="黑体" w:hAnsi="黑体" w:eastAsia="黑体" w:cs="黑体"/>
                  <w:sz w:val="21"/>
                  <w:szCs w:val="21"/>
                </w:rPr>
                <w:t>8. 建设要求</w:t>
              </w:r>
            </w:sdtContent>
          </w:sdt>
          <w:r>
            <w:rPr>
              <w:rFonts w:hint="eastAsia" w:ascii="黑体" w:hAnsi="黑体" w:eastAsia="黑体" w:cs="黑体"/>
              <w:sz w:val="21"/>
              <w:szCs w:val="21"/>
            </w:rPr>
            <w:tab/>
          </w:r>
          <w:bookmarkStart w:id="7" w:name="_Toc945_WPSOffice_Level1Page"/>
          <w:r>
            <w:rPr>
              <w:rFonts w:hint="eastAsia" w:ascii="黑体" w:hAnsi="黑体" w:eastAsia="黑体" w:cs="黑体"/>
              <w:sz w:val="21"/>
              <w:szCs w:val="21"/>
            </w:rPr>
            <w:t>9</w:t>
          </w:r>
          <w:bookmarkEnd w:id="7"/>
          <w:r>
            <w:rPr>
              <w:rFonts w:hint="eastAsia" w:ascii="黑体" w:hAnsi="黑体" w:eastAsia="黑体" w:cs="黑体"/>
              <w:sz w:val="21"/>
              <w:szCs w:val="21"/>
            </w:rPr>
            <w:fldChar w:fldCharType="end"/>
          </w:r>
        </w:p>
        <w:p>
          <w:pPr>
            <w:pStyle w:val="28"/>
            <w:tabs>
              <w:tab w:val="right" w:leader="dot" w:pos="8306"/>
            </w:tabs>
            <w:rPr>
              <w:rFonts w:ascii="黑体" w:hAnsi="黑体" w:eastAsia="黑体" w:cs="黑体"/>
              <w:sz w:val="21"/>
              <w:szCs w:val="21"/>
            </w:rPr>
          </w:pPr>
          <w:r>
            <w:fldChar w:fldCharType="begin"/>
          </w:r>
          <w:r>
            <w:instrText xml:space="preserve"> HYPERLINK \l "_Toc25797_WPSOffice_Level1" </w:instrText>
          </w:r>
          <w:r>
            <w:fldChar w:fldCharType="separate"/>
          </w:r>
          <w:sdt>
            <w:sdtPr>
              <w:rPr>
                <w:rFonts w:hint="eastAsia" w:ascii="黑体" w:hAnsi="黑体" w:eastAsia="黑体" w:cs="黑体"/>
                <w:smallCaps/>
                <w:kern w:val="2"/>
                <w:sz w:val="21"/>
                <w:szCs w:val="21"/>
              </w:rPr>
              <w:id w:val="-506214850"/>
              <w:placeholder>
                <w:docPart w:val="{987669cd-fc08-4eab-a36d-a57d36cddcde}"/>
              </w:placeholder>
              <w15:color w:val="509DF3"/>
            </w:sdtPr>
            <w:sdtEndPr>
              <w:rPr>
                <w:rFonts w:hint="eastAsia" w:ascii="黑体" w:hAnsi="黑体" w:eastAsia="黑体" w:cs="黑体"/>
                <w:smallCaps/>
                <w:kern w:val="2"/>
                <w:sz w:val="21"/>
                <w:szCs w:val="21"/>
              </w:rPr>
            </w:sdtEndPr>
            <w:sdtContent>
              <w:r>
                <w:rPr>
                  <w:rFonts w:hint="eastAsia" w:ascii="黑体" w:hAnsi="黑体" w:eastAsia="黑体" w:cs="黑体"/>
                  <w:sz w:val="21"/>
                  <w:szCs w:val="21"/>
                </w:rPr>
                <w:t>9. 验收</w:t>
              </w:r>
            </w:sdtContent>
          </w:sdt>
          <w:r>
            <w:rPr>
              <w:rFonts w:hint="eastAsia" w:ascii="黑体" w:hAnsi="黑体" w:eastAsia="黑体" w:cs="黑体"/>
              <w:sz w:val="21"/>
              <w:szCs w:val="21"/>
            </w:rPr>
            <w:tab/>
          </w:r>
          <w:bookmarkStart w:id="8" w:name="_Toc25797_WPSOffice_Level1Page"/>
          <w:r>
            <w:rPr>
              <w:rFonts w:hint="eastAsia" w:ascii="黑体" w:hAnsi="黑体" w:eastAsia="黑体" w:cs="黑体"/>
              <w:sz w:val="21"/>
              <w:szCs w:val="21"/>
            </w:rPr>
            <w:t>14</w:t>
          </w:r>
          <w:bookmarkEnd w:id="8"/>
          <w:r>
            <w:rPr>
              <w:rFonts w:hint="eastAsia" w:ascii="黑体" w:hAnsi="黑体" w:eastAsia="黑体" w:cs="黑体"/>
              <w:sz w:val="21"/>
              <w:szCs w:val="21"/>
            </w:rPr>
            <w:fldChar w:fldCharType="end"/>
          </w:r>
        </w:p>
        <w:p>
          <w:pPr>
            <w:pStyle w:val="28"/>
            <w:tabs>
              <w:tab w:val="right" w:leader="dot" w:pos="8306"/>
            </w:tabs>
            <w:rPr>
              <w:rFonts w:ascii="黑体" w:hAnsi="黑体" w:eastAsia="黑体" w:cs="黑体"/>
              <w:sz w:val="21"/>
              <w:szCs w:val="21"/>
            </w:rPr>
          </w:pPr>
          <w:r>
            <w:fldChar w:fldCharType="begin"/>
          </w:r>
          <w:r>
            <w:instrText xml:space="preserve"> HYPERLINK \l "_Toc9582_WPSOffice_Level1" </w:instrText>
          </w:r>
          <w:r>
            <w:fldChar w:fldCharType="separate"/>
          </w:r>
          <w:sdt>
            <w:sdtPr>
              <w:rPr>
                <w:rFonts w:hint="eastAsia" w:ascii="黑体" w:hAnsi="黑体" w:eastAsia="黑体" w:cs="黑体"/>
                <w:smallCaps/>
                <w:kern w:val="2"/>
                <w:sz w:val="21"/>
                <w:szCs w:val="21"/>
              </w:rPr>
              <w:id w:val="-1497797284"/>
              <w:placeholder>
                <w:docPart w:val="{4aa974e3-6ab4-4846-ad80-b9fa3b8295e3}"/>
              </w:placeholder>
              <w15:color w:val="509DF3"/>
            </w:sdtPr>
            <w:sdtEndPr>
              <w:rPr>
                <w:rFonts w:hint="eastAsia" w:ascii="黑体" w:hAnsi="黑体" w:eastAsia="黑体" w:cs="黑体"/>
                <w:smallCaps/>
                <w:kern w:val="2"/>
                <w:sz w:val="21"/>
                <w:szCs w:val="21"/>
              </w:rPr>
            </w:sdtEndPr>
            <w:sdtContent>
              <w:r>
                <w:rPr>
                  <w:rFonts w:hint="eastAsia" w:ascii="黑体" w:hAnsi="黑体" w:eastAsia="黑体" w:cs="黑体"/>
                  <w:sz w:val="21"/>
                  <w:szCs w:val="21"/>
                </w:rPr>
                <w:t>10. 使用安全</w:t>
              </w:r>
            </w:sdtContent>
          </w:sdt>
          <w:r>
            <w:rPr>
              <w:rFonts w:hint="eastAsia" w:ascii="黑体" w:hAnsi="黑体" w:eastAsia="黑体" w:cs="黑体"/>
              <w:sz w:val="21"/>
              <w:szCs w:val="21"/>
            </w:rPr>
            <w:tab/>
          </w:r>
          <w:bookmarkStart w:id="9" w:name="_Toc9582_WPSOffice_Level1Page"/>
          <w:r>
            <w:rPr>
              <w:rFonts w:hint="eastAsia" w:ascii="黑体" w:hAnsi="黑体" w:eastAsia="黑体" w:cs="黑体"/>
              <w:sz w:val="21"/>
              <w:szCs w:val="21"/>
            </w:rPr>
            <w:t>14</w:t>
          </w:r>
          <w:bookmarkEnd w:id="9"/>
          <w:r>
            <w:rPr>
              <w:rFonts w:hint="eastAsia" w:ascii="黑体" w:hAnsi="黑体" w:eastAsia="黑体" w:cs="黑体"/>
              <w:sz w:val="21"/>
              <w:szCs w:val="21"/>
            </w:rPr>
            <w:fldChar w:fldCharType="end"/>
          </w:r>
        </w:p>
      </w:sdtContent>
    </w:sdt>
    <w:bookmarkEnd w:id="0"/>
    <w:p>
      <w:pPr>
        <w:rPr>
          <w:rFonts w:ascii="黑体" w:hAnsi="黑体" w:eastAsia="黑体" w:cs="黑体"/>
          <w:b/>
          <w:bCs/>
          <w:sz w:val="21"/>
          <w:szCs w:val="21"/>
        </w:rPr>
        <w:sectPr>
          <w:footerReference r:id="rId4" w:type="default"/>
          <w:pgSz w:w="11906" w:h="16838"/>
          <w:pgMar w:top="1440" w:right="1800" w:bottom="1440" w:left="1800" w:header="851" w:footer="992" w:gutter="0"/>
          <w:pgNumType w:fmt="upperRoman" w:start="1"/>
          <w:cols w:space="425" w:num="1"/>
          <w:docGrid w:type="lines" w:linePitch="312" w:charSpace="0"/>
        </w:sectPr>
      </w:pPr>
    </w:p>
    <w:p>
      <w:pPr>
        <w:pStyle w:val="21"/>
        <w:numPr>
          <w:ilvl w:val="0"/>
          <w:numId w:val="4"/>
        </w:numPr>
        <w:outlineLvl w:val="0"/>
        <w:rPr>
          <w:szCs w:val="21"/>
        </w:rPr>
      </w:pPr>
      <w:bookmarkStart w:id="10" w:name="_Toc29258_WPSOffice_Level1"/>
      <w:r>
        <w:rPr>
          <w:rFonts w:hint="eastAsia"/>
          <w:szCs w:val="21"/>
        </w:rPr>
        <w:t>范围</w:t>
      </w:r>
      <w:bookmarkEnd w:id="10"/>
    </w:p>
    <w:p>
      <w:pPr>
        <w:pStyle w:val="23"/>
        <w:ind w:left="425" w:firstLine="0" w:firstLineChars="0"/>
        <w:rPr>
          <w:rFonts w:hAnsi="宋体"/>
          <w:szCs w:val="22"/>
        </w:rPr>
      </w:pPr>
      <w:r>
        <w:rPr>
          <w:rFonts w:hAnsi="宋体"/>
          <w:szCs w:val="22"/>
        </w:rPr>
        <w:t>本章节</w:t>
      </w:r>
      <w:r>
        <w:rPr>
          <w:rFonts w:hint="eastAsia" w:hAnsi="宋体"/>
          <w:szCs w:val="22"/>
        </w:rPr>
        <w:t>阐述了</w:t>
      </w:r>
      <w:r>
        <w:rPr>
          <w:rFonts w:hAnsi="宋体"/>
          <w:szCs w:val="22"/>
        </w:rPr>
        <w:t>本规范包含的主要内容</w:t>
      </w:r>
      <w:r>
        <w:rPr>
          <w:rFonts w:hint="eastAsia" w:hAnsi="宋体"/>
          <w:szCs w:val="22"/>
        </w:rPr>
        <w:t>和</w:t>
      </w:r>
      <w:r>
        <w:rPr>
          <w:rFonts w:hAnsi="宋体"/>
          <w:szCs w:val="22"/>
        </w:rPr>
        <w:t>适用范围</w:t>
      </w:r>
      <w:r>
        <w:rPr>
          <w:rFonts w:hint="eastAsia" w:hAnsi="宋体"/>
          <w:szCs w:val="22"/>
        </w:rPr>
        <w:t>。</w:t>
      </w:r>
    </w:p>
    <w:p>
      <w:pPr>
        <w:pStyle w:val="21"/>
        <w:numPr>
          <w:ilvl w:val="0"/>
          <w:numId w:val="4"/>
        </w:numPr>
        <w:outlineLvl w:val="0"/>
        <w:rPr>
          <w:szCs w:val="21"/>
        </w:rPr>
      </w:pPr>
      <w:bookmarkStart w:id="11" w:name="_Toc7756_WPSOffice_Level1"/>
      <w:r>
        <w:rPr>
          <w:rFonts w:hint="eastAsia"/>
          <w:szCs w:val="21"/>
        </w:rPr>
        <w:t>规范性引用文件</w:t>
      </w:r>
      <w:bookmarkEnd w:id="11"/>
      <w:r>
        <w:rPr>
          <w:rFonts w:hint="eastAsia"/>
          <w:szCs w:val="21"/>
        </w:rPr>
        <w:tab/>
      </w:r>
    </w:p>
    <w:p>
      <w:pPr>
        <w:pStyle w:val="23"/>
        <w:rPr>
          <w:rFonts w:hAnsi="宋体"/>
          <w:szCs w:val="22"/>
        </w:rPr>
      </w:pPr>
      <w:r>
        <w:rPr>
          <w:rFonts w:hAnsi="宋体"/>
          <w:szCs w:val="22"/>
        </w:rPr>
        <w:t>本章节</w:t>
      </w:r>
      <w:r>
        <w:rPr>
          <w:rFonts w:hint="eastAsia" w:hAnsi="宋体"/>
          <w:szCs w:val="22"/>
        </w:rPr>
        <w:t>列出了在编制</w:t>
      </w:r>
      <w:r>
        <w:rPr>
          <w:rFonts w:hAnsi="宋体"/>
          <w:szCs w:val="22"/>
        </w:rPr>
        <w:t>本规范的过程中</w:t>
      </w:r>
      <w:r>
        <w:rPr>
          <w:rFonts w:hint="eastAsia" w:hAnsi="宋体"/>
          <w:szCs w:val="22"/>
        </w:rPr>
        <w:t>，</w:t>
      </w:r>
      <w:r>
        <w:rPr>
          <w:rFonts w:hAnsi="宋体"/>
          <w:szCs w:val="22"/>
        </w:rPr>
        <w:t>参考</w:t>
      </w:r>
      <w:r>
        <w:rPr>
          <w:rFonts w:hint="eastAsia" w:hAnsi="宋体"/>
          <w:szCs w:val="22"/>
        </w:rPr>
        <w:t>或</w:t>
      </w:r>
      <w:r>
        <w:rPr>
          <w:rFonts w:hAnsi="宋体"/>
          <w:szCs w:val="22"/>
        </w:rPr>
        <w:t>引用的现行有关标准</w:t>
      </w:r>
      <w:r>
        <w:rPr>
          <w:rFonts w:hint="eastAsia" w:hAnsi="宋体"/>
          <w:szCs w:val="22"/>
        </w:rPr>
        <w:t>、</w:t>
      </w:r>
      <w:r>
        <w:rPr>
          <w:rFonts w:hAnsi="宋体"/>
          <w:szCs w:val="22"/>
        </w:rPr>
        <w:t>规范</w:t>
      </w:r>
      <w:r>
        <w:rPr>
          <w:rFonts w:hint="eastAsia" w:hAnsi="宋体"/>
          <w:szCs w:val="22"/>
        </w:rPr>
        <w:t>、</w:t>
      </w:r>
      <w:r>
        <w:rPr>
          <w:rFonts w:hAnsi="宋体"/>
          <w:szCs w:val="22"/>
        </w:rPr>
        <w:t>规程等</w:t>
      </w:r>
      <w:r>
        <w:rPr>
          <w:rFonts w:hint="eastAsia" w:hAnsi="宋体"/>
          <w:szCs w:val="22"/>
        </w:rPr>
        <w:t>。</w:t>
      </w:r>
    </w:p>
    <w:p>
      <w:pPr>
        <w:pStyle w:val="21"/>
        <w:numPr>
          <w:ilvl w:val="0"/>
          <w:numId w:val="5"/>
        </w:numPr>
        <w:outlineLvl w:val="0"/>
        <w:rPr>
          <w:szCs w:val="21"/>
        </w:rPr>
      </w:pPr>
      <w:bookmarkStart w:id="12" w:name="_Toc24560_WPSOffice_Level1"/>
      <w:r>
        <w:rPr>
          <w:rFonts w:hint="eastAsia"/>
          <w:szCs w:val="21"/>
        </w:rPr>
        <w:t>总则</w:t>
      </w:r>
      <w:bookmarkEnd w:id="12"/>
      <w:r>
        <w:rPr>
          <w:rFonts w:hint="eastAsia"/>
          <w:szCs w:val="21"/>
        </w:rPr>
        <w:tab/>
      </w:r>
    </w:p>
    <w:p>
      <w:pPr>
        <w:pStyle w:val="21"/>
        <w:numPr>
          <w:ilvl w:val="1"/>
          <w:numId w:val="5"/>
        </w:numPr>
        <w:rPr>
          <w:szCs w:val="21"/>
        </w:rPr>
      </w:pPr>
      <w:r>
        <w:rPr>
          <w:rFonts w:hint="eastAsia"/>
          <w:szCs w:val="21"/>
        </w:rPr>
        <w:t>总体要求</w:t>
      </w:r>
    </w:p>
    <w:p>
      <w:pPr>
        <w:pStyle w:val="22"/>
        <w:numPr>
          <w:ilvl w:val="1"/>
          <w:numId w:val="0"/>
        </w:numPr>
        <w:rPr>
          <w:rFonts w:ascii="宋体" w:hAnsi="宋体" w:eastAsia="宋体"/>
        </w:rPr>
      </w:pPr>
      <w:r>
        <w:rPr>
          <w:rFonts w:hint="eastAsia"/>
        </w:rPr>
        <w:t>4</w:t>
      </w:r>
      <w:r>
        <w:t xml:space="preserve">.1.1 </w:t>
      </w:r>
      <w:r>
        <w:rPr>
          <w:rFonts w:ascii="宋体" w:hAnsi="宋体" w:eastAsia="宋体"/>
        </w:rPr>
        <w:t>本条说明了健身步道建设应当与</w:t>
      </w:r>
      <w:r>
        <w:rPr>
          <w:rFonts w:hint="eastAsia" w:ascii="宋体" w:hAnsi="宋体" w:eastAsia="宋体"/>
        </w:rPr>
        <w:t>健身休闲、生态教育、遗产保护、文化传承、生态休闲、改善民生等相关领域串联、相合，充分发挥健身步道在各个领域</w:t>
      </w:r>
      <w:r>
        <w:rPr>
          <w:rFonts w:ascii="宋体" w:hAnsi="宋体" w:eastAsia="宋体"/>
        </w:rPr>
        <w:t>的重要作用</w:t>
      </w:r>
      <w:r>
        <w:rPr>
          <w:rFonts w:hint="eastAsia" w:ascii="宋体" w:hAnsi="宋体" w:eastAsia="宋体"/>
        </w:rPr>
        <w:t>，展示江西特色，建设江西样板，力争使江西省健身步道建设走在全国前列。</w:t>
      </w:r>
    </w:p>
    <w:p>
      <w:pPr>
        <w:pStyle w:val="22"/>
        <w:numPr>
          <w:ilvl w:val="1"/>
          <w:numId w:val="0"/>
        </w:numPr>
        <w:rPr>
          <w:rFonts w:asciiTheme="minorEastAsia" w:hAnsiTheme="minorEastAsia" w:eastAsiaTheme="minorEastAsia"/>
        </w:rPr>
      </w:pPr>
      <w:r>
        <w:rPr>
          <w:rFonts w:hint="eastAsia"/>
        </w:rPr>
        <w:t>4</w:t>
      </w:r>
      <w:r>
        <w:t xml:space="preserve">.1.2 </w:t>
      </w:r>
      <w:r>
        <w:rPr>
          <w:rFonts w:hint="eastAsia" w:ascii="宋体" w:hAnsi="宋体" w:eastAsia="宋体"/>
        </w:rPr>
        <w:t>本条说明了大力发展健身步道与建设江西省生态文明试验区互利共赢的重大意义。</w:t>
      </w:r>
      <w:r>
        <w:rPr>
          <w:rFonts w:ascii="宋体" w:hAnsi="宋体" w:eastAsia="宋体"/>
        </w:rPr>
        <w:t>2017年</w:t>
      </w:r>
      <w:r>
        <w:rPr>
          <w:rFonts w:hint="eastAsia" w:ascii="宋体" w:hAnsi="宋体" w:eastAsia="宋体"/>
        </w:rPr>
        <w:t>10月，中共中央办公厅、国务院办公厅印发了《国家生态文明试验区（江西）实施方案》。建设国家生态文明试验区，开展生态文明体制改革综合试验，是以习近平同志为核心的党中央全面深化改革的重大决策，也是推动振兴发展、加快绿色崛起的重大机遇。大力发展健身步道是深入贯彻党中央、国务院关于生态文明建设和生态文明体制改革的总体部署，特别是落实习近平总书记关于“奋力打造美丽中国‘江西样板’”的重要批示。规范健身步道建设对于《实施方案》主要目标的实现起到了积极的促进</w:t>
      </w:r>
      <w:r>
        <w:rPr>
          <w:rFonts w:hint="eastAsia" w:asciiTheme="minorEastAsia" w:hAnsiTheme="minorEastAsia" w:eastAsiaTheme="minorEastAsia"/>
        </w:rPr>
        <w:t>作用，同时通过探索绿色崛起新路径，能进一步实现生态保护与生态扶贫的双赢局面。</w:t>
      </w:r>
    </w:p>
    <w:p>
      <w:pPr>
        <w:pStyle w:val="22"/>
        <w:numPr>
          <w:ilvl w:val="1"/>
          <w:numId w:val="0"/>
        </w:numPr>
      </w:pPr>
      <w:r>
        <w:rPr>
          <w:rFonts w:hint="eastAsia"/>
        </w:rPr>
        <w:t>4</w:t>
      </w:r>
      <w:r>
        <w:t xml:space="preserve">.1.3 </w:t>
      </w:r>
      <w:r>
        <w:rPr>
          <w:rFonts w:asciiTheme="minorEastAsia" w:hAnsiTheme="minorEastAsia" w:eastAsiaTheme="minorEastAsia"/>
        </w:rPr>
        <w:t>本条提出了</w:t>
      </w:r>
      <w:r>
        <w:rPr>
          <w:rFonts w:hint="eastAsia" w:asciiTheme="minorEastAsia" w:hAnsiTheme="minorEastAsia" w:eastAsiaTheme="minorEastAsia"/>
        </w:rPr>
        <w:t>应当将江西省“三色文化”融入健身步道的设计理念中，充分利用江西省特有的人文资源，丰富健身步道的文化底蕴。</w:t>
      </w:r>
    </w:p>
    <w:p>
      <w:pPr>
        <w:pStyle w:val="22"/>
        <w:numPr>
          <w:ilvl w:val="1"/>
          <w:numId w:val="0"/>
        </w:numPr>
        <w:rPr>
          <w:rFonts w:asciiTheme="minorEastAsia" w:hAnsiTheme="minorEastAsia" w:eastAsiaTheme="minorEastAsia"/>
        </w:rPr>
      </w:pPr>
      <w:r>
        <w:rPr>
          <w:rFonts w:hint="eastAsia"/>
        </w:rPr>
        <w:t>4</w:t>
      </w:r>
      <w:r>
        <w:t>.1.4</w:t>
      </w:r>
      <w:r>
        <w:rPr>
          <w:rFonts w:hint="eastAsia"/>
        </w:rPr>
        <w:t>-</w:t>
      </w:r>
      <w:r>
        <w:t xml:space="preserve">4.1.5 </w:t>
      </w:r>
      <w:r>
        <w:rPr>
          <w:rFonts w:asciiTheme="minorEastAsia" w:hAnsiTheme="minorEastAsia" w:eastAsiaTheme="minorEastAsia"/>
        </w:rPr>
        <w:t>这两条提出建设健身步道是推动体育产业发展</w:t>
      </w:r>
      <w:r>
        <w:rPr>
          <w:rFonts w:hint="eastAsia" w:asciiTheme="minorEastAsia" w:hAnsiTheme="minorEastAsia" w:eastAsiaTheme="minorEastAsia"/>
        </w:rPr>
        <w:t>、拓展有关产业业态的重要途径。</w:t>
      </w:r>
    </w:p>
    <w:p>
      <w:pPr>
        <w:pStyle w:val="21"/>
        <w:numPr>
          <w:ilvl w:val="1"/>
          <w:numId w:val="5"/>
        </w:numPr>
        <w:rPr>
          <w:szCs w:val="21"/>
        </w:rPr>
      </w:pPr>
      <w:bookmarkStart w:id="13" w:name="_Toc19928_WPSOffice_Level2"/>
      <w:bookmarkStart w:id="14" w:name="_Toc2256618"/>
      <w:bookmarkStart w:id="15" w:name="_Toc2264007"/>
      <w:bookmarkStart w:id="16" w:name="_Toc2256983"/>
      <w:r>
        <w:rPr>
          <w:rFonts w:hint="eastAsia"/>
          <w:szCs w:val="21"/>
        </w:rPr>
        <w:t>基本原则</w:t>
      </w:r>
      <w:bookmarkEnd w:id="13"/>
      <w:bookmarkEnd w:id="14"/>
      <w:bookmarkEnd w:id="15"/>
      <w:bookmarkEnd w:id="16"/>
    </w:p>
    <w:p>
      <w:pPr>
        <w:rPr>
          <w:rFonts w:cs="Times New Roman" w:asciiTheme="minorEastAsia" w:hAnsiTheme="minorEastAsia" w:eastAsiaTheme="minorEastAsia"/>
          <w:smallCaps w:val="0"/>
          <w:kern w:val="0"/>
          <w:sz w:val="21"/>
          <w:szCs w:val="21"/>
        </w:rPr>
      </w:pPr>
      <w:r>
        <w:rPr>
          <w:rFonts w:hint="eastAsia" w:ascii="黑体" w:hAnsi="黑体" w:eastAsia="黑体" w:cs="Times New Roman"/>
          <w:smallCaps w:val="0"/>
          <w:kern w:val="0"/>
          <w:sz w:val="21"/>
          <w:szCs w:val="21"/>
        </w:rPr>
        <w:t>4</w:t>
      </w:r>
      <w:r>
        <w:rPr>
          <w:rFonts w:ascii="黑体" w:hAnsi="黑体" w:eastAsia="黑体" w:cs="Times New Roman"/>
          <w:smallCaps w:val="0"/>
          <w:kern w:val="0"/>
          <w:sz w:val="21"/>
          <w:szCs w:val="21"/>
        </w:rPr>
        <w:t>.2.1</w:t>
      </w:r>
      <w:r>
        <w:rPr>
          <w:rFonts w:cs="Times New Roman" w:asciiTheme="minorEastAsia" w:hAnsiTheme="minorEastAsia" w:eastAsiaTheme="minorEastAsia"/>
          <w:smallCaps w:val="0"/>
          <w:kern w:val="0"/>
          <w:sz w:val="21"/>
          <w:szCs w:val="21"/>
        </w:rPr>
        <w:t xml:space="preserve"> </w:t>
      </w:r>
      <w:r>
        <w:rPr>
          <w:rFonts w:hint="eastAsia" w:cs="Times New Roman" w:asciiTheme="minorEastAsia" w:hAnsiTheme="minorEastAsia" w:eastAsiaTheme="minorEastAsia"/>
          <w:smallCaps w:val="0"/>
          <w:kern w:val="0"/>
          <w:sz w:val="21"/>
          <w:szCs w:val="21"/>
        </w:rPr>
        <w:t>本条说明了健身步道的建设原则。江西省健身步道建设项目应当由各级政府进行总体规划和把控，并积极引导社会力量参与健身步道的投资建设和运营管理；健身步道建设应注重其实用性，避免大修大建；健身步道作为全民健身的重要载体，其建设应当首先考虑群众使用的便捷性和适用性，同时，以健身步道建设为契机，带动体育旅游等相关产业发展，增加就业机会，为县域经济发展提供驱动力。</w:t>
      </w:r>
    </w:p>
    <w:p>
      <w:pPr>
        <w:pStyle w:val="22"/>
        <w:numPr>
          <w:ilvl w:val="1"/>
          <w:numId w:val="0"/>
        </w:numPr>
        <w:rPr>
          <w:rFonts w:asciiTheme="minorEastAsia" w:hAnsiTheme="minorEastAsia" w:eastAsiaTheme="minorEastAsia"/>
        </w:rPr>
      </w:pPr>
      <w:r>
        <w:rPr>
          <w:rFonts w:hint="eastAsia"/>
        </w:rPr>
        <w:t>4</w:t>
      </w:r>
      <w:r>
        <w:t>.2.2</w:t>
      </w:r>
      <w:r>
        <w:rPr>
          <w:rFonts w:hint="eastAsia"/>
        </w:rPr>
        <w:t>-</w:t>
      </w:r>
      <w:r>
        <w:t xml:space="preserve">4.2.3 </w:t>
      </w:r>
      <w:r>
        <w:rPr>
          <w:rFonts w:hint="eastAsia" w:ascii="宋体" w:hAnsi="宋体" w:eastAsia="宋体"/>
        </w:rPr>
        <w:t>这两条规定了健身步道建设应遵循的基本方针。</w:t>
      </w:r>
      <w:r>
        <w:rPr>
          <w:rFonts w:hint="eastAsia" w:asciiTheme="minorEastAsia" w:hAnsiTheme="minorEastAsia" w:eastAsiaTheme="minorEastAsia"/>
        </w:rPr>
        <w:t>健身步道的建设应当与当地的自然、生态环境、社会经济、人文资源、历史文化等各方面紧密联系，在建设过程中要始终贯彻因地制宜原则，将健身步道与相关联的地形地貌、气候土壤、人文资源等各方因素进行统筹考虑，在线路走向、施工材料的选择上既要协调一致，又要强调建设的可持续性。健身步道的建设要按照一次规划、分步实施、统一布局、属地建设原则，根据当地实际情况制定建设目标，分步实施。</w:t>
      </w:r>
    </w:p>
    <w:p>
      <w:pPr>
        <w:pStyle w:val="22"/>
        <w:numPr>
          <w:ilvl w:val="1"/>
          <w:numId w:val="0"/>
        </w:numPr>
      </w:pPr>
      <w:r>
        <w:rPr>
          <w:rFonts w:hint="eastAsia"/>
        </w:rPr>
        <w:t>4</w:t>
      </w:r>
      <w:r>
        <w:t xml:space="preserve">.2.4 </w:t>
      </w:r>
      <w:r>
        <w:rPr>
          <w:rFonts w:hint="eastAsia" w:asciiTheme="minorEastAsia" w:hAnsiTheme="minorEastAsia" w:eastAsiaTheme="minorEastAsia"/>
        </w:rPr>
        <w:t>本条规定了健身步道的改建、扩建原则。如在原有基础上对健身步道进行改建或扩建，应当在符合建设要求的前提下，充分利用健身步道的原有道路和配套设施，以减少施工量，避免造成资源浪费。</w:t>
      </w:r>
    </w:p>
    <w:p>
      <w:pPr>
        <w:pStyle w:val="22"/>
        <w:numPr>
          <w:ilvl w:val="1"/>
          <w:numId w:val="0"/>
        </w:numPr>
        <w:rPr>
          <w:rFonts w:asciiTheme="minorEastAsia" w:hAnsiTheme="minorEastAsia" w:eastAsiaTheme="minorEastAsia"/>
          <w:bCs/>
        </w:rPr>
      </w:pPr>
      <w:r>
        <w:rPr>
          <w:rFonts w:hint="eastAsia" w:hAnsi="黑体"/>
          <w:bCs/>
        </w:rPr>
        <w:t>4</w:t>
      </w:r>
      <w:r>
        <w:rPr>
          <w:rFonts w:hAnsi="黑体"/>
          <w:bCs/>
        </w:rPr>
        <w:t>.2.5</w:t>
      </w:r>
      <w:r>
        <w:rPr>
          <w:rFonts w:ascii="宋体" w:hAnsi="宋体" w:eastAsia="宋体"/>
          <w:bCs/>
        </w:rPr>
        <w:t xml:space="preserve"> </w:t>
      </w:r>
      <w:r>
        <w:rPr>
          <w:rFonts w:hint="eastAsia" w:ascii="宋体" w:hAnsi="宋体" w:eastAsia="宋体"/>
          <w:bCs/>
        </w:rPr>
        <w:t>本条说明了本规范与现行有效的其他有关标准、规范和规定的关系。</w:t>
      </w:r>
      <w:r>
        <w:rPr>
          <w:rFonts w:asciiTheme="minorEastAsia" w:hAnsiTheme="minorEastAsia" w:eastAsiaTheme="minorEastAsia"/>
          <w:szCs w:val="22"/>
        </w:rPr>
        <w:t>健身步道建设所涉及的相关标准</w:t>
      </w:r>
      <w:r>
        <w:rPr>
          <w:rFonts w:hint="eastAsia" w:asciiTheme="minorEastAsia" w:hAnsiTheme="minorEastAsia" w:eastAsiaTheme="minorEastAsia"/>
          <w:szCs w:val="22"/>
        </w:rPr>
        <w:t>、</w:t>
      </w:r>
      <w:r>
        <w:rPr>
          <w:rFonts w:asciiTheme="minorEastAsia" w:hAnsiTheme="minorEastAsia" w:eastAsiaTheme="minorEastAsia"/>
          <w:szCs w:val="22"/>
        </w:rPr>
        <w:t>规范和规定很多</w:t>
      </w:r>
      <w:r>
        <w:rPr>
          <w:rFonts w:hint="eastAsia" w:asciiTheme="minorEastAsia" w:hAnsiTheme="minorEastAsia" w:eastAsiaTheme="minorEastAsia"/>
          <w:szCs w:val="22"/>
        </w:rPr>
        <w:t>。</w:t>
      </w:r>
      <w:r>
        <w:rPr>
          <w:rFonts w:asciiTheme="minorEastAsia" w:hAnsiTheme="minorEastAsia" w:eastAsiaTheme="minorEastAsia"/>
          <w:szCs w:val="22"/>
        </w:rPr>
        <w:t>健身步道建设在执行本</w:t>
      </w:r>
      <w:r>
        <w:rPr>
          <w:rFonts w:hint="eastAsia" w:asciiTheme="minorEastAsia" w:hAnsiTheme="minorEastAsia" w:eastAsiaTheme="minorEastAsia"/>
          <w:szCs w:val="22"/>
        </w:rPr>
        <w:t>规范</w:t>
      </w:r>
      <w:r>
        <w:rPr>
          <w:rFonts w:asciiTheme="minorEastAsia" w:hAnsiTheme="minorEastAsia" w:eastAsiaTheme="minorEastAsia"/>
          <w:szCs w:val="22"/>
        </w:rPr>
        <w:t>的同时</w:t>
      </w:r>
      <w:r>
        <w:rPr>
          <w:rFonts w:hint="eastAsia" w:asciiTheme="minorEastAsia" w:hAnsiTheme="minorEastAsia" w:eastAsiaTheme="minorEastAsia"/>
          <w:szCs w:val="22"/>
        </w:rPr>
        <w:t>，</w:t>
      </w:r>
      <w:r>
        <w:rPr>
          <w:rFonts w:asciiTheme="minorEastAsia" w:hAnsiTheme="minorEastAsia" w:eastAsiaTheme="minorEastAsia"/>
          <w:szCs w:val="22"/>
        </w:rPr>
        <w:t>还需要执行国家和地方现行有效的其他相关标准</w:t>
      </w:r>
      <w:r>
        <w:rPr>
          <w:rFonts w:hint="eastAsia" w:asciiTheme="minorEastAsia" w:hAnsiTheme="minorEastAsia" w:eastAsiaTheme="minorEastAsia"/>
          <w:szCs w:val="22"/>
        </w:rPr>
        <w:t>、</w:t>
      </w:r>
      <w:r>
        <w:rPr>
          <w:rFonts w:asciiTheme="minorEastAsia" w:hAnsiTheme="minorEastAsia" w:eastAsiaTheme="minorEastAsia"/>
          <w:szCs w:val="22"/>
        </w:rPr>
        <w:t>规范和规定</w:t>
      </w:r>
      <w:r>
        <w:rPr>
          <w:rFonts w:hint="eastAsia" w:asciiTheme="minorEastAsia" w:hAnsiTheme="minorEastAsia" w:eastAsiaTheme="minorEastAsia"/>
          <w:szCs w:val="22"/>
        </w:rPr>
        <w:t>。</w:t>
      </w:r>
    </w:p>
    <w:p>
      <w:pPr>
        <w:pStyle w:val="21"/>
        <w:numPr>
          <w:ilvl w:val="0"/>
          <w:numId w:val="5"/>
        </w:numPr>
        <w:outlineLvl w:val="0"/>
        <w:rPr>
          <w:szCs w:val="21"/>
        </w:rPr>
      </w:pPr>
      <w:bookmarkStart w:id="17" w:name="_Toc27848_WPSOffice_Level1"/>
      <w:r>
        <w:rPr>
          <w:rFonts w:hint="eastAsia"/>
          <w:szCs w:val="21"/>
        </w:rPr>
        <w:t>分类与构成</w:t>
      </w:r>
      <w:bookmarkEnd w:id="17"/>
    </w:p>
    <w:p>
      <w:pPr>
        <w:pStyle w:val="21"/>
        <w:numPr>
          <w:ilvl w:val="1"/>
          <w:numId w:val="5"/>
        </w:numPr>
        <w:rPr>
          <w:szCs w:val="21"/>
        </w:rPr>
      </w:pPr>
      <w:r>
        <w:rPr>
          <w:rFonts w:hint="eastAsia"/>
          <w:szCs w:val="21"/>
        </w:rPr>
        <w:t>步道分类</w:t>
      </w:r>
    </w:p>
    <w:p>
      <w:pPr>
        <w:spacing w:before="156" w:beforeLines="50" w:after="156" w:afterLines="50"/>
        <w:ind w:firstLine="420" w:firstLineChars="200"/>
        <w:rPr>
          <w:rFonts w:cs="Times New Roman" w:asciiTheme="minorEastAsia" w:hAnsiTheme="minorEastAsia" w:eastAsiaTheme="minorEastAsia"/>
          <w:smallCaps w:val="0"/>
          <w:kern w:val="0"/>
          <w:sz w:val="21"/>
          <w:szCs w:val="22"/>
        </w:rPr>
      </w:pPr>
      <w:r>
        <w:rPr>
          <w:rFonts w:hint="eastAsia" w:cs="Times New Roman" w:asciiTheme="minorEastAsia" w:hAnsiTheme="minorEastAsia" w:eastAsiaTheme="minorEastAsia"/>
          <w:smallCaps w:val="0"/>
          <w:kern w:val="0"/>
          <w:sz w:val="21"/>
          <w:szCs w:val="22"/>
        </w:rPr>
        <w:t>本节按照使用方式将健身步道分为：登山步道、健走步道和骑行道，并分别进行了简要说明。</w:t>
      </w:r>
    </w:p>
    <w:p>
      <w:pPr>
        <w:spacing w:before="156" w:beforeLines="50" w:after="156" w:afterLines="50"/>
        <w:ind w:firstLine="420" w:firstLineChars="200"/>
        <w:rPr>
          <w:rFonts w:cs="Times New Roman" w:asciiTheme="minorEastAsia" w:hAnsiTheme="minorEastAsia" w:eastAsiaTheme="minorEastAsia"/>
          <w:smallCaps w:val="0"/>
          <w:kern w:val="0"/>
          <w:sz w:val="21"/>
          <w:szCs w:val="22"/>
        </w:rPr>
      </w:pPr>
      <w:r>
        <w:rPr>
          <w:rFonts w:hint="eastAsia" w:cs="Times New Roman" w:asciiTheme="minorEastAsia" w:hAnsiTheme="minorEastAsia" w:eastAsiaTheme="minorEastAsia"/>
          <w:smallCaps w:val="0"/>
          <w:kern w:val="0"/>
          <w:sz w:val="21"/>
          <w:szCs w:val="22"/>
        </w:rPr>
        <w:t>除此之外，健身步道还可以以步道功能、道路形态、道路面层、行政管理、串联长度、所处区域、所处位置、经营方式等维度进行分类。</w:t>
      </w:r>
    </w:p>
    <w:p>
      <w:pPr>
        <w:spacing w:before="156" w:beforeLines="50" w:after="156" w:afterLines="50"/>
        <w:ind w:firstLine="420" w:firstLineChars="200"/>
        <w:rPr>
          <w:rFonts w:cs="Times New Roman" w:asciiTheme="minorEastAsia" w:hAnsiTheme="minorEastAsia" w:eastAsiaTheme="minorEastAsia"/>
          <w:smallCaps w:val="0"/>
          <w:kern w:val="0"/>
          <w:sz w:val="21"/>
          <w:szCs w:val="22"/>
        </w:rPr>
      </w:pPr>
      <w:r>
        <w:rPr>
          <w:rFonts w:cs="Times New Roman" w:asciiTheme="minorEastAsia" w:hAnsiTheme="minorEastAsia" w:eastAsiaTheme="minorEastAsia"/>
          <w:smallCaps w:val="0"/>
          <w:kern w:val="0"/>
          <w:sz w:val="21"/>
          <w:szCs w:val="22"/>
        </w:rPr>
        <w:t>按照使用方式可分为登山步道、健走步道、骑行道等。按照步道的功能可分为亲子步道、儿童探险道、科普步道、主题步道等。按照道路形态可分为线状健身步道、环形健身步道、网状健身步道等。按照道路面层可分为合成材料步道、混凝土步道、沥青步道、砌块步道、木栈道、砾石步道、原地土石步道等。按照行政管理可分为绿道、古道、健康步道、社区步道、滨河步道、生态堤步道、森林步道等。按照串联长度可分为区域健身步道、市县健身步道、社区健身步道、乡村健身步道等。按照所处区域可分为城市健身步道、城郊健身步道、山野健身步道等。按照所处位置可分为小区健身步道、湖畔公园健身步道、健身广场健身步道、山林健身步道、郊野小径、田园小道等。按照经营方式可分为营利性步道和非营利性步道。</w:t>
      </w:r>
    </w:p>
    <w:p>
      <w:pPr>
        <w:pStyle w:val="21"/>
        <w:numPr>
          <w:ilvl w:val="1"/>
          <w:numId w:val="5"/>
        </w:numPr>
        <w:rPr>
          <w:szCs w:val="21"/>
        </w:rPr>
      </w:pPr>
      <w:r>
        <w:rPr>
          <w:rFonts w:hint="eastAsia"/>
          <w:szCs w:val="21"/>
        </w:rPr>
        <w:t>步道构成</w:t>
      </w:r>
    </w:p>
    <w:p>
      <w:pPr>
        <w:pStyle w:val="21"/>
        <w:numPr>
          <w:ilvl w:val="2"/>
          <w:numId w:val="5"/>
        </w:numPr>
        <w:outlineLvl w:val="2"/>
        <w:rPr>
          <w:szCs w:val="21"/>
        </w:rPr>
      </w:pPr>
      <w:r>
        <w:rPr>
          <w:rFonts w:hint="eastAsia"/>
          <w:szCs w:val="21"/>
        </w:rPr>
        <w:t>步道系统</w:t>
      </w:r>
    </w:p>
    <w:p>
      <w:pPr>
        <w:rPr>
          <w:sz w:val="21"/>
          <w:szCs w:val="21"/>
        </w:rPr>
      </w:pPr>
      <w:r>
        <w:rPr>
          <w:rFonts w:hint="eastAsia" w:ascii="黑体" w:hAnsi="黑体" w:eastAsia="黑体" w:cs="Times New Roman"/>
          <w:smallCaps w:val="0"/>
          <w:kern w:val="0"/>
          <w:sz w:val="21"/>
          <w:szCs w:val="21"/>
        </w:rPr>
        <w:t xml:space="preserve">5.2.1.1-5.2.1.3  </w:t>
      </w:r>
      <w:r>
        <w:rPr>
          <w:rFonts w:hint="eastAsia" w:ascii="宋体" w:hAnsi="宋体" w:eastAsia="宋体"/>
          <w:sz w:val="21"/>
          <w:szCs w:val="21"/>
        </w:rPr>
        <w:t>步道系统包含的主要内容进行了说明。</w:t>
      </w:r>
    </w:p>
    <w:p>
      <w:pPr>
        <w:pStyle w:val="21"/>
        <w:numPr>
          <w:ilvl w:val="2"/>
          <w:numId w:val="5"/>
        </w:numPr>
        <w:outlineLvl w:val="2"/>
        <w:rPr>
          <w:szCs w:val="21"/>
        </w:rPr>
      </w:pPr>
      <w:r>
        <w:rPr>
          <w:rFonts w:hint="eastAsia"/>
          <w:szCs w:val="21"/>
        </w:rPr>
        <w:t>标识系统</w:t>
      </w:r>
    </w:p>
    <w:p>
      <w:pPr>
        <w:rPr>
          <w:rFonts w:ascii="黑体" w:hAnsi="黑体" w:eastAsia="黑体" w:cs="Times New Roman"/>
          <w:smallCaps w:val="0"/>
          <w:kern w:val="0"/>
          <w:sz w:val="21"/>
          <w:szCs w:val="21"/>
        </w:rPr>
      </w:pPr>
      <w:r>
        <w:rPr>
          <w:rFonts w:hint="eastAsia" w:ascii="黑体" w:hAnsi="黑体" w:eastAsia="黑体" w:cs="Times New Roman"/>
          <w:smallCaps w:val="0"/>
          <w:kern w:val="0"/>
          <w:sz w:val="21"/>
          <w:szCs w:val="21"/>
        </w:rPr>
        <w:t xml:space="preserve">5.2.2.1  </w:t>
      </w:r>
      <w:r>
        <w:rPr>
          <w:rFonts w:hint="eastAsia" w:cs="Times New Roman" w:asciiTheme="minorEastAsia" w:hAnsiTheme="minorEastAsia" w:eastAsiaTheme="minorEastAsia"/>
          <w:smallCaps w:val="0"/>
          <w:kern w:val="0"/>
          <w:sz w:val="21"/>
          <w:szCs w:val="21"/>
        </w:rPr>
        <w:t>本条提出了健身步道应配备的各类标识。</w:t>
      </w:r>
    </w:p>
    <w:p>
      <w:pPr>
        <w:pStyle w:val="22"/>
        <w:numPr>
          <w:ilvl w:val="1"/>
          <w:numId w:val="0"/>
        </w:numPr>
        <w:outlineLvl w:val="3"/>
        <w:rPr>
          <w:rFonts w:asciiTheme="minorEastAsia" w:hAnsiTheme="minorEastAsia" w:eastAsiaTheme="minorEastAsia"/>
        </w:rPr>
      </w:pPr>
      <w:r>
        <w:rPr>
          <w:rFonts w:hAnsi="黑体"/>
        </w:rPr>
        <w:t>5.2.2</w:t>
      </w:r>
      <w:r>
        <w:rPr>
          <w:rFonts w:hint="eastAsia" w:hAnsi="黑体"/>
        </w:rPr>
        <w:t>.2</w:t>
      </w:r>
      <w:r>
        <w:rPr>
          <w:rFonts w:asciiTheme="minorEastAsia" w:hAnsiTheme="minorEastAsia" w:eastAsiaTheme="minorEastAsia"/>
        </w:rPr>
        <w:t xml:space="preserve">  </w:t>
      </w:r>
      <w:r>
        <w:rPr>
          <w:rFonts w:hint="eastAsia" w:asciiTheme="minorEastAsia" w:hAnsiTheme="minorEastAsia" w:eastAsiaTheme="minorEastAsia"/>
        </w:rPr>
        <w:t>导示标识：呈现健身步道整体介绍、使用说明、路线图、当前位置说明、里程、定位、引导等。整体介绍、使用说明和路线图应设置于健身步道主出入口；当前位置说明要表明出口的方向、距离，以及出口与现处位置之间的关系等，主要设置于关键节点和功能区，其余地点视需要设置；定位和引导信息可视步道情况设置，宜每1000m等距设置。</w:t>
      </w:r>
    </w:p>
    <w:p>
      <w:pPr>
        <w:pStyle w:val="22"/>
        <w:numPr>
          <w:ilvl w:val="1"/>
          <w:numId w:val="0"/>
        </w:numPr>
        <w:outlineLvl w:val="3"/>
        <w:rPr>
          <w:rFonts w:asciiTheme="minorEastAsia" w:hAnsiTheme="minorEastAsia" w:eastAsiaTheme="minorEastAsia"/>
        </w:rPr>
      </w:pPr>
      <w:r>
        <w:rPr>
          <w:rFonts w:hAnsi="黑体"/>
        </w:rPr>
        <w:t>5.2.2</w:t>
      </w:r>
      <w:r>
        <w:rPr>
          <w:rFonts w:hint="eastAsia" w:hAnsi="黑体"/>
        </w:rPr>
        <w:t>.3</w:t>
      </w:r>
      <w:r>
        <w:rPr>
          <w:rFonts w:asciiTheme="minorEastAsia" w:hAnsiTheme="minorEastAsia" w:eastAsiaTheme="minorEastAsia"/>
        </w:rPr>
        <w:t xml:space="preserve">  </w:t>
      </w:r>
      <w:r>
        <w:rPr>
          <w:rFonts w:hint="eastAsia" w:asciiTheme="minorEastAsia" w:hAnsiTheme="minorEastAsia" w:eastAsiaTheme="minorEastAsia"/>
        </w:rPr>
        <w:t>警示标识：呈现安全、紧急救援、环境及动植物保护、科学健身等信息。危险地点必须设置，其余地点视需要设置。</w:t>
      </w:r>
    </w:p>
    <w:p>
      <w:pPr>
        <w:pStyle w:val="22"/>
        <w:numPr>
          <w:ilvl w:val="1"/>
          <w:numId w:val="0"/>
        </w:numPr>
        <w:outlineLvl w:val="3"/>
        <w:rPr>
          <w:rFonts w:asciiTheme="minorEastAsia" w:hAnsiTheme="minorEastAsia" w:eastAsiaTheme="minorEastAsia"/>
        </w:rPr>
      </w:pPr>
      <w:r>
        <w:rPr>
          <w:rFonts w:hAnsi="黑体"/>
        </w:rPr>
        <w:t>5.2.2</w:t>
      </w:r>
      <w:r>
        <w:rPr>
          <w:rFonts w:hint="eastAsia" w:hAnsi="黑体"/>
        </w:rPr>
        <w:t>.4</w:t>
      </w:r>
      <w:r>
        <w:rPr>
          <w:rFonts w:hAnsi="黑体"/>
        </w:rPr>
        <w:t xml:space="preserve"> </w:t>
      </w:r>
      <w:r>
        <w:rPr>
          <w:rFonts w:asciiTheme="minorEastAsia" w:hAnsiTheme="minorEastAsia" w:eastAsiaTheme="minorEastAsia"/>
        </w:rPr>
        <w:t xml:space="preserve"> </w:t>
      </w:r>
      <w:r>
        <w:rPr>
          <w:rFonts w:hint="eastAsia" w:asciiTheme="minorEastAsia" w:hAnsiTheme="minorEastAsia" w:eastAsiaTheme="minorEastAsia"/>
        </w:rPr>
        <w:t>劝示标识：呈现运动教育、环境保护、科普教育等信息。主要设置于关键节点和功能区。通过文字加图片的形式进行讲解和说明，可增设二维码介绍详细信息。</w:t>
      </w:r>
    </w:p>
    <w:p>
      <w:pPr>
        <w:pStyle w:val="22"/>
        <w:numPr>
          <w:ilvl w:val="1"/>
          <w:numId w:val="0"/>
        </w:numPr>
        <w:outlineLvl w:val="3"/>
        <w:rPr>
          <w:rFonts w:asciiTheme="minorEastAsia" w:hAnsiTheme="minorEastAsia" w:eastAsiaTheme="minorEastAsia"/>
        </w:rPr>
      </w:pPr>
      <w:r>
        <w:rPr>
          <w:rFonts w:hAnsi="黑体"/>
        </w:rPr>
        <w:t>5.2.2</w:t>
      </w:r>
      <w:r>
        <w:rPr>
          <w:rFonts w:hint="eastAsia" w:hAnsi="黑体"/>
        </w:rPr>
        <w:t>.5</w:t>
      </w:r>
      <w:r>
        <w:rPr>
          <w:rFonts w:hAnsi="黑体"/>
        </w:rPr>
        <w:t xml:space="preserve"> </w:t>
      </w:r>
      <w:r>
        <w:rPr>
          <w:rFonts w:asciiTheme="minorEastAsia" w:hAnsiTheme="minorEastAsia" w:eastAsiaTheme="minorEastAsia"/>
        </w:rPr>
        <w:t xml:space="preserve"> </w:t>
      </w:r>
      <w:r>
        <w:rPr>
          <w:rFonts w:hint="eastAsia" w:asciiTheme="minorEastAsia" w:hAnsiTheme="minorEastAsia" w:eastAsiaTheme="minorEastAsia"/>
        </w:rPr>
        <w:t>路书：健身步道的使用指南，全面介绍健身步道系统的地理区位信息、详尽的健身步道路线信息，宜在步道主出入口发放。路书的基本内容应包括但不限于以下要求：健身步道的路线图、健身人员服务中心、出入口、起止点、长度、高差、健身系数、运动指数、装备指南、沿途景观、标识系统使用指南、配套设施介绍、科学健身指南、环保指南、安全和紧急救援指南以及所在地概况、休闲旅游指南（包括历史、人文、自然景观景区景点、交通指南、食宿服务等）。</w:t>
      </w:r>
    </w:p>
    <w:p>
      <w:pPr>
        <w:pStyle w:val="21"/>
        <w:numPr>
          <w:ilvl w:val="2"/>
          <w:numId w:val="5"/>
        </w:numPr>
        <w:outlineLvl w:val="2"/>
        <w:rPr>
          <w:szCs w:val="21"/>
        </w:rPr>
      </w:pPr>
      <w:r>
        <w:rPr>
          <w:rFonts w:hint="eastAsia"/>
          <w:szCs w:val="21"/>
        </w:rPr>
        <w:t>服务设施系统</w:t>
      </w:r>
      <w:r>
        <w:rPr>
          <w:rFonts w:hint="eastAsia"/>
          <w:szCs w:val="21"/>
        </w:rPr>
        <w:tab/>
      </w:r>
    </w:p>
    <w:p>
      <w:pPr>
        <w:widowControl/>
        <w:numPr>
          <w:ilvl w:val="1"/>
          <w:numId w:val="0"/>
        </w:numPr>
        <w:spacing w:before="156" w:beforeLines="50" w:after="156" w:afterLines="50"/>
        <w:outlineLvl w:val="2"/>
        <w:rPr>
          <w:rFonts w:ascii="黑体" w:hAnsi="黑体" w:eastAsia="黑体" w:cs="Times New Roman"/>
          <w:sz w:val="21"/>
          <w:szCs w:val="21"/>
        </w:rPr>
      </w:pPr>
      <w:r>
        <w:rPr>
          <w:rFonts w:hint="eastAsia" w:ascii="黑体" w:hAnsi="黑体" w:eastAsia="黑体" w:cs="Times New Roman"/>
          <w:sz w:val="21"/>
          <w:szCs w:val="21"/>
        </w:rPr>
        <w:t xml:space="preserve">5.2.3.1 </w:t>
      </w:r>
      <w:r>
        <w:rPr>
          <w:rFonts w:hint="eastAsia" w:ascii="宋体" w:hAnsi="宋体" w:eastAsia="宋体" w:cs="宋体"/>
          <w:sz w:val="21"/>
          <w:szCs w:val="21"/>
        </w:rPr>
        <w:t>本条提出了健身步道应配备各种服务设施。</w:t>
      </w:r>
    </w:p>
    <w:p>
      <w:pPr>
        <w:widowControl/>
        <w:numPr>
          <w:ilvl w:val="1"/>
          <w:numId w:val="0"/>
        </w:numPr>
        <w:spacing w:before="156" w:beforeLines="50" w:after="156" w:afterLines="50"/>
        <w:outlineLvl w:val="2"/>
        <w:rPr>
          <w:rFonts w:ascii="黑体" w:hAnsi="黑体" w:eastAsia="黑体" w:cs="Times New Roman"/>
          <w:sz w:val="21"/>
          <w:szCs w:val="21"/>
        </w:rPr>
      </w:pPr>
      <w:r>
        <w:rPr>
          <w:rFonts w:hint="eastAsia" w:ascii="黑体" w:hAnsi="黑体" w:eastAsia="黑体" w:cs="Times New Roman"/>
          <w:sz w:val="21"/>
          <w:szCs w:val="21"/>
        </w:rPr>
        <w:t xml:space="preserve">5.2.3.2 </w:t>
      </w:r>
      <w:r>
        <w:rPr>
          <w:rFonts w:hint="eastAsia" w:ascii="宋体" w:hAnsi="宋体" w:eastAsia="宋体" w:cs="宋体"/>
          <w:sz w:val="21"/>
          <w:szCs w:val="21"/>
        </w:rPr>
        <w:t>管理中心：主要包括管理中心和健身人员服务中心。宜设置在步道主出入口。</w:t>
      </w:r>
    </w:p>
    <w:p>
      <w:pPr>
        <w:widowControl/>
        <w:numPr>
          <w:ilvl w:val="1"/>
          <w:numId w:val="0"/>
        </w:numPr>
        <w:spacing w:before="156" w:beforeLines="50" w:after="156" w:afterLines="50"/>
        <w:outlineLvl w:val="2"/>
        <w:rPr>
          <w:rFonts w:ascii="黑体" w:hAnsi="黑体" w:eastAsia="黑体" w:cs="Times New Roman"/>
          <w:sz w:val="21"/>
          <w:szCs w:val="21"/>
        </w:rPr>
      </w:pPr>
      <w:r>
        <w:rPr>
          <w:rFonts w:hint="eastAsia" w:ascii="黑体" w:hAnsi="黑体" w:eastAsia="黑体" w:cs="Times New Roman"/>
          <w:sz w:val="21"/>
          <w:szCs w:val="21"/>
        </w:rPr>
        <w:t xml:space="preserve">5.2.3.3 </w:t>
      </w:r>
      <w:r>
        <w:rPr>
          <w:rFonts w:hint="eastAsia" w:ascii="宋体" w:hAnsi="宋体" w:eastAsia="宋体" w:cs="宋体"/>
          <w:sz w:val="21"/>
          <w:szCs w:val="21"/>
        </w:rPr>
        <w:t>商业设施：主要包括售卖点、餐饮点、自行车凭租点、住宿点等。主要设置于步道出入口和关键节点。应根据健身步道种类和使用者购物意愿，结合当地文化特色，设置纪念品商店、摄影部、便利店、户外运动用品商店、自动售货机、流动售货亭等售卖点；餐饮点可包括特色小吃店、连锁快餐店、饮料站、露天茶座等；自行车凭租点应与交通服务设施、休憩点等统筹布置，可提供自行车凭租、修理等服务；住宿点包括酒店、民宿、露营地等，应充分利用健身步道周边已有的住宿设施，如需新建，可结合周边村落进行设置。登山步道单程超过8小时路程时，宜设置露营地。</w:t>
      </w:r>
    </w:p>
    <w:p>
      <w:pPr>
        <w:widowControl/>
        <w:numPr>
          <w:ilvl w:val="1"/>
          <w:numId w:val="0"/>
        </w:numPr>
        <w:spacing w:before="156" w:beforeLines="50" w:after="156" w:afterLines="50"/>
        <w:outlineLvl w:val="2"/>
        <w:rPr>
          <w:rFonts w:ascii="黑体" w:hAnsi="黑体" w:eastAsia="黑体" w:cs="Times New Roman"/>
          <w:sz w:val="21"/>
          <w:szCs w:val="21"/>
        </w:rPr>
      </w:pPr>
      <w:r>
        <w:rPr>
          <w:rFonts w:hint="eastAsia" w:ascii="黑体" w:hAnsi="黑体" w:eastAsia="黑体" w:cs="Times New Roman"/>
          <w:sz w:val="21"/>
          <w:szCs w:val="21"/>
        </w:rPr>
        <w:t xml:space="preserve">5.2.3.4 </w:t>
      </w:r>
      <w:r>
        <w:rPr>
          <w:rFonts w:hint="eastAsia" w:ascii="宋体" w:hAnsi="宋体" w:eastAsia="宋体" w:cs="宋体"/>
          <w:sz w:val="21"/>
          <w:szCs w:val="21"/>
        </w:rPr>
        <w:t>游憩设施：主要包括活动场地、休憩点、眺望观景点等。宜与健身步道路线上的公共服务设施系统相衔接，合理布局。活动场地可包括文化娱乐、体育健身等设施，供群众进行休闲、健身等活动，场地内的构筑物及游乐设施应符合现行相关国家规范及行业标准的要求；休憩点可包括休息亭、长椅、石凳等设施，主要供群众休息使用；眺望观景点应结合主要景点进行设置，且需要加设安全防护设施，确保群众安全。</w:t>
      </w:r>
    </w:p>
    <w:p>
      <w:pPr>
        <w:widowControl/>
        <w:numPr>
          <w:ilvl w:val="1"/>
          <w:numId w:val="0"/>
        </w:numPr>
        <w:spacing w:before="156" w:beforeLines="50" w:after="156" w:afterLines="50"/>
        <w:outlineLvl w:val="2"/>
        <w:rPr>
          <w:rFonts w:ascii="黑体" w:hAnsi="黑体" w:eastAsia="黑体" w:cs="Times New Roman"/>
          <w:sz w:val="21"/>
          <w:szCs w:val="21"/>
        </w:rPr>
      </w:pPr>
      <w:r>
        <w:rPr>
          <w:rFonts w:hint="eastAsia" w:ascii="黑体" w:hAnsi="黑体" w:eastAsia="黑体" w:cs="Times New Roman"/>
          <w:sz w:val="21"/>
          <w:szCs w:val="21"/>
        </w:rPr>
        <w:t xml:space="preserve">5.2.3.5 </w:t>
      </w:r>
      <w:r>
        <w:rPr>
          <w:rFonts w:hint="eastAsia" w:ascii="宋体" w:hAnsi="宋体" w:eastAsia="宋体" w:cs="宋体"/>
          <w:sz w:val="21"/>
          <w:szCs w:val="21"/>
        </w:rPr>
        <w:t>安全保障设施：主要包括治安消防点、医疗急救点、无障碍设施等。治安消防点、医疗急救点等应依托现状条件，衔接相关系统，尽量结合商业设施和游憩设施设置。无障碍设施宜全线设置，且应符合《无障碍设计规范》（GB50763-2012）的规定。</w:t>
      </w:r>
    </w:p>
    <w:p>
      <w:pPr>
        <w:widowControl/>
        <w:numPr>
          <w:ilvl w:val="1"/>
          <w:numId w:val="0"/>
        </w:numPr>
        <w:spacing w:before="156" w:beforeLines="50" w:after="156" w:afterLines="50"/>
        <w:outlineLvl w:val="2"/>
        <w:rPr>
          <w:rFonts w:ascii="黑体" w:hAnsi="黑体" w:eastAsia="黑体" w:cs="Times New Roman"/>
          <w:sz w:val="21"/>
          <w:szCs w:val="21"/>
        </w:rPr>
      </w:pPr>
      <w:r>
        <w:rPr>
          <w:rFonts w:hint="eastAsia" w:ascii="黑体" w:hAnsi="黑体" w:eastAsia="黑体" w:cs="Times New Roman"/>
          <w:sz w:val="21"/>
          <w:szCs w:val="21"/>
        </w:rPr>
        <w:t xml:space="preserve">5.2.3.6 </w:t>
      </w:r>
      <w:r>
        <w:rPr>
          <w:rFonts w:hint="eastAsia" w:ascii="宋体" w:hAnsi="宋体" w:eastAsia="宋体" w:cs="宋体"/>
          <w:sz w:val="21"/>
          <w:szCs w:val="21"/>
        </w:rPr>
        <w:t>环境卫生设施：主要包括卫生间、垃圾箱等。除结合活动场地、休憩点设置外，应根据需要沿线设置。宜利用健身步道路线上的公共服务设施。处于远离人群聚居区的健身步道，宜根据实际需要设计卫生设施。垃圾桶宜设垃圾分类指示标志，选用生态环保材料。</w:t>
      </w:r>
    </w:p>
    <w:p>
      <w:pPr>
        <w:widowControl/>
        <w:numPr>
          <w:ilvl w:val="1"/>
          <w:numId w:val="0"/>
        </w:numPr>
        <w:spacing w:before="156" w:beforeLines="50" w:after="156" w:afterLines="50"/>
        <w:outlineLvl w:val="2"/>
        <w:rPr>
          <w:rFonts w:ascii="宋体" w:hAnsi="宋体" w:eastAsia="宋体" w:cs="宋体"/>
          <w:sz w:val="21"/>
          <w:szCs w:val="21"/>
        </w:rPr>
      </w:pPr>
      <w:r>
        <w:rPr>
          <w:rFonts w:hint="eastAsia" w:ascii="黑体" w:hAnsi="黑体" w:eastAsia="黑体" w:cs="Times New Roman"/>
          <w:sz w:val="21"/>
          <w:szCs w:val="21"/>
        </w:rPr>
        <w:t xml:space="preserve">5.2.3.7 </w:t>
      </w:r>
      <w:r>
        <w:rPr>
          <w:rFonts w:hint="eastAsia" w:ascii="宋体" w:hAnsi="宋体" w:eastAsia="宋体" w:cs="宋体"/>
          <w:sz w:val="21"/>
          <w:szCs w:val="21"/>
        </w:rPr>
        <w:t>交通服务设施：主要包括公共停车场、出租车停靠点、公交站点、自行车停靠点等。应设置于健身步道主出入口和关键节点，并尽量与现有交通服务设施相衔接。</w:t>
      </w:r>
    </w:p>
    <w:p>
      <w:pPr>
        <w:widowControl/>
        <w:numPr>
          <w:ilvl w:val="1"/>
          <w:numId w:val="0"/>
        </w:numPr>
        <w:spacing w:before="156" w:beforeLines="50" w:after="156" w:afterLines="50"/>
        <w:outlineLvl w:val="2"/>
        <w:rPr>
          <w:rFonts w:ascii="黑体" w:hAnsi="黑体" w:eastAsia="黑体" w:cs="Times New Roman"/>
          <w:sz w:val="21"/>
          <w:szCs w:val="21"/>
        </w:rPr>
      </w:pPr>
      <w:r>
        <w:rPr>
          <w:rFonts w:hint="eastAsia" w:ascii="黑体" w:hAnsi="黑体" w:eastAsia="黑体" w:cs="Times New Roman"/>
          <w:sz w:val="21"/>
          <w:szCs w:val="21"/>
        </w:rPr>
        <w:t xml:space="preserve">5.2.3.8 </w:t>
      </w:r>
      <w:r>
        <w:rPr>
          <w:rFonts w:hint="eastAsia" w:ascii="宋体" w:hAnsi="宋体" w:eastAsia="宋体" w:cs="宋体"/>
          <w:sz w:val="21"/>
          <w:szCs w:val="21"/>
        </w:rPr>
        <w:t>智能化设施：主要包括门户网站、手机应用、电子地图和电子商务平台等。门户网站呈现步道基本信息、路线，提供官方微博、公众号、手机应用下载等功能；手机应用实现运动监测系统，为健身人群提供实时定位、运动时间、运动轨迹与距离、消耗能量、运动提示等服务；电子地图主要用于展示健身步道；电子商务平台可用于销售步道周边产品等。</w:t>
      </w:r>
    </w:p>
    <w:p>
      <w:pPr>
        <w:pStyle w:val="21"/>
        <w:numPr>
          <w:ilvl w:val="0"/>
          <w:numId w:val="5"/>
        </w:numPr>
        <w:outlineLvl w:val="0"/>
        <w:rPr>
          <w:szCs w:val="21"/>
        </w:rPr>
      </w:pPr>
      <w:bookmarkStart w:id="18" w:name="_Toc740_WPSOffice_Level1"/>
      <w:r>
        <w:rPr>
          <w:rFonts w:hint="eastAsia"/>
          <w:szCs w:val="21"/>
        </w:rPr>
        <w:t>选线要求</w:t>
      </w:r>
      <w:bookmarkEnd w:id="18"/>
      <w:r>
        <w:rPr>
          <w:rFonts w:hint="eastAsia"/>
          <w:szCs w:val="21"/>
        </w:rPr>
        <w:tab/>
      </w:r>
    </w:p>
    <w:p>
      <w:pPr>
        <w:pStyle w:val="21"/>
        <w:numPr>
          <w:ilvl w:val="1"/>
          <w:numId w:val="5"/>
        </w:numPr>
        <w:rPr>
          <w:szCs w:val="21"/>
        </w:rPr>
      </w:pPr>
      <w:r>
        <w:rPr>
          <w:rFonts w:hint="eastAsia"/>
          <w:szCs w:val="21"/>
        </w:rPr>
        <w:t>一般规定</w:t>
      </w:r>
    </w:p>
    <w:p>
      <w:pPr>
        <w:widowControl/>
        <w:numPr>
          <w:ilvl w:val="1"/>
          <w:numId w:val="0"/>
        </w:numPr>
        <w:spacing w:before="156" w:beforeLines="50" w:after="156" w:afterLines="50"/>
        <w:outlineLvl w:val="2"/>
        <w:rPr>
          <w:rFonts w:hint="eastAsia" w:asciiTheme="majorEastAsia" w:hAnsiTheme="majorEastAsia" w:eastAsiaTheme="majorEastAsia" w:cstheme="majorEastAsia"/>
          <w:sz w:val="21"/>
          <w:szCs w:val="21"/>
          <w:highlight w:val="yellow"/>
          <w:lang w:eastAsia="zh-CN"/>
        </w:rPr>
      </w:pPr>
      <w:r>
        <w:rPr>
          <w:rFonts w:hint="eastAsia" w:asciiTheme="majorEastAsia" w:hAnsiTheme="majorEastAsia" w:eastAsiaTheme="majorEastAsia" w:cstheme="majorEastAsia"/>
          <w:sz w:val="21"/>
          <w:szCs w:val="21"/>
          <w:highlight w:val="yellow"/>
        </w:rPr>
        <w:t>6.1.1</w:t>
      </w:r>
      <w:r>
        <w:rPr>
          <w:rFonts w:hint="eastAsia" w:asciiTheme="majorEastAsia" w:hAnsiTheme="majorEastAsia" w:eastAsiaTheme="majorEastAsia" w:cstheme="majorEastAsia"/>
          <w:sz w:val="21"/>
          <w:szCs w:val="21"/>
          <w:highlight w:val="yellow"/>
          <w:lang w:eastAsia="zh-CN"/>
        </w:rPr>
        <w:t>《中华人民共和国自然保护区条例》自然保护区可以分为核心区、缓冲区和实验区。自然保护区内保存完好的天然状态的生态系统以及珍稀、濒危动植物的集中分布地，应当划为核心区，禁止任何单位和个人进入；除依照本条例第二十七条的规定经批准外，也不允许进入从事科学研究活动。</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lang w:eastAsia="zh-CN"/>
        </w:rPr>
      </w:pPr>
      <w:r>
        <w:rPr>
          <w:rFonts w:hint="eastAsia" w:asciiTheme="majorEastAsia" w:hAnsiTheme="majorEastAsia" w:eastAsiaTheme="majorEastAsia" w:cstheme="majorEastAsia"/>
          <w:sz w:val="21"/>
          <w:szCs w:val="21"/>
          <w:highlight w:val="yellow"/>
          <w:lang w:eastAsia="zh-CN"/>
        </w:rPr>
        <w:t>核心区外围可以划定一定面积的缓冲区，只准进入从事科学研究观测活动。</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lang w:eastAsia="zh-CN"/>
        </w:rPr>
      </w:pPr>
      <w:r>
        <w:rPr>
          <w:rFonts w:hint="eastAsia" w:asciiTheme="majorEastAsia" w:hAnsiTheme="majorEastAsia" w:eastAsiaTheme="majorEastAsia" w:cstheme="majorEastAsia"/>
          <w:sz w:val="21"/>
          <w:szCs w:val="21"/>
          <w:highlight w:val="yellow"/>
          <w:lang w:eastAsia="zh-CN"/>
        </w:rPr>
        <w:t>缓冲区外围划为实验区，可以进入从事科学试验、教学实习、参观考察、旅游以及驯化、繁殖珍稀、濒危野生动植物等活动。原批准建立自然保护区的人民政府认为必要时，可以在自然保护区的外围划定一定面积的外围保护地带。</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lang w:eastAsia="zh-CN"/>
        </w:rPr>
      </w:pPr>
      <w:r>
        <w:rPr>
          <w:rFonts w:hint="eastAsia" w:asciiTheme="majorEastAsia" w:hAnsiTheme="majorEastAsia" w:eastAsiaTheme="majorEastAsia" w:cstheme="majorEastAsia"/>
          <w:sz w:val="21"/>
          <w:szCs w:val="21"/>
          <w:highlight w:val="yellow"/>
          <w:lang w:eastAsia="zh-CN"/>
        </w:rPr>
        <w:t>第二十七条　禁止任何人进入自然保护区的核心区。因科学研究的需要，必须进入核心区从事科学研究观测、调查活动的，应当事先向自然保护区管理机构提交申请和活动计划，并经自然保护区管理机构批准；其中，进入国家级自然保护区核心区的，应当经省、自治区、直辖市人民政府有关自然保护区行政主管部门批准。自然保护区核心区内原有居民确有必要迁出的，由自然保护区所在地的地方人民政府予以妥善安置。</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lang w:eastAsia="zh-CN"/>
        </w:rPr>
      </w:pPr>
      <w:r>
        <w:rPr>
          <w:rFonts w:hint="eastAsia" w:asciiTheme="majorEastAsia" w:hAnsiTheme="majorEastAsia" w:eastAsiaTheme="majorEastAsia" w:cstheme="majorEastAsia"/>
          <w:sz w:val="21"/>
          <w:szCs w:val="21"/>
          <w:highlight w:val="yellow"/>
          <w:lang w:eastAsia="zh-CN"/>
        </w:rPr>
        <w:t>第二十八条　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lang w:eastAsia="zh-CN"/>
        </w:rPr>
      </w:pPr>
      <w:r>
        <w:rPr>
          <w:rFonts w:hint="eastAsia" w:asciiTheme="majorEastAsia" w:hAnsiTheme="majorEastAsia" w:eastAsiaTheme="majorEastAsia" w:cstheme="majorEastAsia"/>
          <w:sz w:val="21"/>
          <w:szCs w:val="21"/>
          <w:highlight w:val="yellow"/>
          <w:lang w:eastAsia="zh-CN"/>
        </w:rPr>
        <w:t>从事前款活动的单位和个人，应当将其活动成果的副本提交自然保护区管理机构。</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lang w:eastAsia="zh-CN"/>
        </w:rPr>
      </w:pPr>
      <w:r>
        <w:rPr>
          <w:rFonts w:hint="eastAsia" w:asciiTheme="majorEastAsia" w:hAnsiTheme="majorEastAsia" w:eastAsiaTheme="majorEastAsia" w:cstheme="majorEastAsia"/>
          <w:sz w:val="21"/>
          <w:szCs w:val="21"/>
          <w:highlight w:val="yellow"/>
          <w:lang w:eastAsia="zh-CN"/>
        </w:rPr>
        <w:t>第三十二条　在自然保护区的核心区和缓冲区内，不得建设任何生产设施。</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lang w:eastAsia="zh-CN"/>
        </w:rPr>
      </w:pPr>
      <w:r>
        <w:rPr>
          <w:rFonts w:hint="eastAsia" w:asciiTheme="majorEastAsia" w:hAnsiTheme="majorEastAsia" w:eastAsiaTheme="majorEastAsia" w:cstheme="majorEastAsia"/>
          <w:sz w:val="21"/>
          <w:szCs w:val="21"/>
          <w:highlight w:val="yellow"/>
          <w:lang w:eastAsia="zh-CN"/>
        </w:rPr>
        <w:t>在自然保护区的实验区内，不得建设污染环境、破坏资源或者景观的生产设施；建设其他项目，其污染物排放不得超过国家和地方规定的污染物排放标准。</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lang w:eastAsia="zh-CN"/>
        </w:rPr>
      </w:pPr>
      <w:r>
        <w:rPr>
          <w:rFonts w:hint="eastAsia" w:asciiTheme="majorEastAsia" w:hAnsiTheme="majorEastAsia" w:eastAsiaTheme="majorEastAsia" w:cstheme="majorEastAsia"/>
          <w:sz w:val="21"/>
          <w:szCs w:val="21"/>
          <w:highlight w:val="yellow"/>
          <w:lang w:eastAsia="zh-CN"/>
        </w:rPr>
        <w:t>在自然保护区的实验区内已经建成的设施，其污染物排放超过国家和地方规定的排放标准的，应当限期治理；造成损害的，必须采取补救措施。</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lang w:eastAsia="zh-CN"/>
        </w:rPr>
      </w:pPr>
      <w:r>
        <w:rPr>
          <w:rFonts w:hint="eastAsia" w:asciiTheme="majorEastAsia" w:hAnsiTheme="majorEastAsia" w:eastAsiaTheme="majorEastAsia" w:cstheme="majorEastAsia"/>
          <w:sz w:val="21"/>
          <w:szCs w:val="21"/>
          <w:highlight w:val="yellow"/>
          <w:lang w:eastAsia="zh-CN"/>
        </w:rPr>
        <w:t>在自然保护区的外围保护地带建设的项目，不得损害自然保护区内的环境质量；已造成损害的，应当限期治理。</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lang w:eastAsia="zh-CN"/>
        </w:rPr>
      </w:pPr>
      <w:r>
        <w:rPr>
          <w:rFonts w:hint="eastAsia" w:asciiTheme="majorEastAsia" w:hAnsiTheme="majorEastAsia" w:eastAsiaTheme="majorEastAsia" w:cstheme="majorEastAsia"/>
          <w:sz w:val="21"/>
          <w:szCs w:val="21"/>
          <w:highlight w:val="yellow"/>
          <w:lang w:eastAsia="zh-CN"/>
        </w:rPr>
        <w:t>限期治理决定由法律、法规规定的机关作出，被限期治理的企业事业单位必须按期完成治理任务。</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lang w:eastAsia="zh-CN"/>
        </w:rPr>
      </w:pPr>
      <w:r>
        <w:rPr>
          <w:rFonts w:hint="eastAsia" w:asciiTheme="majorEastAsia" w:hAnsiTheme="majorEastAsia" w:eastAsiaTheme="majorEastAsia" w:cstheme="majorEastAsia"/>
          <w:sz w:val="21"/>
          <w:szCs w:val="21"/>
          <w:highlight w:val="yellow"/>
          <w:lang w:eastAsia="zh-CN"/>
        </w:rPr>
        <w:t>《中华人民共和国风景名胜区条例》</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lang w:val="en-US" w:eastAsia="zh-CN"/>
        </w:rPr>
      </w:pPr>
      <w:r>
        <w:rPr>
          <w:rFonts w:hint="eastAsia" w:asciiTheme="majorEastAsia" w:hAnsiTheme="majorEastAsia" w:eastAsiaTheme="majorEastAsia" w:cstheme="majorEastAsia"/>
          <w:sz w:val="21"/>
          <w:szCs w:val="21"/>
          <w:highlight w:val="yellow"/>
          <w:lang w:val="en-US" w:eastAsia="zh-CN"/>
        </w:rPr>
        <w:t>第二十六条　在风景名胜区内禁止进行下列活动：</w:t>
      </w:r>
    </w:p>
    <w:p>
      <w:pPr>
        <w:keepNext w:val="0"/>
        <w:keepLines w:val="0"/>
        <w:pageBreakBefore w:val="0"/>
        <w:widowControl/>
        <w:numPr>
          <w:ilvl w:val="0"/>
          <w:numId w:val="6"/>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rPr>
      </w:pPr>
      <w:r>
        <w:rPr>
          <w:rFonts w:hint="eastAsia" w:asciiTheme="majorEastAsia" w:hAnsiTheme="majorEastAsia" w:eastAsiaTheme="majorEastAsia" w:cstheme="majorEastAsia"/>
          <w:sz w:val="21"/>
          <w:szCs w:val="21"/>
          <w:highlight w:val="yellow"/>
          <w:lang w:val="en-US" w:eastAsia="zh-CN"/>
        </w:rPr>
        <w:t>开山、采石、开矿、开荒、修坟立碑等破坏景观、植被和地形地貌的活动；</w:t>
      </w:r>
    </w:p>
    <w:p>
      <w:pPr>
        <w:keepNext w:val="0"/>
        <w:keepLines w:val="0"/>
        <w:pageBreakBefore w:val="0"/>
        <w:widowControl/>
        <w:numPr>
          <w:ilvl w:val="0"/>
          <w:numId w:val="6"/>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rPr>
      </w:pPr>
      <w:r>
        <w:rPr>
          <w:rFonts w:hint="eastAsia" w:asciiTheme="majorEastAsia" w:hAnsiTheme="majorEastAsia" w:eastAsiaTheme="majorEastAsia" w:cstheme="majorEastAsia"/>
          <w:sz w:val="21"/>
          <w:szCs w:val="21"/>
          <w:highlight w:val="yellow"/>
          <w:lang w:val="en-US" w:eastAsia="zh-CN"/>
        </w:rPr>
        <w:t>修建储存爆炸性、易燃性、放射性、毒害性、腐蚀性物品的设施；</w:t>
      </w:r>
    </w:p>
    <w:p>
      <w:pPr>
        <w:keepNext w:val="0"/>
        <w:keepLines w:val="0"/>
        <w:pageBreakBefore w:val="0"/>
        <w:widowControl/>
        <w:numPr>
          <w:ilvl w:val="0"/>
          <w:numId w:val="6"/>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rPr>
      </w:pPr>
      <w:r>
        <w:rPr>
          <w:rFonts w:hint="eastAsia" w:asciiTheme="majorEastAsia" w:hAnsiTheme="majorEastAsia" w:eastAsiaTheme="majorEastAsia" w:cstheme="majorEastAsia"/>
          <w:sz w:val="21"/>
          <w:szCs w:val="21"/>
          <w:highlight w:val="yellow"/>
          <w:lang w:val="en-US" w:eastAsia="zh-CN"/>
        </w:rPr>
        <w:t>在景物或者设施上刻划、涂污；</w:t>
      </w:r>
    </w:p>
    <w:p>
      <w:pPr>
        <w:keepNext w:val="0"/>
        <w:keepLines w:val="0"/>
        <w:pageBreakBefore w:val="0"/>
        <w:widowControl/>
        <w:numPr>
          <w:ilvl w:val="0"/>
          <w:numId w:val="6"/>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rPr>
      </w:pPr>
      <w:r>
        <w:rPr>
          <w:rFonts w:hint="eastAsia" w:asciiTheme="majorEastAsia" w:hAnsiTheme="majorEastAsia" w:eastAsiaTheme="majorEastAsia" w:cstheme="majorEastAsia"/>
          <w:sz w:val="21"/>
          <w:szCs w:val="21"/>
          <w:highlight w:val="yellow"/>
          <w:lang w:val="en-US" w:eastAsia="zh-CN"/>
        </w:rPr>
        <w:t>乱扔垃圾。</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rPr>
      </w:pPr>
      <w:r>
        <w:rPr>
          <w:rFonts w:hint="eastAsia" w:asciiTheme="majorEastAsia" w:hAnsiTheme="majorEastAsia" w:eastAsiaTheme="majorEastAsia" w:cstheme="majorEastAsia"/>
          <w:sz w:val="21"/>
          <w:szCs w:val="21"/>
          <w:highlight w:val="yellow"/>
          <w:lang w:val="en-US" w:eastAsia="zh-CN"/>
        </w:rPr>
        <w:t>第二十七条　禁止违反风景名胜区规划，在风景名胜区内设立各类开发区和在核心景区内建设宾馆、招待所、培训中心、疗养院以及与风景名胜资源保护无关的其他建筑物；已经建设的，应当按照风景名胜区规划，逐步迁出。</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lang w:val="en-US" w:eastAsia="zh-CN"/>
        </w:rPr>
      </w:pPr>
      <w:r>
        <w:rPr>
          <w:rFonts w:hint="eastAsia" w:asciiTheme="majorEastAsia" w:hAnsiTheme="majorEastAsia" w:eastAsiaTheme="majorEastAsia" w:cstheme="majorEastAsia"/>
          <w:sz w:val="21"/>
          <w:szCs w:val="21"/>
          <w:highlight w:val="yellow"/>
          <w:lang w:val="en-US" w:eastAsia="zh-CN"/>
        </w:rPr>
        <w:t>第二十八条　在风景名胜区内从事本条例第二十六条、第二十七条禁止范围以外的建设活动，应当经风景名胜区管理机构审核后，依照有关法律、法规的规定办理审批手续。</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rPr>
      </w:pPr>
      <w:r>
        <w:rPr>
          <w:rFonts w:hint="eastAsia" w:asciiTheme="majorEastAsia" w:hAnsiTheme="majorEastAsia" w:eastAsiaTheme="majorEastAsia" w:cstheme="majorEastAsia"/>
          <w:sz w:val="21"/>
          <w:szCs w:val="21"/>
          <w:highlight w:val="yellow"/>
          <w:lang w:eastAsia="zh-CN"/>
        </w:rPr>
        <w:t>《森林公园管理办法》</w:t>
      </w:r>
      <w:r>
        <w:rPr>
          <w:rFonts w:hint="eastAsia" w:asciiTheme="majorEastAsia" w:hAnsiTheme="majorEastAsia" w:eastAsiaTheme="majorEastAsia" w:cstheme="majorEastAsia"/>
          <w:sz w:val="21"/>
          <w:szCs w:val="21"/>
          <w:highlight w:val="yellow"/>
        </w:rPr>
        <w:t>森林公园的设施和景点建设，必须按照总体规划设计进行。在珍贵景物、重要景点和核心景区，除必要的保护和附属设施外，不得建设宾馆、招待所、疗养院和其他工程设施。</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rPr>
      </w:pPr>
      <w:r>
        <w:rPr>
          <w:rFonts w:hint="eastAsia" w:asciiTheme="majorEastAsia" w:hAnsiTheme="majorEastAsia" w:eastAsiaTheme="majorEastAsia" w:cstheme="majorEastAsia"/>
          <w:sz w:val="21"/>
          <w:szCs w:val="21"/>
          <w:highlight w:val="yellow"/>
          <w:lang w:eastAsia="zh-CN"/>
        </w:rPr>
        <w:t>《国家湿地公园管理办法》</w:t>
      </w:r>
      <w:r>
        <w:rPr>
          <w:rFonts w:hint="eastAsia" w:asciiTheme="majorEastAsia" w:hAnsiTheme="majorEastAsia" w:eastAsiaTheme="majorEastAsia" w:cstheme="majorEastAsia"/>
          <w:sz w:val="21"/>
          <w:szCs w:val="21"/>
          <w:highlight w:val="yellow"/>
        </w:rPr>
        <w:t>第十一条 国家湿地公园应划定保育区。根据自然条件和管理需要，可划分恢复重建区、合理利用区，实行分区管理。保育区除开展保护、监测、科学研究等必需的保护管理活动外，不得进行任何与湿地生态系统保护和管理无关的其他活动。恢复重建区应当开展培育和恢复湿地的相关活动。合理利用区应当开展以生态展示、科普教育为主的宣教活动，可开展不损害湿地生态系统功能的生态体验及管理服务等活动。</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rPr>
      </w:pPr>
      <w:r>
        <w:rPr>
          <w:rFonts w:hint="eastAsia" w:asciiTheme="majorEastAsia" w:hAnsiTheme="majorEastAsia" w:eastAsiaTheme="majorEastAsia" w:cstheme="majorEastAsia"/>
          <w:sz w:val="21"/>
          <w:szCs w:val="21"/>
          <w:highlight w:val="yellow"/>
          <w:lang w:eastAsia="zh-CN"/>
        </w:rPr>
        <w:t>《</w:t>
      </w:r>
      <w:r>
        <w:rPr>
          <w:rFonts w:hint="eastAsia" w:asciiTheme="majorEastAsia" w:hAnsiTheme="majorEastAsia" w:eastAsiaTheme="majorEastAsia" w:cstheme="majorEastAsia"/>
          <w:sz w:val="21"/>
          <w:szCs w:val="21"/>
          <w:highlight w:val="yellow"/>
          <w:lang w:val="en-US" w:eastAsia="zh-CN"/>
        </w:rPr>
        <w:t>地质遗迹保护管理规定</w:t>
      </w:r>
      <w:r>
        <w:rPr>
          <w:rFonts w:hint="eastAsia" w:asciiTheme="majorEastAsia" w:hAnsiTheme="majorEastAsia" w:eastAsiaTheme="majorEastAsia" w:cstheme="majorEastAsia"/>
          <w:sz w:val="21"/>
          <w:szCs w:val="21"/>
          <w:highlight w:val="yellow"/>
          <w:lang w:eastAsia="zh-CN"/>
        </w:rPr>
        <w:t>》</w:t>
      </w:r>
      <w:r>
        <w:rPr>
          <w:rFonts w:hint="eastAsia" w:asciiTheme="majorEastAsia" w:hAnsiTheme="majorEastAsia" w:eastAsiaTheme="majorEastAsia" w:cstheme="majorEastAsia"/>
          <w:sz w:val="21"/>
          <w:szCs w:val="21"/>
          <w:highlight w:val="yellow"/>
        </w:rPr>
        <w:t>第十一条 保护程度的划分：对保护区内的地质遗迹可分别实施一级保护、二级保护和三级保护。</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rPr>
      </w:pPr>
      <w:r>
        <w:rPr>
          <w:rFonts w:hint="eastAsia" w:asciiTheme="majorEastAsia" w:hAnsiTheme="majorEastAsia" w:eastAsiaTheme="majorEastAsia" w:cstheme="majorEastAsia"/>
          <w:sz w:val="21"/>
          <w:szCs w:val="21"/>
          <w:highlight w:val="yellow"/>
        </w:rPr>
        <w:t>一级保护：对国际或国内具有极为罕见和重要科学价值的地质遗迹实施一级保护，非经批准不得入内。经设立该级地质遗迹保护区的人民政府地质矿产行政主管部门批准，可组织进行参观、科研或国际间交往。</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rPr>
      </w:pPr>
      <w:r>
        <w:rPr>
          <w:rFonts w:hint="eastAsia" w:asciiTheme="majorEastAsia" w:hAnsiTheme="majorEastAsia" w:eastAsiaTheme="majorEastAsia" w:cstheme="majorEastAsia"/>
          <w:sz w:val="21"/>
          <w:szCs w:val="21"/>
          <w:highlight w:val="yellow"/>
        </w:rPr>
        <w:t>二级保护：对大区域范围内具有重要科学价值的地质遗迹实施二级保护。经设立该级地质遗迹保护区的人民政府地质矿产行政主管部门批准，可有组织地进行科研、教学、学术交流及适当的旅游活动。</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rPr>
      </w:pPr>
      <w:r>
        <w:rPr>
          <w:rFonts w:hint="eastAsia" w:asciiTheme="majorEastAsia" w:hAnsiTheme="majorEastAsia" w:eastAsiaTheme="majorEastAsia" w:cstheme="majorEastAsia"/>
          <w:sz w:val="21"/>
          <w:szCs w:val="21"/>
          <w:highlight w:val="yellow"/>
        </w:rPr>
        <w:t>三级保护：对具一定价值的地质遗迹实施三级保护。经设立该级地质遗迹保护区的人民政府地质矿产行政主管部门批准，可组织开展旅游活动。</w:t>
      </w:r>
    </w:p>
    <w:p>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ind w:firstLine="420" w:firstLineChars="200"/>
        <w:textAlignment w:val="auto"/>
        <w:outlineLvl w:val="2"/>
        <w:rPr>
          <w:rFonts w:hint="eastAsia" w:asciiTheme="majorEastAsia" w:hAnsiTheme="majorEastAsia" w:eastAsiaTheme="majorEastAsia" w:cstheme="majorEastAsia"/>
          <w:sz w:val="21"/>
          <w:szCs w:val="21"/>
          <w:highlight w:val="yellow"/>
        </w:rPr>
      </w:pPr>
      <w:r>
        <w:rPr>
          <w:rFonts w:hint="eastAsia" w:asciiTheme="majorEastAsia" w:hAnsiTheme="majorEastAsia" w:eastAsiaTheme="majorEastAsia" w:cstheme="majorEastAsia"/>
          <w:sz w:val="21"/>
          <w:szCs w:val="21"/>
          <w:highlight w:val="yellow"/>
          <w:lang w:eastAsia="zh-CN"/>
        </w:rPr>
        <w:t>《</w:t>
      </w:r>
      <w:r>
        <w:rPr>
          <w:rFonts w:hint="eastAsia" w:asciiTheme="majorEastAsia" w:hAnsiTheme="majorEastAsia" w:eastAsiaTheme="majorEastAsia" w:cstheme="majorEastAsia"/>
          <w:sz w:val="21"/>
          <w:szCs w:val="21"/>
          <w:highlight w:val="yellow"/>
        </w:rPr>
        <w:t>江西省湖泊保护条例</w:t>
      </w:r>
      <w:r>
        <w:rPr>
          <w:rFonts w:hint="eastAsia" w:asciiTheme="majorEastAsia" w:hAnsiTheme="majorEastAsia" w:eastAsiaTheme="majorEastAsia" w:cstheme="majorEastAsia"/>
          <w:sz w:val="21"/>
          <w:szCs w:val="21"/>
          <w:highlight w:val="yellow"/>
          <w:lang w:eastAsia="zh-CN"/>
        </w:rPr>
        <w:t>》</w:t>
      </w:r>
      <w:r>
        <w:rPr>
          <w:rFonts w:hint="eastAsia" w:asciiTheme="majorEastAsia" w:hAnsiTheme="majorEastAsia" w:eastAsiaTheme="majorEastAsia" w:cstheme="majorEastAsia"/>
          <w:sz w:val="21"/>
          <w:szCs w:val="21"/>
          <w:highlight w:val="yellow"/>
        </w:rPr>
        <w:t>第三十二条    在湖泊管理范围和保护范围内从事旅游、体育、餐饮、娱乐活动的，应当符合湖泊保护规划，防止超环境承载能力发展。设置旅游景观、体育运动、餐饮、娱乐等设施，不得影响行洪和污染水体。</w:t>
      </w:r>
    </w:p>
    <w:p>
      <w:pPr>
        <w:widowControl/>
        <w:numPr>
          <w:ilvl w:val="1"/>
          <w:numId w:val="0"/>
        </w:numPr>
        <w:spacing w:before="156" w:beforeLines="50" w:after="156" w:afterLines="50"/>
        <w:outlineLvl w:val="2"/>
        <w:rPr>
          <w:rFonts w:ascii="宋体" w:hAnsi="宋体" w:eastAsia="宋体" w:cs="Times New Roman"/>
          <w:bCs/>
          <w:sz w:val="21"/>
          <w:szCs w:val="21"/>
          <w:highlight w:val="yellow"/>
        </w:rPr>
      </w:pPr>
      <w:r>
        <w:rPr>
          <w:rFonts w:hint="eastAsia" w:ascii="黑体" w:hAnsi="黑体" w:eastAsia="黑体" w:cs="Times New Roman"/>
          <w:sz w:val="21"/>
          <w:szCs w:val="21"/>
          <w:highlight w:val="yellow"/>
          <w:lang w:val="en-US" w:eastAsia="zh-CN"/>
        </w:rPr>
        <w:t>6.1.2-</w:t>
      </w:r>
      <w:r>
        <w:rPr>
          <w:rFonts w:hint="eastAsia" w:ascii="黑体" w:hAnsi="黑体" w:eastAsia="黑体" w:cs="Times New Roman"/>
          <w:sz w:val="21"/>
          <w:szCs w:val="21"/>
          <w:highlight w:val="yellow"/>
        </w:rPr>
        <w:t>6.1.</w:t>
      </w:r>
      <w:r>
        <w:rPr>
          <w:rFonts w:hint="eastAsia" w:ascii="黑体" w:hAnsi="黑体" w:eastAsia="黑体" w:cs="Times New Roman"/>
          <w:sz w:val="21"/>
          <w:szCs w:val="21"/>
          <w:highlight w:val="yellow"/>
          <w:lang w:val="en-US" w:eastAsia="zh-CN"/>
        </w:rPr>
        <w:t>6</w:t>
      </w:r>
      <w:r>
        <w:rPr>
          <w:rFonts w:hint="eastAsia" w:ascii="黑体" w:hAnsi="黑体" w:eastAsia="黑体" w:cs="Times New Roman"/>
          <w:sz w:val="21"/>
          <w:szCs w:val="21"/>
          <w:highlight w:val="yellow"/>
        </w:rPr>
        <w:t xml:space="preserve">  </w:t>
      </w:r>
      <w:r>
        <w:rPr>
          <w:rFonts w:hint="eastAsia" w:ascii="宋体" w:hAnsi="宋体" w:eastAsia="宋体" w:cs="Times New Roman"/>
          <w:bCs/>
          <w:sz w:val="21"/>
          <w:szCs w:val="21"/>
          <w:highlight w:val="yellow"/>
        </w:rPr>
        <w:t>健身步道在选址时，应当与当地自然生态保护区、文化文物保护区、风景名胜区、国家公园等相关规划相协调，并充分尊重当地原始生态环境，以生态环境保护为先，减少对植被及生态环境的破坏，将对生态环境的不良影响降到最低，维护生态系统稳定性、物种多样性和自然原真性。同时，健身步道作为开展全民健身运动的重要场所，应当选择空气质量好、无污染的区域，为群众提供一个对身心有益的健身场地。</w:t>
      </w:r>
    </w:p>
    <w:p>
      <w:pPr>
        <w:widowControl/>
        <w:numPr>
          <w:ilvl w:val="1"/>
          <w:numId w:val="0"/>
        </w:numPr>
        <w:spacing w:before="156" w:beforeLines="50" w:after="156" w:afterLines="50"/>
        <w:outlineLvl w:val="2"/>
        <w:rPr>
          <w:rFonts w:ascii="宋体" w:hAnsi="宋体" w:eastAsia="宋体" w:cs="Times New Roman"/>
          <w:bCs/>
          <w:sz w:val="21"/>
          <w:szCs w:val="21"/>
        </w:rPr>
      </w:pPr>
      <w:r>
        <w:rPr>
          <w:rFonts w:hint="eastAsia" w:ascii="黑体" w:hAnsi="黑体" w:eastAsia="黑体" w:cs="Times New Roman"/>
          <w:sz w:val="21"/>
          <w:szCs w:val="21"/>
        </w:rPr>
        <w:t>6.1.</w:t>
      </w:r>
      <w:r>
        <w:rPr>
          <w:rFonts w:hint="eastAsia" w:ascii="黑体" w:hAnsi="黑体" w:eastAsia="黑体" w:cs="Times New Roman"/>
          <w:sz w:val="21"/>
          <w:szCs w:val="21"/>
          <w:lang w:val="en-US" w:eastAsia="zh-CN"/>
        </w:rPr>
        <w:t>7</w:t>
      </w:r>
      <w:r>
        <w:rPr>
          <w:rFonts w:hint="eastAsia" w:ascii="黑体" w:hAnsi="黑体" w:eastAsia="黑体" w:cs="Times New Roman"/>
          <w:sz w:val="21"/>
          <w:szCs w:val="21"/>
        </w:rPr>
        <w:t xml:space="preserve">  </w:t>
      </w:r>
      <w:r>
        <w:rPr>
          <w:rFonts w:hint="eastAsia" w:ascii="宋体" w:hAnsi="宋体" w:eastAsia="宋体" w:cs="Times New Roman"/>
          <w:bCs/>
          <w:sz w:val="21"/>
          <w:szCs w:val="21"/>
        </w:rPr>
        <w:t>本着集约利用土地的原则，登山健身步道应充分利用和改造原有的原始道路、现有道路、古道、机耕路、防火隔离带等路径.</w:t>
      </w:r>
    </w:p>
    <w:p>
      <w:pPr>
        <w:widowControl/>
        <w:numPr>
          <w:ilvl w:val="1"/>
          <w:numId w:val="0"/>
        </w:numPr>
        <w:spacing w:before="156" w:beforeLines="50" w:after="156" w:afterLines="50"/>
        <w:outlineLvl w:val="2"/>
        <w:rPr>
          <w:rFonts w:ascii="宋体" w:hAnsi="宋体" w:eastAsia="宋体" w:cs="Times New Roman"/>
          <w:bCs/>
          <w:sz w:val="21"/>
          <w:szCs w:val="21"/>
        </w:rPr>
      </w:pPr>
      <w:r>
        <w:rPr>
          <w:rFonts w:hint="eastAsia" w:ascii="黑体" w:hAnsi="黑体" w:eastAsia="黑体" w:cs="Times New Roman"/>
          <w:sz w:val="21"/>
          <w:szCs w:val="21"/>
        </w:rPr>
        <w:t>6.1.</w:t>
      </w:r>
      <w:r>
        <w:rPr>
          <w:rFonts w:hint="eastAsia" w:ascii="黑体" w:hAnsi="黑体" w:eastAsia="黑体" w:cs="Times New Roman"/>
          <w:sz w:val="21"/>
          <w:szCs w:val="21"/>
          <w:lang w:val="en-US" w:eastAsia="zh-CN"/>
        </w:rPr>
        <w:t>8</w:t>
      </w:r>
      <w:r>
        <w:rPr>
          <w:rFonts w:hint="eastAsia" w:ascii="黑体" w:hAnsi="黑体" w:eastAsia="黑体" w:cs="Times New Roman"/>
          <w:sz w:val="21"/>
          <w:szCs w:val="21"/>
        </w:rPr>
        <w:t xml:space="preserve">  </w:t>
      </w:r>
      <w:r>
        <w:rPr>
          <w:rFonts w:hint="eastAsia" w:ascii="宋体" w:hAnsi="宋体" w:eastAsia="宋体" w:cs="Times New Roman"/>
          <w:bCs/>
          <w:sz w:val="21"/>
          <w:szCs w:val="21"/>
        </w:rPr>
        <w:t>当步道主线由于物理阻隔无法连接时，可以采取连接线的形式，将健身步道串联。连接线应满足连接线选线、长度控制、安全隔离、宽度、净空等要求。</w:t>
      </w:r>
    </w:p>
    <w:p>
      <w:pPr>
        <w:pStyle w:val="21"/>
        <w:numPr>
          <w:ilvl w:val="1"/>
          <w:numId w:val="5"/>
        </w:numPr>
        <w:rPr>
          <w:szCs w:val="21"/>
        </w:rPr>
      </w:pPr>
      <w:r>
        <w:rPr>
          <w:rFonts w:hint="eastAsia"/>
          <w:szCs w:val="21"/>
        </w:rPr>
        <w:t>特殊规定</w:t>
      </w:r>
    </w:p>
    <w:p>
      <w:pPr>
        <w:widowControl/>
        <w:numPr>
          <w:ilvl w:val="1"/>
          <w:numId w:val="0"/>
        </w:numPr>
        <w:spacing w:before="156" w:beforeLines="50" w:after="156" w:afterLines="50"/>
        <w:outlineLvl w:val="2"/>
        <w:rPr>
          <w:rFonts w:ascii="宋体" w:hAnsi="宋体" w:eastAsia="宋体" w:cs="Times New Roman"/>
          <w:bCs/>
          <w:sz w:val="21"/>
          <w:szCs w:val="21"/>
        </w:rPr>
      </w:pPr>
      <w:r>
        <w:rPr>
          <w:rFonts w:hint="eastAsia" w:ascii="黑体" w:hAnsi="黑体" w:eastAsia="黑体" w:cs="Times New Roman"/>
          <w:sz w:val="21"/>
          <w:szCs w:val="21"/>
        </w:rPr>
        <w:t xml:space="preserve">6.2.1  </w:t>
      </w:r>
      <w:r>
        <w:rPr>
          <w:rFonts w:hint="eastAsia" w:ascii="宋体" w:hAnsi="宋体" w:eastAsia="宋体" w:cs="Times New Roman"/>
          <w:bCs/>
          <w:sz w:val="21"/>
          <w:szCs w:val="21"/>
        </w:rPr>
        <w:t>登山健身步道应选择山体较大、起伏较多、路线较长、生态较好的山峰进行建设，并将安全性作为首要考虑因素，避开可能发生山体滑坡、山洪、泥石流、风雪灾害等地质不稳定、易发生地质灾害和自然灾害的危险区域。</w:t>
      </w:r>
    </w:p>
    <w:p>
      <w:pPr>
        <w:widowControl/>
        <w:numPr>
          <w:ilvl w:val="1"/>
          <w:numId w:val="0"/>
        </w:numPr>
        <w:spacing w:before="156" w:beforeLines="50" w:after="156" w:afterLines="50"/>
        <w:outlineLvl w:val="2"/>
        <w:rPr>
          <w:rFonts w:ascii="宋体" w:hAnsi="宋体" w:eastAsia="宋体" w:cs="Times New Roman"/>
          <w:bCs/>
          <w:sz w:val="21"/>
          <w:szCs w:val="21"/>
        </w:rPr>
      </w:pPr>
      <w:r>
        <w:rPr>
          <w:rFonts w:hint="eastAsia" w:ascii="黑体" w:hAnsi="黑体" w:eastAsia="黑体" w:cs="Times New Roman"/>
          <w:sz w:val="21"/>
          <w:szCs w:val="21"/>
        </w:rPr>
        <w:t xml:space="preserve">6.2.2  </w:t>
      </w:r>
      <w:r>
        <w:rPr>
          <w:rFonts w:hint="eastAsia" w:ascii="宋体" w:hAnsi="宋体" w:eastAsia="宋体" w:cs="Times New Roman"/>
          <w:bCs/>
          <w:sz w:val="21"/>
          <w:szCs w:val="21"/>
        </w:rPr>
        <w:t>健走步道和骑行道的选址要根据当地自然、生态、人文等资源要素和交通、城镇布局等实际情况进行合理规划。健走步道和骑行道选址应连接公园、广场、滨水休闲带、体育设施、风景名胜区、自然保护区、旅游度假区、森林公园、郊野公园等公共区域。重点考虑服务对象的交通出行习惯和要求，确保交通通达性。登山健身步道宜选在人口稠密的中心城市周边3小时车程内的区域。</w:t>
      </w:r>
    </w:p>
    <w:p>
      <w:pPr>
        <w:pStyle w:val="21"/>
        <w:numPr>
          <w:ilvl w:val="0"/>
          <w:numId w:val="5"/>
        </w:numPr>
        <w:outlineLvl w:val="0"/>
        <w:rPr>
          <w:szCs w:val="21"/>
        </w:rPr>
      </w:pPr>
      <w:bookmarkStart w:id="19" w:name="_Toc13523_WPSOffice_Level1"/>
      <w:r>
        <w:rPr>
          <w:rFonts w:hint="eastAsia"/>
          <w:szCs w:val="21"/>
        </w:rPr>
        <w:t>设计要求</w:t>
      </w:r>
      <w:bookmarkEnd w:id="19"/>
      <w:r>
        <w:rPr>
          <w:rFonts w:hint="eastAsia"/>
          <w:szCs w:val="21"/>
        </w:rPr>
        <w:tab/>
      </w:r>
    </w:p>
    <w:p>
      <w:pPr>
        <w:pStyle w:val="21"/>
        <w:numPr>
          <w:ilvl w:val="1"/>
          <w:numId w:val="5"/>
        </w:numPr>
        <w:rPr>
          <w:szCs w:val="21"/>
        </w:rPr>
      </w:pPr>
      <w:r>
        <w:rPr>
          <w:rFonts w:hint="eastAsia"/>
          <w:szCs w:val="21"/>
        </w:rPr>
        <w:t>一般规定</w:t>
      </w:r>
    </w:p>
    <w:p>
      <w:pPr>
        <w:pStyle w:val="21"/>
        <w:numPr>
          <w:ilvl w:val="2"/>
          <w:numId w:val="5"/>
        </w:numPr>
        <w:outlineLvl w:val="2"/>
        <w:rPr>
          <w:szCs w:val="21"/>
        </w:rPr>
      </w:pPr>
      <w:r>
        <w:rPr>
          <w:rFonts w:hint="eastAsia" w:ascii="宋体" w:hAnsi="宋体" w:eastAsia="宋体"/>
          <w:bCs/>
          <w:smallCaps/>
          <w:kern w:val="2"/>
          <w:szCs w:val="21"/>
        </w:rPr>
        <w:t>设计健身步道时应遵守的原则。</w:t>
      </w:r>
    </w:p>
    <w:p>
      <w:pPr>
        <w:pStyle w:val="21"/>
        <w:numPr>
          <w:ilvl w:val="2"/>
          <w:numId w:val="5"/>
        </w:numPr>
        <w:outlineLvl w:val="2"/>
        <w:rPr>
          <w:szCs w:val="21"/>
        </w:rPr>
      </w:pPr>
      <w:r>
        <w:rPr>
          <w:rFonts w:hint="eastAsia"/>
          <w:szCs w:val="21"/>
        </w:rPr>
        <w:t>步道主题</w:t>
      </w:r>
    </w:p>
    <w:p>
      <w:pPr>
        <w:numPr>
          <w:ilvl w:val="1"/>
          <w:numId w:val="0"/>
        </w:numPr>
        <w:spacing w:before="156" w:beforeLines="50" w:after="156" w:afterLines="50"/>
        <w:outlineLvl w:val="3"/>
        <w:rPr>
          <w:rFonts w:ascii="宋体" w:hAnsi="宋体" w:eastAsia="宋体" w:cs="Times New Roman"/>
          <w:bCs/>
          <w:sz w:val="21"/>
          <w:szCs w:val="21"/>
        </w:rPr>
      </w:pPr>
      <w:r>
        <w:rPr>
          <w:rFonts w:hint="eastAsia" w:ascii="黑体" w:hAnsi="黑体" w:eastAsia="黑体" w:cs="黑体"/>
          <w:bCs/>
          <w:sz w:val="21"/>
          <w:szCs w:val="21"/>
        </w:rPr>
        <w:t>7.1.2.1-7.1.2.2</w:t>
      </w:r>
      <w:r>
        <w:rPr>
          <w:rFonts w:hint="eastAsia" w:ascii="宋体" w:hAnsi="宋体" w:eastAsia="宋体" w:cs="Times New Roman"/>
          <w:bCs/>
          <w:sz w:val="21"/>
          <w:szCs w:val="21"/>
        </w:rPr>
        <w:t xml:space="preserve"> 江西健身步道可利用江西省内自然资源和人文资源的特点，打造具有江西特色的主题健身步道，使健身步道不只具有健身功能，同时也能作为展示江西特色的重要载体。</w:t>
      </w:r>
    </w:p>
    <w:p>
      <w:pPr>
        <w:pStyle w:val="23"/>
        <w:spacing w:before="156" w:beforeLines="50" w:after="156" w:afterLines="50"/>
        <w:outlineLvl w:val="4"/>
        <w:rPr>
          <w:rFonts w:hAnsi="宋体"/>
          <w:bCs/>
          <w:szCs w:val="22"/>
        </w:rPr>
      </w:pPr>
      <w:r>
        <w:rPr>
          <w:rFonts w:hint="eastAsia" w:hAnsi="宋体"/>
          <w:bCs/>
          <w:szCs w:val="22"/>
        </w:rPr>
        <w:t>（a）革命老区可优先选择体现红色资源的主题步道。在老区建设历史传承健身步道，突出革命摇篮的红色资源，促进老区全面振兴发展，构建红色历史健身步道体系。</w:t>
      </w:r>
      <w:r>
        <w:rPr>
          <w:rFonts w:hint="eastAsia" w:hAnsi="宋体"/>
          <w:szCs w:val="22"/>
        </w:rPr>
        <w:t>例如：</w:t>
      </w:r>
      <w:r>
        <w:rPr>
          <w:rFonts w:hint="eastAsia" w:hAnsi="宋体"/>
          <w:bCs/>
        </w:rPr>
        <w:t>工人运动策源地安源、人民军队诞生地南昌、红色革命根据地井冈山、苏维埃共和国首都瑞金，及其众多的革命</w:t>
      </w:r>
      <w:r>
        <w:rPr>
          <w:rFonts w:hint="eastAsia"/>
          <w:szCs w:val="22"/>
        </w:rPr>
        <w:t>遗址遗迹、题刻、石窟、雕塑、纪念地等。</w:t>
      </w:r>
      <w:r>
        <w:rPr>
          <w:rFonts w:hint="eastAsia" w:hAnsi="宋体"/>
          <w:bCs/>
          <w:szCs w:val="22"/>
        </w:rPr>
        <w:t>优先选择建设红色主题步道的地区如下：</w:t>
      </w:r>
    </w:p>
    <w:p>
      <w:pPr>
        <w:pStyle w:val="23"/>
        <w:spacing w:before="156" w:beforeLines="50" w:after="156" w:afterLines="50"/>
        <w:rPr>
          <w:rFonts w:hAnsi="宋体"/>
          <w:bCs/>
          <w:szCs w:val="22"/>
          <w:highlight w:val="yellow"/>
        </w:rPr>
      </w:pPr>
      <w:r>
        <w:rPr>
          <w:rFonts w:hint="eastAsia" w:hAnsi="宋体"/>
          <w:bCs/>
          <w:szCs w:val="22"/>
          <w:highlight w:val="yellow"/>
        </w:rPr>
        <w:t>一类老区：兴国、瑞金、宁都、于都、会昌、寻乌、石城、万载、宜丰、铜鼓、上饶、</w:t>
      </w:r>
      <w:r>
        <w:rPr>
          <w:rFonts w:hint="eastAsia" w:hAnsi="宋体"/>
          <w:bCs/>
          <w:szCs w:val="22"/>
          <w:highlight w:val="yellow"/>
          <w:lang w:val="en-US" w:eastAsia="zh-CN"/>
        </w:rPr>
        <w:t>上饶市</w:t>
      </w:r>
      <w:r>
        <w:rPr>
          <w:rFonts w:hint="eastAsia" w:hAnsi="宋体"/>
          <w:bCs/>
          <w:szCs w:val="22"/>
          <w:highlight w:val="yellow"/>
        </w:rPr>
        <w:t>广丰</w:t>
      </w:r>
      <w:r>
        <w:rPr>
          <w:rFonts w:hint="eastAsia" w:hAnsi="宋体"/>
          <w:bCs/>
          <w:szCs w:val="22"/>
          <w:highlight w:val="yellow"/>
          <w:lang w:val="en-US" w:eastAsia="zh-CN"/>
        </w:rPr>
        <w:t>区</w:t>
      </w:r>
      <w:r>
        <w:rPr>
          <w:rFonts w:hint="eastAsia" w:hAnsi="宋体"/>
          <w:bCs/>
          <w:szCs w:val="22"/>
          <w:highlight w:val="yellow"/>
        </w:rPr>
        <w:t>、铅山、横峰、弋阳、万年、德兴市、吉安、吉水、峡江、永丰、泰和、遂川、万安、安福、永新、井冈山市、黎川、南丰、乐安、宜黄、资溪、广昌、安远、上犹、信丰、贵溪市、分宜、彭泽、德安、修水、莲花、浮梁、乐平等4</w:t>
      </w:r>
      <w:r>
        <w:rPr>
          <w:rFonts w:hint="eastAsia" w:hAnsi="宋体"/>
          <w:bCs/>
          <w:szCs w:val="22"/>
          <w:highlight w:val="yellow"/>
          <w:lang w:val="en-US" w:eastAsia="zh-CN"/>
        </w:rPr>
        <w:t>4</w:t>
      </w:r>
      <w:r>
        <w:rPr>
          <w:rFonts w:hint="eastAsia" w:hAnsi="宋体"/>
          <w:bCs/>
          <w:szCs w:val="22"/>
          <w:highlight w:val="yellow"/>
        </w:rPr>
        <w:t>个县（市</w:t>
      </w:r>
      <w:r>
        <w:rPr>
          <w:rFonts w:hint="eastAsia" w:hAnsi="宋体"/>
          <w:bCs/>
          <w:szCs w:val="22"/>
          <w:highlight w:val="yellow"/>
          <w:lang w:eastAsia="zh-CN"/>
        </w:rPr>
        <w:t>、</w:t>
      </w:r>
      <w:r>
        <w:rPr>
          <w:rFonts w:hint="eastAsia" w:hAnsi="宋体"/>
          <w:bCs/>
          <w:szCs w:val="22"/>
          <w:highlight w:val="yellow"/>
          <w:lang w:val="en-US" w:eastAsia="zh-CN"/>
        </w:rPr>
        <w:t>区</w:t>
      </w:r>
      <w:r>
        <w:rPr>
          <w:rFonts w:hint="eastAsia" w:hAnsi="宋体"/>
          <w:bCs/>
          <w:szCs w:val="22"/>
          <w:highlight w:val="yellow"/>
        </w:rPr>
        <w:t>）。</w:t>
      </w:r>
    </w:p>
    <w:p>
      <w:pPr>
        <w:pStyle w:val="23"/>
        <w:spacing w:before="156" w:beforeLines="50" w:after="156" w:afterLines="50"/>
        <w:rPr>
          <w:rFonts w:hAnsi="宋体"/>
          <w:bCs/>
          <w:szCs w:val="22"/>
          <w:highlight w:val="yellow"/>
        </w:rPr>
      </w:pPr>
      <w:r>
        <w:rPr>
          <w:rFonts w:hint="eastAsia" w:hAnsi="宋体"/>
          <w:bCs/>
          <w:szCs w:val="22"/>
          <w:highlight w:val="yellow"/>
        </w:rPr>
        <w:t>二类老区：</w:t>
      </w:r>
      <w:r>
        <w:rPr>
          <w:rFonts w:hint="eastAsia" w:hAnsi="宋体"/>
          <w:bCs/>
          <w:szCs w:val="22"/>
          <w:highlight w:val="yellow"/>
          <w:lang w:val="en-US" w:eastAsia="zh-CN"/>
        </w:rPr>
        <w:t>赣州市</w:t>
      </w:r>
      <w:r>
        <w:rPr>
          <w:rFonts w:hint="eastAsia" w:hAnsi="宋体"/>
          <w:bCs/>
          <w:szCs w:val="22"/>
          <w:highlight w:val="yellow"/>
        </w:rPr>
        <w:t>南康</w:t>
      </w:r>
      <w:r>
        <w:rPr>
          <w:rFonts w:hint="eastAsia" w:hAnsi="宋体"/>
          <w:bCs/>
          <w:szCs w:val="22"/>
          <w:highlight w:val="yellow"/>
          <w:lang w:val="en-US" w:eastAsia="zh-CN"/>
        </w:rPr>
        <w:t>区</w:t>
      </w:r>
      <w:r>
        <w:rPr>
          <w:rFonts w:hint="eastAsia" w:hAnsi="宋体"/>
          <w:bCs/>
          <w:szCs w:val="22"/>
          <w:highlight w:val="yellow"/>
        </w:rPr>
        <w:t>、大余、崇义、定南、全南、龙南、</w:t>
      </w:r>
      <w:r>
        <w:rPr>
          <w:rFonts w:hint="eastAsia" w:hAnsi="宋体"/>
          <w:bCs/>
          <w:szCs w:val="22"/>
          <w:highlight w:val="yellow"/>
          <w:lang w:val="en-US" w:eastAsia="zh-CN"/>
        </w:rPr>
        <w:t>赣州市赣县区</w:t>
      </w:r>
      <w:r>
        <w:rPr>
          <w:rFonts w:hint="eastAsia" w:hAnsi="宋体"/>
          <w:bCs/>
          <w:szCs w:val="22"/>
          <w:highlight w:val="yellow"/>
        </w:rPr>
        <w:t>、</w:t>
      </w:r>
      <w:r>
        <w:rPr>
          <w:rFonts w:hint="eastAsia" w:hAnsi="宋体"/>
          <w:bCs/>
          <w:szCs w:val="22"/>
          <w:highlight w:val="yellow"/>
          <w:lang w:val="en-US" w:eastAsia="zh-CN"/>
        </w:rPr>
        <w:t>鹰潭市</w:t>
      </w:r>
      <w:r>
        <w:rPr>
          <w:rFonts w:hint="eastAsia" w:hAnsi="宋体"/>
          <w:bCs/>
          <w:szCs w:val="22"/>
          <w:highlight w:val="yellow"/>
        </w:rPr>
        <w:t>余江</w:t>
      </w:r>
      <w:r>
        <w:rPr>
          <w:rFonts w:hint="eastAsia" w:hAnsi="宋体"/>
          <w:bCs/>
          <w:szCs w:val="22"/>
          <w:highlight w:val="yellow"/>
          <w:lang w:val="en-US" w:eastAsia="zh-CN"/>
        </w:rPr>
        <w:t>区</w:t>
      </w:r>
      <w:r>
        <w:rPr>
          <w:rFonts w:hint="eastAsia" w:hAnsi="宋体"/>
          <w:bCs/>
          <w:szCs w:val="22"/>
          <w:highlight w:val="yellow"/>
        </w:rPr>
        <w:t>、永修、新余市渝水区、湖口、都昌、</w:t>
      </w:r>
      <w:r>
        <w:rPr>
          <w:rFonts w:hint="eastAsia" w:hAnsi="宋体"/>
          <w:bCs/>
          <w:szCs w:val="22"/>
          <w:highlight w:val="yellow"/>
          <w:lang w:val="en-US" w:eastAsia="zh-CN"/>
        </w:rPr>
        <w:t>庐山市</w:t>
      </w:r>
      <w:r>
        <w:rPr>
          <w:rFonts w:hint="eastAsia" w:hAnsi="宋体"/>
          <w:bCs/>
          <w:szCs w:val="22"/>
          <w:highlight w:val="yellow"/>
        </w:rPr>
        <w:t>、武宁、九江</w:t>
      </w:r>
      <w:r>
        <w:rPr>
          <w:rFonts w:hint="eastAsia" w:hAnsi="宋体"/>
          <w:bCs/>
          <w:szCs w:val="22"/>
          <w:highlight w:val="yellow"/>
          <w:lang w:val="en-US" w:eastAsia="zh-CN"/>
        </w:rPr>
        <w:t>市柴桑区</w:t>
      </w:r>
      <w:r>
        <w:rPr>
          <w:rFonts w:hint="eastAsia" w:hAnsi="宋体"/>
          <w:bCs/>
          <w:szCs w:val="22"/>
          <w:highlight w:val="yellow"/>
        </w:rPr>
        <w:t>、瑞金市、萍乡市</w:t>
      </w:r>
      <w:r>
        <w:rPr>
          <w:rFonts w:hint="eastAsia" w:hAnsi="宋体"/>
          <w:bCs/>
          <w:szCs w:val="22"/>
          <w:highlight w:val="yellow"/>
          <w:lang w:val="en-US" w:eastAsia="zh-CN"/>
        </w:rPr>
        <w:t>安源区、萍乡市湘东区</w:t>
      </w:r>
      <w:r>
        <w:rPr>
          <w:rFonts w:hint="eastAsia" w:hAnsi="宋体"/>
          <w:bCs/>
          <w:szCs w:val="22"/>
          <w:highlight w:val="yellow"/>
        </w:rPr>
        <w:t>、奉新、高安市、宜春市</w:t>
      </w:r>
      <w:r>
        <w:rPr>
          <w:rFonts w:hint="eastAsia" w:hAnsi="宋体"/>
          <w:bCs/>
          <w:szCs w:val="22"/>
          <w:highlight w:val="yellow"/>
          <w:lang w:val="en-US" w:eastAsia="zh-CN"/>
        </w:rPr>
        <w:t>袁州区</w:t>
      </w:r>
      <w:r>
        <w:rPr>
          <w:rFonts w:hint="eastAsia" w:hAnsi="宋体"/>
          <w:bCs/>
          <w:szCs w:val="22"/>
          <w:highlight w:val="yellow"/>
        </w:rPr>
        <w:t>、靖安、</w:t>
      </w:r>
      <w:r>
        <w:rPr>
          <w:rFonts w:hint="eastAsia" w:hAnsi="宋体"/>
          <w:bCs/>
          <w:szCs w:val="22"/>
          <w:highlight w:val="yellow"/>
          <w:lang w:val="en-US" w:eastAsia="zh-CN"/>
        </w:rPr>
        <w:t>鄱阳</w:t>
      </w:r>
      <w:r>
        <w:rPr>
          <w:rFonts w:hint="eastAsia" w:hAnsi="宋体"/>
          <w:bCs/>
          <w:szCs w:val="22"/>
          <w:highlight w:val="yellow"/>
        </w:rPr>
        <w:t>、婺源、吉安市</w:t>
      </w:r>
      <w:r>
        <w:rPr>
          <w:rFonts w:hint="eastAsia" w:hAnsi="宋体"/>
          <w:bCs/>
          <w:szCs w:val="22"/>
          <w:highlight w:val="yellow"/>
          <w:lang w:val="en-US" w:eastAsia="zh-CN"/>
        </w:rPr>
        <w:t>吉州区、吉安市青原区</w:t>
      </w:r>
      <w:r>
        <w:rPr>
          <w:rFonts w:hint="eastAsia" w:hAnsi="宋体"/>
          <w:bCs/>
          <w:szCs w:val="22"/>
          <w:highlight w:val="yellow"/>
        </w:rPr>
        <w:t>、新干、金溪、景德镇市</w:t>
      </w:r>
      <w:r>
        <w:rPr>
          <w:rFonts w:hint="eastAsia" w:hAnsi="宋体"/>
          <w:bCs/>
          <w:szCs w:val="22"/>
          <w:highlight w:val="yellow"/>
          <w:lang w:val="en-US" w:eastAsia="zh-CN"/>
        </w:rPr>
        <w:t>昌江区、景德镇市珠山</w:t>
      </w:r>
      <w:r>
        <w:rPr>
          <w:rFonts w:hint="eastAsia" w:hAnsi="宋体"/>
          <w:bCs/>
          <w:szCs w:val="22"/>
          <w:highlight w:val="yellow"/>
        </w:rPr>
        <w:t>区等</w:t>
      </w:r>
      <w:r>
        <w:rPr>
          <w:rFonts w:hint="eastAsia" w:hAnsi="宋体"/>
          <w:bCs/>
          <w:szCs w:val="22"/>
          <w:highlight w:val="yellow"/>
          <w:lang w:val="en-US" w:eastAsia="zh-CN"/>
        </w:rPr>
        <w:t>30</w:t>
      </w:r>
      <w:r>
        <w:rPr>
          <w:rFonts w:hint="eastAsia" w:hAnsi="宋体"/>
          <w:bCs/>
          <w:szCs w:val="22"/>
          <w:highlight w:val="yellow"/>
        </w:rPr>
        <w:t>个县（市区）</w:t>
      </w:r>
    </w:p>
    <w:p>
      <w:pPr>
        <w:pStyle w:val="23"/>
        <w:spacing w:before="156" w:beforeLines="50" w:after="156" w:afterLines="50"/>
        <w:rPr>
          <w:rFonts w:hAnsi="宋体"/>
          <w:bCs/>
          <w:szCs w:val="22"/>
          <w:highlight w:val="yellow"/>
        </w:rPr>
      </w:pPr>
      <w:r>
        <w:rPr>
          <w:rFonts w:hint="eastAsia" w:hAnsi="宋体"/>
          <w:bCs/>
          <w:szCs w:val="22"/>
          <w:highlight w:val="yellow"/>
        </w:rPr>
        <w:t>三类老区：赣州市</w:t>
      </w:r>
      <w:r>
        <w:rPr>
          <w:rFonts w:hint="eastAsia" w:hAnsi="宋体"/>
          <w:bCs/>
          <w:szCs w:val="22"/>
          <w:highlight w:val="yellow"/>
          <w:lang w:val="en-US" w:eastAsia="zh-CN"/>
        </w:rPr>
        <w:t>章贡区</w:t>
      </w:r>
      <w:r>
        <w:rPr>
          <w:rFonts w:hint="eastAsia" w:hAnsi="宋体"/>
          <w:bCs/>
          <w:szCs w:val="22"/>
          <w:highlight w:val="yellow"/>
        </w:rPr>
        <w:t>、樟树市、上高、玉山、余干、南城、崇仁等7个县（市）。</w:t>
      </w:r>
    </w:p>
    <w:p>
      <w:pPr>
        <w:pStyle w:val="23"/>
        <w:spacing w:before="156" w:beforeLines="50" w:after="156" w:afterLines="50"/>
        <w:rPr>
          <w:rFonts w:hAnsi="宋体"/>
          <w:bCs/>
          <w:szCs w:val="22"/>
          <w:highlight w:val="yellow"/>
        </w:rPr>
      </w:pPr>
      <w:r>
        <w:rPr>
          <w:rFonts w:hint="eastAsia" w:hAnsi="宋体"/>
          <w:bCs/>
          <w:szCs w:val="22"/>
          <w:highlight w:val="yellow"/>
        </w:rPr>
        <w:t>四类老区：</w:t>
      </w:r>
      <w:r>
        <w:rPr>
          <w:rFonts w:hint="eastAsia" w:hAnsi="宋体"/>
          <w:bCs/>
          <w:szCs w:val="22"/>
          <w:highlight w:val="yellow"/>
          <w:lang w:val="en-US" w:eastAsia="zh-CN"/>
        </w:rPr>
        <w:t>抚州市</w:t>
      </w:r>
      <w:r>
        <w:rPr>
          <w:rFonts w:hint="eastAsia" w:hAnsi="宋体"/>
          <w:bCs/>
          <w:szCs w:val="22"/>
          <w:highlight w:val="yellow"/>
        </w:rPr>
        <w:t>东乡</w:t>
      </w:r>
      <w:r>
        <w:rPr>
          <w:rFonts w:hint="eastAsia" w:hAnsi="宋体"/>
          <w:bCs/>
          <w:szCs w:val="22"/>
          <w:highlight w:val="yellow"/>
          <w:lang w:val="en-US" w:eastAsia="zh-CN"/>
        </w:rPr>
        <w:t>区</w:t>
      </w:r>
      <w:r>
        <w:rPr>
          <w:rFonts w:hint="eastAsia" w:hAnsi="宋体"/>
          <w:bCs/>
          <w:szCs w:val="22"/>
          <w:highlight w:val="yellow"/>
        </w:rPr>
        <w:t>、丰城市等2个</w:t>
      </w:r>
      <w:r>
        <w:rPr>
          <w:rFonts w:hint="eastAsia" w:hAnsi="宋体"/>
          <w:bCs/>
          <w:szCs w:val="22"/>
          <w:highlight w:val="yellow"/>
          <w:lang w:val="en-US" w:eastAsia="zh-CN"/>
        </w:rPr>
        <w:t>区</w:t>
      </w:r>
      <w:r>
        <w:rPr>
          <w:rFonts w:hint="eastAsia" w:hAnsi="宋体"/>
          <w:bCs/>
          <w:szCs w:val="22"/>
          <w:highlight w:val="yellow"/>
        </w:rPr>
        <w:t>（市）。</w:t>
      </w:r>
    </w:p>
    <w:p>
      <w:pPr>
        <w:pStyle w:val="23"/>
        <w:spacing w:before="156" w:beforeLines="50" w:after="156" w:afterLines="50"/>
        <w:outlineLvl w:val="4"/>
        <w:rPr>
          <w:rFonts w:hAnsi="宋体"/>
          <w:bCs/>
          <w:szCs w:val="22"/>
        </w:rPr>
      </w:pPr>
      <w:r>
        <w:rPr>
          <w:rFonts w:hint="eastAsia" w:hAnsi="宋体"/>
          <w:bCs/>
          <w:szCs w:val="22"/>
        </w:rPr>
        <w:t>（b）在国家、江西省命名的自然保护区和森林公园、五河一湖（赣江、抚河、信江、饶河、修河、鄱阳湖）、东江源头等生态功能重要区域建设健身步道，构建山水林田湖草健身步道体系，突出江西省的生态特色。</w:t>
      </w:r>
      <w:r>
        <w:rPr>
          <w:rFonts w:hint="eastAsia" w:hAnsi="宋体"/>
          <w:szCs w:val="22"/>
        </w:rPr>
        <w:t>例如：</w:t>
      </w:r>
      <w:r>
        <w:rPr>
          <w:rFonts w:hint="eastAsia" w:hAnsi="宋体"/>
          <w:bCs/>
          <w:szCs w:val="22"/>
        </w:rPr>
        <w:t>庐山、井冈山、三清山、龙虎山、武功山、三百山、赣江、鄱阳湖等众多自然生态和人文生态景观。优先选择建设绿色主题步道的地区如下：</w:t>
      </w:r>
    </w:p>
    <w:p>
      <w:pPr>
        <w:pStyle w:val="23"/>
        <w:spacing w:before="156" w:beforeLines="50" w:after="156" w:afterLines="50"/>
        <w:rPr>
          <w:rFonts w:hAnsi="宋体"/>
          <w:bCs/>
          <w:szCs w:val="22"/>
        </w:rPr>
      </w:pPr>
      <w:r>
        <w:rPr>
          <w:rFonts w:hint="eastAsia" w:hAnsi="宋体"/>
          <w:bCs/>
          <w:szCs w:val="22"/>
        </w:rPr>
        <w:t>国家级自然保护区：鄱阳湖候鸟国家级自然保护区、桃红岭梅花鹿国家级自然保护区、九连山国家级自然保护区、江西武夷山国家级自然保护区、井冈山国家级自然保护区、官山国家级自然保护区、马头山国家级自然保护区、鄱阳湖南矶湿地国家级自然保护区、齐云山保护区。</w:t>
      </w:r>
    </w:p>
    <w:p>
      <w:pPr>
        <w:pStyle w:val="23"/>
        <w:spacing w:before="156" w:beforeLines="50" w:after="156" w:afterLines="50"/>
        <w:rPr>
          <w:rFonts w:hAnsi="宋体"/>
          <w:bCs/>
          <w:szCs w:val="22"/>
        </w:rPr>
      </w:pPr>
      <w:r>
        <w:rPr>
          <w:rFonts w:hint="eastAsia" w:hAnsi="宋体"/>
          <w:bCs/>
          <w:szCs w:val="22"/>
        </w:rPr>
        <w:t>省级自然保护区：鄱阳湖河蚌、峤岭、青岚湖、黄字号黑麂、瑶里、高天岩、羊狮幕、庐山、修河源五梅山、鄱阳湖鲤、鲫鱼产卵场、云居山、都昌候鸟、阳际峰、上犹五指峰、齐云山、阳岭、章江源、桃江源、凌云山、赣江源、水浆、南风面、七溪岭、三十把、潦河大鲵、岩泉、老虎脑、宜黄华南虎、抚河源头、铜钹山、信江源、鄱阳湖银鱼、鄱阳湖长江江豚、婺源鸳鸯湖。</w:t>
      </w:r>
    </w:p>
    <w:p>
      <w:pPr>
        <w:pStyle w:val="23"/>
        <w:spacing w:before="156" w:beforeLines="50" w:after="156" w:afterLines="50"/>
        <w:rPr>
          <w:rFonts w:hAnsi="宋体"/>
          <w:bCs/>
          <w:szCs w:val="22"/>
        </w:rPr>
      </w:pPr>
      <w:r>
        <w:rPr>
          <w:rFonts w:hint="eastAsia" w:hAnsi="宋体"/>
          <w:bCs/>
          <w:szCs w:val="22"/>
        </w:rPr>
        <w:t>市县级自然保护：白虎岭、南昌三湖、瑶湖、岭背、象山、安义西山岭、大公岭、香炉峰、八字脑金钱豹、茶宝山猕猴、大岭培白颈长尾雉、黄牛信黑熊、青龙尖云豹、共库、锅底潭、姑塘湿地、赛城湖候鸟、伊山、程坊、修水黄龙山、修水幕阜山、荷溪湿地、鹤田、七里源、青山、泉祠坳、杨岭山、野鸡坑、永修泡桐、共青南湖湿地、星子蓼花池湿地、都昌武山、宫祠、新妙、南溪湖候鸟、幸福、付垅、湖口苍鹭、湖口青檀、湖口森林、湖口天然阔叶林、屏峰、芳湖候鸟、海形、浪溪、太泊湖候鸟、瑞昌南方红豆杉、新余蒙山、大岗山、石门寨、龙虎山中华秋沙鸭、九峰水库、峰山、信丰金盆山、大余三江口、陡水湖、阳岭扩大区、安远九龙嶂、蔡坊、三百山、黄坑、夹湖、龙南金盆山、棋棠山、三县岽、西梅山、定南云台山、宁都莲花山、东江源、项山甑、阳天障、张天堂、大山脑、大桥、福华山、河坑、江口、君山湖、罗口、娑罗山、天河三分岭、银湾桥、油田—新源、樟坑、白云山-螺滩、吉安鲥鱼、玉笥山、泰和天湖山、白水仙、大湾里、遂川高坪、月明、猫牛岩、明月山、南坪、三天门、社上珍珠山、太源坑、桃花洞、铁丝岭、店下、樟树吴城、飞剑潭、玉京山落叶木莲、百丈山、奉新九岭山、奉新五梅山、华林书院、萝卜潭、泥洋山、桃仙岭、越山、鸡冠石、九龙、竹山洞、南港水源涵养、洞山、南屏山、和尚坪、靖安大鲵、天柱峰、竹山、枫窝里、仙桂峰、洪门水库、南城芙蓉山、百家畲、黄龙坑红豆杉、清芝峰、乐安龙潭、牛田古樟群落、大龙山南方红豆杉、马街、后坑红豆杉、东乡野生稻、佛岭、牛牯岽、弋阳中华秋沙鸭、康山候鸟、白沙洲、白石、大连山、大鄣山、共产主义水库、金竹源、饶河源、文公山、婺源常绿阔叶林、婺源红嘴相思鸟、婺源莲花山、许村、珍珠山、大茅山。</w:t>
      </w:r>
    </w:p>
    <w:p>
      <w:pPr>
        <w:pStyle w:val="23"/>
        <w:spacing w:before="156" w:beforeLines="50" w:after="156" w:afterLines="50"/>
        <w:rPr>
          <w:rFonts w:hAnsi="宋体"/>
          <w:bCs/>
          <w:szCs w:val="22"/>
        </w:rPr>
      </w:pPr>
      <w:r>
        <w:rPr>
          <w:rFonts w:hint="eastAsia" w:hAnsi="宋体"/>
          <w:bCs/>
          <w:szCs w:val="22"/>
        </w:rPr>
        <w:t>国家森林公园：三爪仑国家示范森林公园、庐山山南国家森林公园、梅岭国家森林公园、三百山国家森林公园、马祖山国家森林公园、鄱阳湖口国家森林公园、灵岩洞国家森林公园、明月山国家森林公园、翠微峰国家森林公园、天柱峰国家森林公园、泰和国家森林公园、鹅湖山国家森林公园、龟峰国家森林公园、上清国家森林公园、梅关国家森林公园、永丰国家森林公园、阁皂山国家森林公园、三叠泉国家森林公园、武功山国家森林公园、铜钹山国家森林公园、阳岭国家森林公园、天花井国家森林公园、五指峰国家森林公园、柘林湖国家森林公园、陡水湖国家森林公园、万安国家森林公园、三湾国家森林公园、安源国家森林公园、九连山国家森林公园、岩泉国家森林公园、云碧峰国家森林公园、景德镇国家森林公园、瑶里国家森林公园、清凉山国家森林公园、峰山国家级森林公园、九岭山国家级森林公园、岑山国家级森林公园、五府山国家级森林公园、军峰山国家级森林公园、碧湖潭国家森林公园、怀玉山国家森林公园、毓秀山国家森林公园、圣水堂国家森林公园、江西鄱阳莲花山国家森林公园、江西彭泽国家森林公园、江西金盘山国家森林公园。</w:t>
      </w:r>
    </w:p>
    <w:p>
      <w:pPr>
        <w:pStyle w:val="23"/>
        <w:spacing w:before="156" w:beforeLines="50" w:after="156" w:afterLines="50"/>
        <w:rPr>
          <w:rFonts w:hAnsi="宋体"/>
          <w:bCs/>
          <w:szCs w:val="22"/>
        </w:rPr>
      </w:pPr>
      <w:r>
        <w:rPr>
          <w:rFonts w:hint="eastAsia" w:hAnsi="宋体"/>
          <w:bCs/>
          <w:szCs w:val="22"/>
        </w:rPr>
        <w:t>省级森林公园：龙泉山省级森林公园、青山省级森林公园、上高县省级森林公园、宜丰县省级森林公园、狮山省级森林公园、青原山省级森林公园、玉笥山省级森林公园、洪源省级森林公园、贵溪省级森林公园、水鸡岽省级森林公园、武当山省级森林公园、罗汉岩省级森林公园、会昌山省级森林公园、西华山省级森林公园、三清省级森林公园、象山省级森林公园、广昌县省级森林公园、百丈峰省级森林公园、均福山省级森林公园、浮梁省级森林公园、梦山省级森林公园、南山省级森林公园、麻姑山省级森林公园、玉壶山省级森林公园、吉安省级森林公园、龙宫洞省级森林公园、罗田岩省级森林公园、黄畲山省级森林公园、马岗岭省级森林公园、大东山省级森林公园、玉华山省级森林公园、江西省遂川森林公园、莲花洞省级森林公园、郭璞峰省级森林公园、义门陈省级森林公园、远泉省级森林公园、江西省三尖源森林公园、江西省九龙庙森林公园、江西省东江源桠髻钵山森林公园、江西省六石岩森林公园、江西省白云山森林公园、江西省太宝峰森林公园、江西省香炉峰森林公园、江西省屏山森林公园、江西省兴农沙漠生态森林公园、江西省白鸡峰森林公园、江西省大南森林公园、江西省通天寨森林公园、江西省大砻下森林公园、江西省仙人寨森林公园、江西省三尖峰森林公园、江西省寒山森林公园、江西省理田源森林公园、江西省翠云峰森林公园、江西省小金山森林公园、江西省马形山森林公园、江西省睦州山森林公园、江西省芦泉湖森林公园、江西省仙隐洞森林公园、江西省龙口源省级森林公园、江西省东湖南山省级森林公园、江西省双峰尖省级森林公园、江西省台山省级森林公园、江西省万寿寺省级森林公园、江西省四亩里省级森林公园、江西省风龙省级森林公园、江西省鸡冠山省级森林公园、江西省李畋省级森林公园、江西省湖仙山省级森林公园、江西省园岭省级森林公园、江西省李腊石省级森林公园、江西省梅子山省级森林公园、江西省大山脑省级森林公园、江西省天工开物省级森林公园、江西省龙津湖省级森林公园、江西省东方禅文化省级森林公园、江西省龙泉湖省级森林公园、江西省李梅岭省级森林公园、江西省黄金山省级森林公园、江西省骆驼山省级森林公园、江西省珍珠山省级森林公园、江西省兴安省级森林公园、江西省广丰三山省级森林公园、江西省清水湾省级森林公园、江西省冰江省级森林公园、江西省聚远楼省级森林公园、江西省东湖省级森林公园、江西省君华省级森林公园、江西省西龙山省级森林公园、江西省白凤省级森林公园、江西省龙江省级森林公园、江西省汝水省级森林公园、江西省乐安省级森林公园、江西省卓望山省级森林公园、江西省泰伯省级森林公园、江西省龙华山省级森林公园、江西省仙峰岩省级森林公园、江西山谷省级森林公园、江西双圳省级森林公园、江西东江源仙人寨省级森林公园、江西螺峰尖省级森林公园、江西老鹰山省级森林公园、江西虎峰山省级森林公园、江西芦溪狮山省级森林公园、江西贵溪象山省级森林公园、江西罗山省级森林公园、江西鹤坪省级森林公园、江西日峰山省级森林公园、江西豫宁省级森林公园、江西安基山省级森林公园。</w:t>
      </w:r>
    </w:p>
    <w:p>
      <w:pPr>
        <w:pStyle w:val="23"/>
        <w:spacing w:before="156" w:beforeLines="50" w:after="156" w:afterLines="50"/>
        <w:rPr>
          <w:rFonts w:hAnsi="宋体"/>
          <w:bCs/>
          <w:szCs w:val="22"/>
        </w:rPr>
      </w:pPr>
      <w:r>
        <w:rPr>
          <w:rFonts w:hint="eastAsia" w:hAnsi="宋体"/>
          <w:bCs/>
          <w:szCs w:val="22"/>
        </w:rPr>
        <w:t>市县级森林公园：南昌市大公岭森林公园、吉安县娑罗山森林公园、安福县蒙冈岭森林公园、分宜县石门寨森林公园、樟树药都城市森林公园、上高翠霞城市森林公园、万载县西屏山城市森林公园、铜鼓县铜鼓城市森林公园、袁州区袁山城市森林公园、弋阳县城南城市森林公园、青原区文山正气城市森林公园、会昌县塔丰城市森林公园、鹰潭梅园市级森林公园、景德镇市大岭森林公园。</w:t>
      </w:r>
    </w:p>
    <w:p>
      <w:pPr>
        <w:pStyle w:val="23"/>
        <w:spacing w:before="156" w:beforeLines="50" w:after="156" w:afterLines="50"/>
        <w:outlineLvl w:val="4"/>
        <w:rPr>
          <w:rFonts w:hAnsi="宋体"/>
          <w:bCs/>
          <w:szCs w:val="22"/>
        </w:rPr>
      </w:pPr>
      <w:r>
        <w:rPr>
          <w:rFonts w:hint="eastAsia" w:hAnsi="宋体"/>
          <w:bCs/>
          <w:szCs w:val="22"/>
        </w:rPr>
        <w:t>（c）在豫章文化、客家文化、庐陵文化、临川文化等文化传承区域建设健身步道，构建人文纽带健身步道体系，突出中国优秀传统文化的人文资源。优先选择建设古色主题步道的地区如下：</w:t>
      </w:r>
    </w:p>
    <w:p>
      <w:pPr>
        <w:pStyle w:val="23"/>
        <w:spacing w:before="156" w:beforeLines="50" w:after="156" w:afterLines="50"/>
        <w:rPr>
          <w:rFonts w:hAnsi="宋体"/>
          <w:bCs/>
          <w:szCs w:val="22"/>
        </w:rPr>
      </w:pPr>
      <w:r>
        <w:rPr>
          <w:rFonts w:hint="eastAsia" w:hAnsi="宋体"/>
          <w:bCs/>
          <w:szCs w:val="22"/>
        </w:rPr>
        <w:t>豫章文化：南昌市、丰城、高安、靖安、奉新等地区。</w:t>
      </w:r>
    </w:p>
    <w:p>
      <w:pPr>
        <w:pStyle w:val="23"/>
        <w:spacing w:before="156" w:beforeLines="50" w:after="156" w:afterLines="50"/>
        <w:rPr>
          <w:rFonts w:hAnsi="宋体"/>
          <w:bCs/>
          <w:szCs w:val="22"/>
        </w:rPr>
      </w:pPr>
      <w:r>
        <w:rPr>
          <w:rFonts w:hint="eastAsia" w:hAnsi="宋体"/>
          <w:bCs/>
          <w:szCs w:val="22"/>
        </w:rPr>
        <w:t>客家文化：赣州市、吉安市、宜春市、九江市、萍乡市、上饶市、抚州市等地区。</w:t>
      </w:r>
    </w:p>
    <w:p>
      <w:pPr>
        <w:pStyle w:val="23"/>
        <w:spacing w:before="156" w:beforeLines="50" w:after="156" w:afterLines="50"/>
        <w:rPr>
          <w:rFonts w:hAnsi="宋体"/>
          <w:bCs/>
          <w:szCs w:val="22"/>
        </w:rPr>
      </w:pPr>
      <w:r>
        <w:rPr>
          <w:rFonts w:hint="eastAsia" w:hAnsi="宋体"/>
          <w:bCs/>
          <w:szCs w:val="22"/>
        </w:rPr>
        <w:t>庐陵文化：南昌市、赣州市、宜春市、吉安市等地区。</w:t>
      </w:r>
    </w:p>
    <w:p>
      <w:pPr>
        <w:pStyle w:val="23"/>
        <w:spacing w:before="156" w:beforeLines="50" w:after="156" w:afterLines="50"/>
        <w:rPr>
          <w:rFonts w:hAnsi="宋体"/>
          <w:bCs/>
          <w:szCs w:val="22"/>
        </w:rPr>
      </w:pPr>
      <w:r>
        <w:rPr>
          <w:rFonts w:hint="eastAsia" w:hAnsi="宋体"/>
          <w:bCs/>
          <w:szCs w:val="22"/>
        </w:rPr>
        <w:t>临川文化：抚州市、临川县、崇仁县、宜黄县、乐安县、南城县、南丰县、广昌县、黎川县、资溪县、金溪县、东乡县等地。</w:t>
      </w:r>
    </w:p>
    <w:p>
      <w:pPr>
        <w:pStyle w:val="21"/>
        <w:numPr>
          <w:ilvl w:val="2"/>
          <w:numId w:val="5"/>
        </w:numPr>
        <w:outlineLvl w:val="2"/>
        <w:rPr>
          <w:szCs w:val="21"/>
        </w:rPr>
      </w:pPr>
      <w:r>
        <w:rPr>
          <w:rFonts w:hint="eastAsia"/>
          <w:szCs w:val="21"/>
        </w:rPr>
        <w:t>活动项目</w:t>
      </w:r>
    </w:p>
    <w:p>
      <w:pPr>
        <w:pStyle w:val="23"/>
        <w:spacing w:before="156" w:beforeLines="50" w:after="156" w:afterLines="50"/>
        <w:ind w:firstLine="0" w:firstLineChars="0"/>
        <w:outlineLvl w:val="3"/>
        <w:rPr>
          <w:rFonts w:hAnsi="宋体"/>
          <w:bCs/>
          <w:szCs w:val="22"/>
        </w:rPr>
      </w:pPr>
      <w:r>
        <w:rPr>
          <w:rFonts w:hint="eastAsia" w:ascii="黑体" w:hAnsi="黑体" w:eastAsia="黑体" w:cs="黑体"/>
          <w:bCs/>
          <w:smallCaps/>
          <w:kern w:val="2"/>
          <w:szCs w:val="21"/>
        </w:rPr>
        <w:t>7.1.3.1-7.1.3.2</w:t>
      </w:r>
      <w:r>
        <w:rPr>
          <w:rFonts w:hint="eastAsia" w:hAnsi="宋体"/>
          <w:bCs/>
          <w:szCs w:val="22"/>
        </w:rPr>
        <w:t xml:space="preserve">  提出了健身步道上适合开展的项目，即能够突出健身步道的健身功能，又能在一定程度上保证健身者的安全，同时将步道的活动与主题和文化相交叉，丰富步道的内涵和外延。</w:t>
      </w:r>
    </w:p>
    <w:p>
      <w:pPr>
        <w:pStyle w:val="21"/>
        <w:numPr>
          <w:ilvl w:val="1"/>
          <w:numId w:val="5"/>
        </w:numPr>
        <w:rPr>
          <w:szCs w:val="21"/>
        </w:rPr>
      </w:pPr>
      <w:r>
        <w:rPr>
          <w:rFonts w:hint="eastAsia"/>
          <w:szCs w:val="21"/>
        </w:rPr>
        <w:t>道路系统</w:t>
      </w:r>
    </w:p>
    <w:p>
      <w:pPr>
        <w:pStyle w:val="21"/>
        <w:numPr>
          <w:ilvl w:val="2"/>
          <w:numId w:val="5"/>
        </w:numPr>
        <w:outlineLvl w:val="2"/>
        <w:rPr>
          <w:szCs w:val="21"/>
        </w:rPr>
      </w:pPr>
      <w:r>
        <w:rPr>
          <w:rFonts w:hint="eastAsia"/>
          <w:szCs w:val="21"/>
        </w:rPr>
        <w:t>主线</w:t>
      </w:r>
    </w:p>
    <w:p>
      <w:pPr>
        <w:pStyle w:val="23"/>
        <w:spacing w:before="156" w:beforeLines="50" w:after="156" w:afterLines="50"/>
        <w:ind w:firstLine="0" w:firstLineChars="0"/>
        <w:outlineLvl w:val="3"/>
        <w:rPr>
          <w:rFonts w:hAnsi="宋体" w:cs="宋体"/>
          <w:bCs/>
          <w:smallCaps/>
          <w:kern w:val="2"/>
          <w:szCs w:val="21"/>
        </w:rPr>
      </w:pPr>
      <w:r>
        <w:rPr>
          <w:rFonts w:hint="eastAsia" w:ascii="黑体" w:hAnsi="黑体" w:eastAsia="黑体" w:cs="黑体"/>
          <w:bCs/>
          <w:smallCaps/>
          <w:kern w:val="2"/>
          <w:szCs w:val="21"/>
        </w:rPr>
        <w:t xml:space="preserve">7.2.1.1-7.2.1.3  </w:t>
      </w:r>
      <w:r>
        <w:rPr>
          <w:rFonts w:hint="eastAsia" w:hAnsi="宋体" w:cs="宋体"/>
          <w:bCs/>
          <w:smallCaps/>
          <w:kern w:val="2"/>
          <w:szCs w:val="21"/>
        </w:rPr>
        <w:t>规定了健身步道道路系统的建设要求，根据健身步道所处的位置综合考虑健身步道的建设方式，应充分利用当地资源、合理选用建设材料，做到节约资源，减少浪费。</w:t>
      </w:r>
    </w:p>
    <w:p>
      <w:pPr>
        <w:pStyle w:val="23"/>
        <w:spacing w:before="156" w:beforeLines="50" w:after="156" w:afterLines="50"/>
        <w:outlineLvl w:val="3"/>
        <w:rPr>
          <w:rFonts w:hAnsi="宋体" w:cs="宋体"/>
          <w:bCs/>
          <w:smallCaps/>
          <w:kern w:val="2"/>
          <w:szCs w:val="21"/>
        </w:rPr>
      </w:pPr>
      <w:r>
        <w:rPr>
          <w:rFonts w:hint="eastAsia" w:hAnsi="宋体" w:cs="宋体"/>
          <w:bCs/>
          <w:smallCaps/>
          <w:kern w:val="2"/>
          <w:szCs w:val="21"/>
        </w:rPr>
        <w:t>通过调研全国健身步道情况和江西省健身步道情况，健身步道面层总共可分为七类，分别是合成材料路面、水泥混凝土路面、沥青路面、砌块路面、木板路面、碎石和卵石路面、原地土石路面。</w:t>
      </w:r>
    </w:p>
    <w:p>
      <w:pPr>
        <w:pStyle w:val="23"/>
        <w:spacing w:before="156" w:beforeLines="50" w:after="156" w:afterLines="50"/>
        <w:outlineLvl w:val="3"/>
        <w:rPr>
          <w:rFonts w:hAnsi="宋体" w:cs="宋体"/>
          <w:bCs/>
          <w:smallCaps/>
          <w:kern w:val="2"/>
          <w:szCs w:val="21"/>
        </w:rPr>
      </w:pPr>
      <w:r>
        <w:rPr>
          <w:rFonts w:hint="eastAsia" w:hAnsi="宋体" w:cs="宋体"/>
          <w:bCs/>
          <w:smallCaps/>
          <w:kern w:val="2"/>
          <w:szCs w:val="21"/>
        </w:rPr>
        <w:t>根据健身步道的分类，登山运动适合在户外山地上开展，山区适合采用砌块和原地土石建设步道；健走运动多在沿河、社区、公园等地势较为平缓的区域进行，因此合成材料路面、水泥混凝土路面、沥青路面、砌块路面、木板路面、碎石和卵石路面、原地土石路面都适合健走步道的建设；骑行运动可在山地或平原进行，但骑行道的长度往往大于登山健身步道和健走步道，因此适合采用造价较低的水泥混凝土路面、沥青路面以及原地土石路面。</w:t>
      </w:r>
    </w:p>
    <w:p>
      <w:pPr>
        <w:pStyle w:val="21"/>
        <w:numPr>
          <w:ilvl w:val="0"/>
          <w:numId w:val="0"/>
        </w:numPr>
        <w:spacing w:before="156" w:beforeLines="50" w:after="156" w:afterLines="50"/>
        <w:outlineLvl w:val="3"/>
        <w:rPr>
          <w:szCs w:val="21"/>
        </w:rPr>
      </w:pPr>
      <w:r>
        <w:rPr>
          <w:rFonts w:hint="eastAsia"/>
          <w:szCs w:val="21"/>
        </w:rPr>
        <w:t xml:space="preserve">7.2.1.4  </w:t>
      </w:r>
      <w:r>
        <w:rPr>
          <w:rFonts w:hint="eastAsia" w:ascii="宋体" w:hAnsi="宋体" w:eastAsia="宋体" w:cs="宋体"/>
          <w:szCs w:val="21"/>
        </w:rPr>
        <w:t>结合我国现行标准中对健身步道宽度的有关规定，研究提出了本规范中健身步道的宽度要求。具体宽度要求对比详见表1和表2。</w:t>
      </w:r>
    </w:p>
    <w:p>
      <w:pPr>
        <w:autoSpaceDE w:val="0"/>
        <w:autoSpaceDN w:val="0"/>
        <w:jc w:val="center"/>
        <w:rPr>
          <w:rFonts w:ascii="宋体" w:hAnsi="宋体" w:eastAsia="宋体" w:cs="Times New Roman"/>
          <w:b/>
          <w:sz w:val="21"/>
          <w:szCs w:val="22"/>
        </w:rPr>
      </w:pPr>
      <w:r>
        <w:rPr>
          <w:rFonts w:ascii="宋体" w:hAnsi="宋体" w:eastAsia="宋体" w:cs="Times New Roman"/>
          <w:b/>
          <w:sz w:val="21"/>
          <w:szCs w:val="22"/>
        </w:rPr>
        <w:t>表</w:t>
      </w:r>
      <w:r>
        <w:rPr>
          <w:rFonts w:hint="eastAsia" w:ascii="宋体" w:hAnsi="宋体" w:eastAsia="宋体" w:cs="Times New Roman"/>
          <w:b/>
          <w:sz w:val="21"/>
          <w:szCs w:val="22"/>
        </w:rPr>
        <w:t>1</w:t>
      </w:r>
      <w:r>
        <w:rPr>
          <w:rFonts w:ascii="宋体" w:hAnsi="宋体" w:eastAsia="宋体" w:cs="Times New Roman"/>
          <w:b/>
          <w:sz w:val="21"/>
          <w:szCs w:val="22"/>
        </w:rPr>
        <w:t xml:space="preserve"> 我国现行标准健身步道宽度规定与本规范健身步道宽度规定对比表</w:t>
      </w:r>
    </w:p>
    <w:tbl>
      <w:tblPr>
        <w:tblStyle w:val="15"/>
        <w:tblW w:w="82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2642"/>
        <w:gridCol w:w="382"/>
        <w:gridCol w:w="1981"/>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1417" w:type="dxa"/>
            <w:vMerge w:val="restart"/>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现行有关标准</w:t>
            </w:r>
          </w:p>
        </w:tc>
        <w:tc>
          <w:tcPr>
            <w:tcW w:w="6785" w:type="dxa"/>
            <w:gridSpan w:val="4"/>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健身步道宽度（米）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jc w:val="center"/>
        </w:trPr>
        <w:tc>
          <w:tcPr>
            <w:tcW w:w="1417" w:type="dxa"/>
            <w:vMerge w:val="continue"/>
            <w:vAlign w:val="center"/>
          </w:tcPr>
          <w:p>
            <w:pPr>
              <w:autoSpaceDE w:val="0"/>
              <w:autoSpaceDN w:val="0"/>
              <w:jc w:val="center"/>
              <w:rPr>
                <w:rFonts w:ascii="宋体" w:hAnsi="Times New Roman" w:eastAsia="宋体" w:cs="Times New Roman"/>
                <w:sz w:val="18"/>
              </w:rPr>
            </w:pPr>
          </w:p>
        </w:tc>
        <w:tc>
          <w:tcPr>
            <w:tcW w:w="2642"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登山健身步道</w:t>
            </w:r>
          </w:p>
        </w:tc>
        <w:tc>
          <w:tcPr>
            <w:tcW w:w="2363" w:type="dxa"/>
            <w:gridSpan w:val="2"/>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健走步道</w:t>
            </w:r>
          </w:p>
        </w:tc>
        <w:tc>
          <w:tcPr>
            <w:tcW w:w="1780"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骑行道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1417"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国家登山健身步道标准</w:t>
            </w:r>
          </w:p>
        </w:tc>
        <w:tc>
          <w:tcPr>
            <w:tcW w:w="2642" w:type="dxa"/>
            <w:vAlign w:val="center"/>
          </w:tcPr>
          <w:p>
            <w:pPr>
              <w:autoSpaceDE w:val="0"/>
              <w:autoSpaceDN w:val="0"/>
              <w:jc w:val="left"/>
              <w:rPr>
                <w:rFonts w:ascii="宋体" w:hAnsi="Times New Roman" w:eastAsia="宋体" w:cs="Times New Roman"/>
                <w:sz w:val="18"/>
              </w:rPr>
            </w:pPr>
            <w:r>
              <w:rPr>
                <w:rFonts w:hint="eastAsia" w:ascii="宋体" w:hAnsi="Times New Roman" w:eastAsia="宋体" w:cs="Times New Roman"/>
                <w:sz w:val="18"/>
              </w:rPr>
              <w:t>主步道路面宽度应大于等于</w:t>
            </w:r>
            <w:r>
              <w:rPr>
                <w:rFonts w:ascii="宋体" w:hAnsi="Times New Roman" w:eastAsia="宋体" w:cs="Times New Roman"/>
                <w:sz w:val="18"/>
              </w:rPr>
              <w:t>0.6</w:t>
            </w:r>
            <w:r>
              <w:rPr>
                <w:rFonts w:hint="eastAsia" w:ascii="宋体" w:hAnsi="Times New Roman" w:eastAsia="宋体" w:cs="Times New Roman"/>
                <w:sz w:val="18"/>
              </w:rPr>
              <w:t>米、小于等于</w:t>
            </w:r>
            <w:r>
              <w:rPr>
                <w:rFonts w:ascii="宋体" w:hAnsi="Times New Roman" w:eastAsia="宋体" w:cs="Times New Roman"/>
                <w:sz w:val="18"/>
              </w:rPr>
              <w:t>1.5</w:t>
            </w:r>
            <w:r>
              <w:rPr>
                <w:rFonts w:hint="eastAsia" w:ascii="宋体" w:hAnsi="Times New Roman" w:eastAsia="宋体" w:cs="Times New Roman"/>
                <w:sz w:val="18"/>
              </w:rPr>
              <w:t>米；两侧缓冲带每侧宽度不小于</w:t>
            </w:r>
            <w:r>
              <w:rPr>
                <w:rFonts w:ascii="宋体" w:hAnsi="Times New Roman" w:eastAsia="宋体" w:cs="Times New Roman"/>
                <w:sz w:val="18"/>
              </w:rPr>
              <w:t>0.2米</w:t>
            </w:r>
          </w:p>
        </w:tc>
        <w:tc>
          <w:tcPr>
            <w:tcW w:w="2363" w:type="dxa"/>
            <w:gridSpan w:val="2"/>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c>
          <w:tcPr>
            <w:tcW w:w="1780"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1417"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登山健身步道配置要求</w:t>
            </w:r>
          </w:p>
        </w:tc>
        <w:tc>
          <w:tcPr>
            <w:tcW w:w="2642" w:type="dxa"/>
            <w:vAlign w:val="center"/>
          </w:tcPr>
          <w:p>
            <w:pPr>
              <w:autoSpaceDE w:val="0"/>
              <w:autoSpaceDN w:val="0"/>
              <w:jc w:val="left"/>
              <w:rPr>
                <w:rFonts w:ascii="宋体" w:hAnsi="Times New Roman" w:eastAsia="宋体" w:cs="Times New Roman"/>
                <w:sz w:val="18"/>
              </w:rPr>
            </w:pPr>
            <w:r>
              <w:rPr>
                <w:rFonts w:hint="eastAsia" w:ascii="宋体" w:hAnsi="Times New Roman" w:eastAsia="宋体" w:cs="Times New Roman"/>
                <w:sz w:val="18"/>
              </w:rPr>
              <w:t>A级：无荒野路线，单行线宽度1-2米，双行线宽度1.5-米</w:t>
            </w:r>
          </w:p>
          <w:p>
            <w:pPr>
              <w:autoSpaceDE w:val="0"/>
              <w:autoSpaceDN w:val="0"/>
              <w:jc w:val="left"/>
              <w:rPr>
                <w:rFonts w:ascii="宋体" w:hAnsi="Times New Roman" w:eastAsia="宋体" w:cs="Times New Roman"/>
                <w:sz w:val="18"/>
              </w:rPr>
            </w:pPr>
            <w:r>
              <w:rPr>
                <w:rFonts w:ascii="宋体" w:hAnsi="Times New Roman" w:eastAsia="宋体" w:cs="Times New Roman"/>
                <w:sz w:val="18"/>
              </w:rPr>
              <w:t>B级</w:t>
            </w:r>
            <w:r>
              <w:rPr>
                <w:rFonts w:hint="eastAsia" w:ascii="宋体" w:hAnsi="Times New Roman" w:eastAsia="宋体" w:cs="Times New Roman"/>
                <w:sz w:val="18"/>
              </w:rPr>
              <w:t>：荒野单行线宽度0.6-0.8米，双行线宽度1.2-2米</w:t>
            </w:r>
          </w:p>
          <w:p>
            <w:pPr>
              <w:autoSpaceDE w:val="0"/>
              <w:autoSpaceDN w:val="0"/>
              <w:jc w:val="left"/>
              <w:rPr>
                <w:rFonts w:ascii="宋体" w:hAnsi="Times New Roman" w:eastAsia="宋体" w:cs="Times New Roman"/>
                <w:sz w:val="18"/>
              </w:rPr>
            </w:pPr>
            <w:r>
              <w:rPr>
                <w:rFonts w:ascii="宋体" w:hAnsi="Times New Roman" w:eastAsia="宋体" w:cs="Times New Roman"/>
                <w:sz w:val="18"/>
              </w:rPr>
              <w:t>C级</w:t>
            </w:r>
            <w:r>
              <w:rPr>
                <w:rFonts w:hint="eastAsia" w:ascii="宋体" w:hAnsi="Times New Roman" w:eastAsia="宋体" w:cs="Times New Roman"/>
                <w:sz w:val="18"/>
              </w:rPr>
              <w:t>：荒野单行线宽度0.5-0.6米，双行线宽度1-1.5米</w:t>
            </w:r>
          </w:p>
        </w:tc>
        <w:tc>
          <w:tcPr>
            <w:tcW w:w="2363" w:type="dxa"/>
            <w:gridSpan w:val="2"/>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c>
          <w:tcPr>
            <w:tcW w:w="1780"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1417"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健走步道配置要求</w:t>
            </w:r>
          </w:p>
        </w:tc>
        <w:tc>
          <w:tcPr>
            <w:tcW w:w="2642"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c>
          <w:tcPr>
            <w:tcW w:w="2363" w:type="dxa"/>
            <w:gridSpan w:val="2"/>
            <w:vAlign w:val="center"/>
          </w:tcPr>
          <w:p>
            <w:pPr>
              <w:autoSpaceDE w:val="0"/>
              <w:autoSpaceDN w:val="0"/>
              <w:jc w:val="left"/>
              <w:rPr>
                <w:rFonts w:ascii="宋体" w:hAnsi="Times New Roman" w:eastAsia="宋体" w:cs="Times New Roman"/>
                <w:sz w:val="18"/>
              </w:rPr>
            </w:pPr>
            <w:r>
              <w:rPr>
                <w:rFonts w:hint="eastAsia" w:ascii="宋体" w:hAnsi="Times New Roman" w:eastAsia="宋体" w:cs="Times New Roman"/>
                <w:sz w:val="18"/>
              </w:rPr>
              <w:t>不小于1.2米，两侧缓冲带不小于</w:t>
            </w:r>
            <w:r>
              <w:rPr>
                <w:rFonts w:ascii="宋体" w:hAnsi="Times New Roman" w:eastAsia="宋体" w:cs="Times New Roman"/>
                <w:sz w:val="18"/>
              </w:rPr>
              <w:t>0.2米</w:t>
            </w:r>
          </w:p>
        </w:tc>
        <w:tc>
          <w:tcPr>
            <w:tcW w:w="1780"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1417"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绿道规划设计导则</w:t>
            </w:r>
          </w:p>
        </w:tc>
        <w:tc>
          <w:tcPr>
            <w:tcW w:w="2642"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c>
          <w:tcPr>
            <w:tcW w:w="2363" w:type="dxa"/>
            <w:gridSpan w:val="2"/>
            <w:vAlign w:val="center"/>
          </w:tcPr>
          <w:p>
            <w:pPr>
              <w:autoSpaceDE w:val="0"/>
              <w:autoSpaceDN w:val="0"/>
              <w:jc w:val="left"/>
              <w:rPr>
                <w:rFonts w:ascii="宋体" w:hAnsi="Times New Roman" w:eastAsia="宋体" w:cs="Times New Roman"/>
                <w:sz w:val="18"/>
              </w:rPr>
            </w:pPr>
            <w:r>
              <w:rPr>
                <w:rFonts w:hint="eastAsia" w:ascii="宋体" w:hAnsi="Times New Roman" w:eastAsia="宋体" w:cs="Times New Roman"/>
                <w:sz w:val="18"/>
              </w:rPr>
              <w:t>城镇型绿道：单独设置不宜小于2米</w:t>
            </w:r>
          </w:p>
          <w:p>
            <w:pPr>
              <w:autoSpaceDE w:val="0"/>
              <w:autoSpaceDN w:val="0"/>
              <w:jc w:val="left"/>
              <w:rPr>
                <w:rFonts w:ascii="宋体" w:hAnsi="Times New Roman" w:eastAsia="宋体" w:cs="Times New Roman"/>
                <w:sz w:val="18"/>
              </w:rPr>
            </w:pPr>
            <w:r>
              <w:rPr>
                <w:rFonts w:hint="eastAsia" w:ascii="宋体" w:hAnsi="Times New Roman" w:eastAsia="宋体" w:cs="Times New Roman"/>
                <w:sz w:val="18"/>
              </w:rPr>
              <w:t>郊野型绿道：不小于1.5米</w:t>
            </w:r>
          </w:p>
        </w:tc>
        <w:tc>
          <w:tcPr>
            <w:tcW w:w="1780" w:type="dxa"/>
            <w:vAlign w:val="center"/>
          </w:tcPr>
          <w:p>
            <w:pPr>
              <w:autoSpaceDE w:val="0"/>
              <w:autoSpaceDN w:val="0"/>
              <w:jc w:val="left"/>
              <w:rPr>
                <w:rFonts w:ascii="宋体" w:hAnsi="Times New Roman" w:eastAsia="宋体" w:cs="Times New Roman"/>
                <w:sz w:val="18"/>
              </w:rPr>
            </w:pPr>
            <w:r>
              <w:rPr>
                <w:rFonts w:hint="eastAsia" w:ascii="宋体" w:hAnsi="Times New Roman" w:eastAsia="宋体" w:cs="Times New Roman"/>
                <w:sz w:val="18"/>
              </w:rPr>
              <w:t>城镇型绿道：单向通行不小于1.5米，双向通行不小于3米</w:t>
            </w:r>
          </w:p>
          <w:p>
            <w:pPr>
              <w:autoSpaceDE w:val="0"/>
              <w:autoSpaceDN w:val="0"/>
              <w:rPr>
                <w:rFonts w:ascii="宋体" w:hAnsi="Times New Roman" w:eastAsia="宋体" w:cs="Times New Roman"/>
                <w:sz w:val="18"/>
              </w:rPr>
            </w:pPr>
            <w:r>
              <w:rPr>
                <w:rFonts w:hint="eastAsia" w:ascii="宋体" w:hAnsi="Times New Roman" w:eastAsia="宋体" w:cs="Times New Roman"/>
                <w:sz w:val="18"/>
              </w:rPr>
              <w:t>郊野型绿道：2-</w:t>
            </w:r>
            <w:r>
              <w:rPr>
                <w:rFonts w:ascii="宋体" w:hAnsi="Times New Roman" w:eastAsia="宋体" w:cs="Times New Roman"/>
                <w:sz w:val="18"/>
              </w:rPr>
              <w:t>3米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jc w:val="center"/>
        </w:trPr>
        <w:tc>
          <w:tcPr>
            <w:tcW w:w="1417"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合成材料面层健身步道要求</w:t>
            </w:r>
          </w:p>
        </w:tc>
        <w:tc>
          <w:tcPr>
            <w:tcW w:w="6785" w:type="dxa"/>
            <w:gridSpan w:val="4"/>
            <w:vAlign w:val="center"/>
          </w:tcPr>
          <w:p>
            <w:pPr>
              <w:autoSpaceDE w:val="0"/>
              <w:autoSpaceDN w:val="0"/>
              <w:jc w:val="left"/>
              <w:rPr>
                <w:rFonts w:ascii="宋体" w:hAnsi="Times New Roman" w:eastAsia="宋体" w:cs="Times New Roman"/>
                <w:sz w:val="18"/>
              </w:rPr>
            </w:pPr>
            <w:r>
              <w:rPr>
                <w:rFonts w:hint="eastAsia" w:ascii="宋体" w:hAnsi="Times New Roman" w:eastAsia="宋体" w:cs="Times New Roman"/>
                <w:sz w:val="18"/>
              </w:rPr>
              <w:t>健身步道宽度宜为1.5-3.0米。单向通行步道宽度应不小于1.5米，双向通行步道宽度应不小于2.5米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jc w:val="center"/>
        </w:trPr>
        <w:tc>
          <w:tcPr>
            <w:tcW w:w="1417"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本规范</w:t>
            </w:r>
          </w:p>
        </w:tc>
        <w:tc>
          <w:tcPr>
            <w:tcW w:w="3024" w:type="dxa"/>
            <w:gridSpan w:val="2"/>
            <w:vAlign w:val="center"/>
          </w:tcPr>
          <w:p>
            <w:pPr>
              <w:jc w:val="center"/>
              <w:rPr>
                <w:rFonts w:hint="eastAsia" w:cs="Times New Roman" w:asciiTheme="minorEastAsia" w:hAnsiTheme="minorEastAsia" w:eastAsiaTheme="minorEastAsia"/>
                <w:sz w:val="18"/>
              </w:rPr>
            </w:pPr>
            <w:r>
              <w:rPr>
                <w:rFonts w:hint="eastAsia" w:cs="Times New Roman" w:asciiTheme="minorEastAsia" w:hAnsiTheme="minorEastAsia" w:eastAsiaTheme="minorEastAsia"/>
                <w:sz w:val="18"/>
              </w:rPr>
              <w:t>≥</w:t>
            </w:r>
            <w:r>
              <w:rPr>
                <w:rFonts w:cs="Times New Roman" w:asciiTheme="minorEastAsia" w:hAnsiTheme="minorEastAsia" w:eastAsiaTheme="minorEastAsia"/>
                <w:sz w:val="18"/>
              </w:rPr>
              <w:t>1m</w:t>
            </w:r>
          </w:p>
        </w:tc>
        <w:tc>
          <w:tcPr>
            <w:tcW w:w="1981" w:type="dxa"/>
            <w:vAlign w:val="center"/>
          </w:tcPr>
          <w:p>
            <w:pPr>
              <w:jc w:val="center"/>
              <w:rPr>
                <w:rFonts w:hint="eastAsia" w:ascii="宋体" w:hAnsi="Times New Roman" w:eastAsia="宋体" w:cs="Times New Roman"/>
                <w:sz w:val="18"/>
              </w:rPr>
            </w:pPr>
            <w:r>
              <w:rPr>
                <w:rFonts w:hint="eastAsia" w:ascii="宋体" w:hAnsi="Times New Roman" w:eastAsia="宋体" w:cs="Times New Roman"/>
                <w:sz w:val="18"/>
              </w:rPr>
              <w:t>≥1.5m</w:t>
            </w:r>
          </w:p>
        </w:tc>
        <w:tc>
          <w:tcPr>
            <w:tcW w:w="1780" w:type="dxa"/>
            <w:vAlign w:val="center"/>
          </w:tcPr>
          <w:p>
            <w:pPr>
              <w:jc w:val="center"/>
              <w:rPr>
                <w:rFonts w:ascii="宋体" w:hAnsi="Times New Roman" w:eastAsia="宋体" w:cs="Times New Roman"/>
                <w:sz w:val="18"/>
              </w:rPr>
            </w:pPr>
            <w:r>
              <w:rPr>
                <w:rFonts w:hint="eastAsia" w:ascii="宋体" w:hAnsi="Times New Roman" w:eastAsia="宋体" w:cs="Times New Roman"/>
                <w:sz w:val="18"/>
              </w:rPr>
              <w:t>≥2m</w:t>
            </w:r>
          </w:p>
        </w:tc>
      </w:tr>
    </w:tbl>
    <w:p>
      <w:pPr>
        <w:autoSpaceDE w:val="0"/>
        <w:autoSpaceDN w:val="0"/>
        <w:jc w:val="center"/>
        <w:rPr>
          <w:rFonts w:ascii="宋体" w:hAnsi="宋体" w:eastAsia="宋体" w:cs="Times New Roman"/>
          <w:b/>
          <w:sz w:val="21"/>
          <w:szCs w:val="22"/>
        </w:rPr>
      </w:pPr>
    </w:p>
    <w:p>
      <w:pPr>
        <w:autoSpaceDE w:val="0"/>
        <w:autoSpaceDN w:val="0"/>
        <w:jc w:val="center"/>
        <w:rPr>
          <w:rFonts w:ascii="宋体" w:hAnsi="宋体" w:eastAsia="宋体" w:cs="Times New Roman"/>
          <w:b/>
          <w:sz w:val="21"/>
          <w:szCs w:val="22"/>
        </w:rPr>
      </w:pPr>
      <w:r>
        <w:rPr>
          <w:rFonts w:ascii="宋体" w:hAnsi="宋体" w:eastAsia="宋体" w:cs="Times New Roman"/>
          <w:b/>
          <w:sz w:val="21"/>
          <w:szCs w:val="22"/>
        </w:rPr>
        <w:t>表</w:t>
      </w:r>
      <w:r>
        <w:rPr>
          <w:rFonts w:hint="eastAsia" w:ascii="宋体" w:hAnsi="宋体" w:eastAsia="宋体" w:cs="Times New Roman"/>
          <w:b/>
          <w:sz w:val="21"/>
          <w:szCs w:val="22"/>
        </w:rPr>
        <w:t>2</w:t>
      </w:r>
      <w:r>
        <w:rPr>
          <w:rFonts w:ascii="宋体" w:hAnsi="宋体" w:eastAsia="宋体" w:cs="Times New Roman"/>
          <w:b/>
          <w:sz w:val="21"/>
          <w:szCs w:val="22"/>
        </w:rPr>
        <w:t xml:space="preserve"> 我国现行标准健身步道</w:t>
      </w:r>
      <w:r>
        <w:rPr>
          <w:rFonts w:hint="eastAsia" w:ascii="宋体" w:hAnsi="宋体" w:eastAsia="宋体" w:cs="Times New Roman"/>
          <w:b/>
          <w:sz w:val="21"/>
          <w:szCs w:val="22"/>
        </w:rPr>
        <w:t>坡度</w:t>
      </w:r>
      <w:r>
        <w:rPr>
          <w:rFonts w:ascii="宋体" w:hAnsi="宋体" w:eastAsia="宋体" w:cs="Times New Roman"/>
          <w:b/>
          <w:sz w:val="21"/>
          <w:szCs w:val="22"/>
        </w:rPr>
        <w:t>规定与本规范健身步道</w:t>
      </w:r>
      <w:r>
        <w:rPr>
          <w:rFonts w:hint="eastAsia" w:ascii="宋体" w:hAnsi="宋体" w:eastAsia="宋体" w:cs="Times New Roman"/>
          <w:b/>
          <w:sz w:val="21"/>
          <w:szCs w:val="22"/>
        </w:rPr>
        <w:t>坡度</w:t>
      </w:r>
      <w:r>
        <w:rPr>
          <w:rFonts w:ascii="宋体" w:hAnsi="宋体" w:eastAsia="宋体" w:cs="Times New Roman"/>
          <w:b/>
          <w:sz w:val="21"/>
          <w:szCs w:val="22"/>
        </w:rPr>
        <w:t>规定对比表</w:t>
      </w:r>
    </w:p>
    <w:tbl>
      <w:tblPr>
        <w:tblStyle w:val="15"/>
        <w:tblW w:w="82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2982"/>
        <w:gridCol w:w="42"/>
        <w:gridCol w:w="1981"/>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1417" w:type="dxa"/>
            <w:vMerge w:val="restart"/>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现行有关标准</w:t>
            </w:r>
          </w:p>
        </w:tc>
        <w:tc>
          <w:tcPr>
            <w:tcW w:w="6785" w:type="dxa"/>
            <w:gridSpan w:val="4"/>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健身步道坡度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jc w:val="center"/>
        </w:trPr>
        <w:tc>
          <w:tcPr>
            <w:tcW w:w="1417" w:type="dxa"/>
            <w:vMerge w:val="continue"/>
            <w:vAlign w:val="center"/>
          </w:tcPr>
          <w:p>
            <w:pPr>
              <w:autoSpaceDE w:val="0"/>
              <w:autoSpaceDN w:val="0"/>
              <w:jc w:val="center"/>
              <w:rPr>
                <w:rFonts w:ascii="宋体" w:hAnsi="Times New Roman" w:eastAsia="宋体" w:cs="Times New Roman"/>
                <w:sz w:val="18"/>
              </w:rPr>
            </w:pPr>
          </w:p>
        </w:tc>
        <w:tc>
          <w:tcPr>
            <w:tcW w:w="2982"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登山健身步道</w:t>
            </w:r>
          </w:p>
        </w:tc>
        <w:tc>
          <w:tcPr>
            <w:tcW w:w="2023" w:type="dxa"/>
            <w:gridSpan w:val="2"/>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健走步道</w:t>
            </w:r>
          </w:p>
        </w:tc>
        <w:tc>
          <w:tcPr>
            <w:tcW w:w="1780"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骑行道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1417"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国家登山健身步道标准</w:t>
            </w:r>
          </w:p>
        </w:tc>
        <w:tc>
          <w:tcPr>
            <w:tcW w:w="2982" w:type="dxa"/>
            <w:vAlign w:val="center"/>
          </w:tcPr>
          <w:p>
            <w:pPr>
              <w:autoSpaceDE w:val="0"/>
              <w:autoSpaceDN w:val="0"/>
              <w:jc w:val="left"/>
              <w:rPr>
                <w:rFonts w:ascii="宋体" w:hAnsi="Times New Roman" w:eastAsia="宋体" w:cs="Times New Roman"/>
                <w:sz w:val="18"/>
              </w:rPr>
            </w:pPr>
            <w:r>
              <w:rPr>
                <w:rFonts w:hint="eastAsia" w:ascii="宋体" w:hAnsi="Times New Roman" w:eastAsia="宋体" w:cs="Times New Roman"/>
                <w:sz w:val="18"/>
              </w:rPr>
              <w:t>必须具有一定的坡度。单位距离(500米)内平均坡度不应为0度，应以15度左右为宜，但不应超过25度。</w:t>
            </w:r>
          </w:p>
        </w:tc>
        <w:tc>
          <w:tcPr>
            <w:tcW w:w="2023" w:type="dxa"/>
            <w:gridSpan w:val="2"/>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c>
          <w:tcPr>
            <w:tcW w:w="1780"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1417"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登山健身步道配置要求</w:t>
            </w:r>
          </w:p>
        </w:tc>
        <w:tc>
          <w:tcPr>
            <w:tcW w:w="2982" w:type="dxa"/>
            <w:vAlign w:val="center"/>
          </w:tcPr>
          <w:p>
            <w:pPr>
              <w:autoSpaceDE w:val="0"/>
              <w:autoSpaceDN w:val="0"/>
              <w:jc w:val="left"/>
              <w:rPr>
                <w:rFonts w:ascii="宋体" w:hAnsi="Times New Roman" w:eastAsia="宋体" w:cs="Times New Roman"/>
                <w:sz w:val="18"/>
              </w:rPr>
            </w:pPr>
            <w:r>
              <w:rPr>
                <w:rFonts w:hint="eastAsia" w:ascii="宋体" w:hAnsi="Times New Roman" w:eastAsia="宋体" w:cs="Times New Roman"/>
                <w:sz w:val="18"/>
              </w:rPr>
              <w:t>A级：理想断面坡度2%-3%，最大断面坡度3%</w:t>
            </w:r>
          </w:p>
          <w:p>
            <w:pPr>
              <w:autoSpaceDE w:val="0"/>
              <w:autoSpaceDN w:val="0"/>
              <w:jc w:val="left"/>
              <w:rPr>
                <w:rFonts w:ascii="宋体" w:hAnsi="Times New Roman" w:eastAsia="宋体" w:cs="Times New Roman"/>
                <w:sz w:val="18"/>
              </w:rPr>
            </w:pPr>
            <w:r>
              <w:rPr>
                <w:rFonts w:ascii="宋体" w:hAnsi="Times New Roman" w:eastAsia="宋体" w:cs="Times New Roman"/>
                <w:sz w:val="18"/>
              </w:rPr>
              <w:t>B级</w:t>
            </w:r>
            <w:r>
              <w:rPr>
                <w:rFonts w:hint="eastAsia" w:ascii="宋体" w:hAnsi="Times New Roman" w:eastAsia="宋体" w:cs="Times New Roman"/>
                <w:sz w:val="18"/>
              </w:rPr>
              <w:t>：理想断面坡度2%-10%，最大断面坡度15%</w:t>
            </w:r>
          </w:p>
          <w:p>
            <w:pPr>
              <w:autoSpaceDE w:val="0"/>
              <w:autoSpaceDN w:val="0"/>
              <w:jc w:val="left"/>
              <w:rPr>
                <w:rFonts w:ascii="宋体" w:hAnsi="Times New Roman" w:eastAsia="宋体" w:cs="Times New Roman"/>
                <w:sz w:val="18"/>
              </w:rPr>
            </w:pPr>
            <w:r>
              <w:rPr>
                <w:rFonts w:ascii="宋体" w:hAnsi="Times New Roman" w:eastAsia="宋体" w:cs="Times New Roman"/>
                <w:sz w:val="18"/>
              </w:rPr>
              <w:t>C级</w:t>
            </w:r>
            <w:r>
              <w:rPr>
                <w:rFonts w:hint="eastAsia" w:ascii="宋体" w:hAnsi="Times New Roman" w:eastAsia="宋体" w:cs="Times New Roman"/>
                <w:sz w:val="18"/>
              </w:rPr>
              <w:t>：理想断面坡度3%-12%，最大断面坡度25%</w:t>
            </w:r>
          </w:p>
        </w:tc>
        <w:tc>
          <w:tcPr>
            <w:tcW w:w="2023" w:type="dxa"/>
            <w:gridSpan w:val="2"/>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c>
          <w:tcPr>
            <w:tcW w:w="1780"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1417"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健走步道配置要求</w:t>
            </w:r>
          </w:p>
        </w:tc>
        <w:tc>
          <w:tcPr>
            <w:tcW w:w="2982"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c>
          <w:tcPr>
            <w:tcW w:w="2023" w:type="dxa"/>
            <w:gridSpan w:val="2"/>
            <w:vAlign w:val="center"/>
          </w:tcPr>
          <w:p>
            <w:pPr>
              <w:autoSpaceDE w:val="0"/>
              <w:autoSpaceDN w:val="0"/>
              <w:jc w:val="left"/>
              <w:rPr>
                <w:rFonts w:ascii="宋体" w:hAnsi="Times New Roman" w:eastAsia="宋体" w:cs="Times New Roman"/>
                <w:sz w:val="18"/>
              </w:rPr>
            </w:pPr>
            <w:r>
              <w:rPr>
                <w:rFonts w:hint="eastAsia" w:ascii="宋体" w:hAnsi="Times New Roman" w:eastAsia="宋体" w:cs="Times New Roman"/>
                <w:sz w:val="18"/>
              </w:rPr>
              <w:t>5.2.6　坡度应不大于15%，以不大于8%为宜</w:t>
            </w:r>
          </w:p>
        </w:tc>
        <w:tc>
          <w:tcPr>
            <w:tcW w:w="1780"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1417"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绿道规划设计导则</w:t>
            </w:r>
          </w:p>
        </w:tc>
        <w:tc>
          <w:tcPr>
            <w:tcW w:w="2982"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w:t>
            </w:r>
          </w:p>
        </w:tc>
        <w:tc>
          <w:tcPr>
            <w:tcW w:w="2023" w:type="dxa"/>
            <w:gridSpan w:val="2"/>
            <w:vAlign w:val="center"/>
          </w:tcPr>
          <w:p>
            <w:pPr>
              <w:autoSpaceDE w:val="0"/>
              <w:autoSpaceDN w:val="0"/>
              <w:jc w:val="left"/>
              <w:rPr>
                <w:rFonts w:ascii="宋体" w:hAnsi="Times New Roman" w:eastAsia="宋体" w:cs="Times New Roman"/>
                <w:sz w:val="18"/>
              </w:rPr>
            </w:pPr>
            <w:r>
              <w:rPr>
                <w:rFonts w:ascii="宋体" w:hAnsi="Times New Roman" w:eastAsia="宋体" w:cs="Times New Roman"/>
                <w:sz w:val="18"/>
              </w:rPr>
              <w:t>纵坡</w:t>
            </w:r>
            <w:r>
              <w:rPr>
                <w:rFonts w:hint="eastAsia" w:ascii="宋体" w:hAnsi="Times New Roman" w:eastAsia="宋体" w:cs="Times New Roman"/>
                <w:sz w:val="18"/>
              </w:rPr>
              <w:t>：大于8%时，应辅以梯步解决竖向交通</w:t>
            </w:r>
          </w:p>
        </w:tc>
        <w:tc>
          <w:tcPr>
            <w:tcW w:w="1780" w:type="dxa"/>
            <w:vAlign w:val="center"/>
          </w:tcPr>
          <w:p>
            <w:pPr>
              <w:autoSpaceDE w:val="0"/>
              <w:autoSpaceDN w:val="0"/>
              <w:jc w:val="left"/>
              <w:rPr>
                <w:rFonts w:ascii="宋体" w:hAnsi="Times New Roman" w:eastAsia="宋体" w:cs="Times New Roman"/>
                <w:sz w:val="18"/>
              </w:rPr>
            </w:pPr>
            <w:r>
              <w:rPr>
                <w:rFonts w:ascii="宋体" w:hAnsi="Times New Roman" w:eastAsia="宋体" w:cs="Times New Roman"/>
                <w:sz w:val="18"/>
              </w:rPr>
              <w:t>纵坡</w:t>
            </w:r>
            <w:r>
              <w:rPr>
                <w:rFonts w:hint="eastAsia" w:ascii="宋体" w:hAnsi="Times New Roman" w:eastAsia="宋体" w:cs="Times New Roman"/>
                <w:sz w:val="18"/>
              </w:rPr>
              <w:t>：小于2.5%为宜，最大不宜超过8％</w:t>
            </w:r>
          </w:p>
          <w:p>
            <w:pPr>
              <w:autoSpaceDE w:val="0"/>
              <w:autoSpaceDN w:val="0"/>
              <w:rPr>
                <w:rFonts w:ascii="宋体" w:hAnsi="Times New Roman" w:eastAsia="宋体" w:cs="Times New Roman"/>
                <w:sz w:val="18"/>
              </w:rPr>
            </w:pPr>
            <w:r>
              <w:rPr>
                <w:rFonts w:ascii="宋体" w:hAnsi="Times New Roman" w:eastAsia="宋体" w:cs="Times New Roman"/>
                <w:sz w:val="18"/>
              </w:rPr>
              <w:t>横坡</w:t>
            </w:r>
            <w:r>
              <w:rPr>
                <w:rFonts w:hint="eastAsia" w:ascii="宋体" w:hAnsi="Times New Roman" w:eastAsia="宋体" w:cs="Times New Roman"/>
                <w:sz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jc w:val="center"/>
        </w:trPr>
        <w:tc>
          <w:tcPr>
            <w:tcW w:w="1417"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合成材料面层健身步道要求</w:t>
            </w:r>
          </w:p>
        </w:tc>
        <w:tc>
          <w:tcPr>
            <w:tcW w:w="6785" w:type="dxa"/>
            <w:gridSpan w:val="4"/>
            <w:vAlign w:val="center"/>
          </w:tcPr>
          <w:p>
            <w:pPr>
              <w:autoSpaceDE w:val="0"/>
              <w:autoSpaceDN w:val="0"/>
              <w:jc w:val="left"/>
              <w:rPr>
                <w:rFonts w:ascii="宋体" w:hAnsi="Times New Roman" w:eastAsia="宋体" w:cs="Times New Roman"/>
                <w:sz w:val="18"/>
              </w:rPr>
            </w:pPr>
            <w:r>
              <w:rPr>
                <w:rFonts w:hint="eastAsia" w:ascii="宋体" w:hAnsi="Times New Roman" w:eastAsia="宋体" w:cs="Times New Roman"/>
                <w:sz w:val="18"/>
              </w:rPr>
              <w:t>健身步道横向坡度应不大于0.5%；纵向坡度与所在场所道路坡度一致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jc w:val="center"/>
        </w:trPr>
        <w:tc>
          <w:tcPr>
            <w:tcW w:w="1417" w:type="dxa"/>
            <w:vAlign w:val="center"/>
          </w:tcPr>
          <w:p>
            <w:pPr>
              <w:autoSpaceDE w:val="0"/>
              <w:autoSpaceDN w:val="0"/>
              <w:jc w:val="center"/>
              <w:rPr>
                <w:rFonts w:ascii="宋体" w:hAnsi="Times New Roman" w:eastAsia="宋体" w:cs="Times New Roman"/>
                <w:sz w:val="18"/>
              </w:rPr>
            </w:pPr>
            <w:r>
              <w:rPr>
                <w:rFonts w:hint="eastAsia" w:ascii="宋体" w:hAnsi="Times New Roman" w:eastAsia="宋体" w:cs="Times New Roman"/>
                <w:sz w:val="18"/>
              </w:rPr>
              <w:t>本规范</w:t>
            </w:r>
          </w:p>
        </w:tc>
        <w:tc>
          <w:tcPr>
            <w:tcW w:w="3024" w:type="dxa"/>
            <w:gridSpan w:val="2"/>
            <w:vAlign w:val="center"/>
          </w:tcPr>
          <w:p>
            <w:pPr>
              <w:jc w:val="center"/>
              <w:rPr>
                <w:rFonts w:ascii="宋体" w:hAnsi="Times New Roman" w:eastAsia="宋体" w:cs="Times New Roman"/>
                <w:sz w:val="18"/>
              </w:rPr>
            </w:pPr>
            <w:r>
              <w:rPr>
                <w:rFonts w:hint="eastAsia" w:ascii="宋体" w:hAnsi="Times New Roman" w:eastAsia="宋体" w:cs="Times New Roman"/>
                <w:sz w:val="18"/>
                <w:highlight w:val="yellow"/>
                <w:lang w:val="en-US" w:eastAsia="zh-CN"/>
              </w:rPr>
              <w:t>坡度过大时，可设置台阶</w:t>
            </w:r>
          </w:p>
        </w:tc>
        <w:tc>
          <w:tcPr>
            <w:tcW w:w="1981" w:type="dxa"/>
            <w:vAlign w:val="center"/>
          </w:tcPr>
          <w:p>
            <w:pPr>
              <w:jc w:val="center"/>
              <w:rPr>
                <w:rFonts w:ascii="宋体" w:hAnsi="Times New Roman" w:eastAsia="宋体" w:cs="Times New Roman"/>
                <w:sz w:val="18"/>
              </w:rPr>
            </w:pPr>
            <w:r>
              <w:rPr>
                <w:rFonts w:hint="eastAsia" w:ascii="宋体" w:hAnsi="Times New Roman" w:eastAsia="宋体" w:cs="Times New Roman"/>
                <w:sz w:val="18"/>
              </w:rPr>
              <w:t>坡度不宜过大</w:t>
            </w:r>
          </w:p>
          <w:p>
            <w:pPr>
              <w:jc w:val="center"/>
              <w:rPr>
                <w:rFonts w:ascii="宋体" w:hAnsi="Times New Roman" w:eastAsia="宋体" w:cs="Times New Roman"/>
                <w:sz w:val="18"/>
              </w:rPr>
            </w:pPr>
            <w:r>
              <w:rPr>
                <w:rFonts w:hint="eastAsia" w:ascii="宋体" w:hAnsi="Times New Roman" w:eastAsia="宋体" w:cs="Times New Roman"/>
                <w:sz w:val="18"/>
              </w:rPr>
              <w:t>坡度过大时，应设置台阶</w:t>
            </w:r>
          </w:p>
        </w:tc>
        <w:tc>
          <w:tcPr>
            <w:tcW w:w="1780" w:type="dxa"/>
            <w:vAlign w:val="center"/>
          </w:tcPr>
          <w:p>
            <w:pPr>
              <w:jc w:val="center"/>
              <w:rPr>
                <w:rFonts w:ascii="宋体" w:hAnsi="Times New Roman" w:eastAsia="宋体" w:cs="Times New Roman"/>
                <w:sz w:val="18"/>
              </w:rPr>
            </w:pPr>
            <w:r>
              <w:rPr>
                <w:rFonts w:hint="eastAsia" w:ascii="宋体" w:hAnsi="Times New Roman" w:eastAsia="宋体" w:cs="Times New Roman"/>
                <w:sz w:val="18"/>
              </w:rPr>
              <w:t>坡度不宜过大</w:t>
            </w:r>
          </w:p>
          <w:p>
            <w:pPr>
              <w:jc w:val="center"/>
              <w:rPr>
                <w:rFonts w:ascii="宋体" w:hAnsi="Times New Roman" w:eastAsia="宋体" w:cs="Times New Roman"/>
                <w:sz w:val="18"/>
              </w:rPr>
            </w:pPr>
            <w:r>
              <w:rPr>
                <w:rFonts w:hint="eastAsia" w:ascii="宋体" w:hAnsi="Times New Roman" w:eastAsia="宋体" w:cs="Times New Roman"/>
                <w:sz w:val="18"/>
              </w:rPr>
              <w:t>不宜设置台阶</w:t>
            </w:r>
          </w:p>
        </w:tc>
      </w:tr>
    </w:tbl>
    <w:p>
      <w:pPr>
        <w:pStyle w:val="21"/>
        <w:numPr>
          <w:ilvl w:val="0"/>
          <w:numId w:val="0"/>
        </w:numPr>
        <w:spacing w:before="156" w:beforeLines="50" w:after="156" w:afterLines="50"/>
        <w:outlineLvl w:val="3"/>
        <w:rPr>
          <w:rFonts w:ascii="宋体" w:hAnsi="宋体" w:eastAsia="宋体" w:cs="宋体"/>
          <w:szCs w:val="21"/>
        </w:rPr>
      </w:pPr>
      <w:r>
        <w:rPr>
          <w:rFonts w:hint="eastAsia"/>
          <w:szCs w:val="21"/>
        </w:rPr>
        <w:t xml:space="preserve">7.2.1.5  </w:t>
      </w:r>
      <w:r>
        <w:rPr>
          <w:rFonts w:hint="eastAsia" w:ascii="宋体" w:hAnsi="宋体" w:eastAsia="宋体" w:cs="宋体"/>
          <w:szCs w:val="21"/>
        </w:rPr>
        <w:t>为保证健身者在健身步道上的安全，禁止一切机动车驶入，但应预留维护管理和消防、医疗、急救用车等出入口。</w:t>
      </w:r>
    </w:p>
    <w:p>
      <w:pPr>
        <w:spacing w:before="156" w:beforeLines="50" w:after="156" w:afterLines="50"/>
        <w:rPr>
          <w:rFonts w:ascii="黑体" w:hAnsi="Times New Roman" w:eastAsia="黑体" w:cs="Times New Roman"/>
          <w:smallCaps w:val="0"/>
          <w:kern w:val="0"/>
          <w:sz w:val="21"/>
          <w:szCs w:val="21"/>
        </w:rPr>
      </w:pPr>
      <w:r>
        <w:rPr>
          <w:rFonts w:hint="eastAsia" w:ascii="黑体" w:hAnsi="Times New Roman" w:eastAsia="黑体" w:cs="Times New Roman"/>
          <w:smallCaps w:val="0"/>
          <w:kern w:val="0"/>
          <w:sz w:val="21"/>
          <w:szCs w:val="21"/>
        </w:rPr>
        <w:t xml:space="preserve">7.2.1.6  </w:t>
      </w:r>
      <w:r>
        <w:rPr>
          <w:rFonts w:hint="eastAsia" w:ascii="宋体" w:hAnsi="宋体" w:eastAsia="宋体" w:cs="宋体"/>
          <w:smallCaps w:val="0"/>
          <w:kern w:val="0"/>
          <w:sz w:val="21"/>
          <w:szCs w:val="21"/>
        </w:rPr>
        <w:t>在健身步道与道路两侧出现高度差较大，对健身者的安全构成危险时，可设置硬性隔离或软性隔离等安全设施，将健身者与危险隔离开，保证健身者安全通过该地段。</w:t>
      </w:r>
    </w:p>
    <w:p>
      <w:pPr>
        <w:pStyle w:val="21"/>
        <w:numPr>
          <w:ilvl w:val="2"/>
          <w:numId w:val="5"/>
        </w:numPr>
        <w:outlineLvl w:val="2"/>
        <w:rPr>
          <w:szCs w:val="21"/>
        </w:rPr>
      </w:pPr>
      <w:r>
        <w:rPr>
          <w:rFonts w:hint="eastAsia"/>
          <w:szCs w:val="21"/>
        </w:rPr>
        <w:t>连接线</w:t>
      </w:r>
    </w:p>
    <w:p>
      <w:pPr>
        <w:spacing w:before="156" w:beforeLines="50" w:after="156" w:afterLines="50"/>
        <w:rPr>
          <w:rFonts w:ascii="宋体" w:hAnsi="宋体" w:eastAsia="宋体" w:cs="宋体"/>
          <w:smallCaps w:val="0"/>
          <w:kern w:val="0"/>
          <w:sz w:val="21"/>
          <w:szCs w:val="21"/>
        </w:rPr>
      </w:pPr>
      <w:r>
        <w:rPr>
          <w:rFonts w:hint="eastAsia" w:ascii="黑体" w:hAnsi="Times New Roman" w:eastAsia="黑体" w:cs="Times New Roman"/>
          <w:smallCaps w:val="0"/>
          <w:kern w:val="0"/>
          <w:sz w:val="21"/>
          <w:szCs w:val="21"/>
        </w:rPr>
        <w:t xml:space="preserve">7.2.2.1-7.2.2.2  </w:t>
      </w:r>
      <w:r>
        <w:rPr>
          <w:rFonts w:hint="eastAsia" w:ascii="宋体" w:hAnsi="宋体" w:eastAsia="宋体" w:cs="宋体"/>
          <w:smallCaps w:val="0"/>
          <w:kern w:val="0"/>
          <w:sz w:val="21"/>
          <w:szCs w:val="21"/>
        </w:rPr>
        <w:t>当健身步道的主线因为阻隔而无法连接时，可以借用连接线，将其连接。但连接线不宜借道，如若借道，在保证健身者安全的前提下， 宜选择非主干线道路，并设置明显的标志标识、安全隔离设施。</w:t>
      </w:r>
    </w:p>
    <w:p>
      <w:pPr>
        <w:spacing w:before="156" w:beforeLines="50" w:after="156" w:afterLines="50"/>
        <w:rPr>
          <w:rFonts w:ascii="宋体" w:hAnsi="宋体" w:eastAsia="宋体" w:cs="宋体"/>
          <w:smallCaps w:val="0"/>
          <w:kern w:val="0"/>
          <w:sz w:val="21"/>
          <w:szCs w:val="21"/>
        </w:rPr>
      </w:pPr>
      <w:r>
        <w:rPr>
          <w:rFonts w:hint="eastAsia" w:ascii="黑体" w:hAnsi="黑体" w:eastAsia="黑体" w:cs="黑体"/>
          <w:smallCaps w:val="0"/>
          <w:kern w:val="0"/>
          <w:sz w:val="21"/>
          <w:szCs w:val="21"/>
        </w:rPr>
        <w:t>7.2.2.3-7.2.2.4</w:t>
      </w:r>
      <w:r>
        <w:rPr>
          <w:rFonts w:hint="eastAsia" w:ascii="宋体" w:hAnsi="宋体" w:eastAsia="宋体" w:cs="宋体"/>
          <w:smallCaps w:val="0"/>
          <w:kern w:val="0"/>
          <w:sz w:val="21"/>
          <w:szCs w:val="21"/>
        </w:rPr>
        <w:t xml:space="preserve">  连接线并非健身步道的主要组成部分，因此应控制连接线在整个健身步道中的比重。住建部《绿道设计导则》中，其连接线的宽度不宜小于0.6米。在健身步道上进行散步、快走、跑步、骑行，登山等运动时，人应与周围环境保持安全距离，特别是头部上方空间，应保持无任何障碍物，则净空高度不低于2.5m。</w:t>
      </w:r>
    </w:p>
    <w:p>
      <w:pPr>
        <w:pStyle w:val="21"/>
        <w:numPr>
          <w:ilvl w:val="1"/>
          <w:numId w:val="5"/>
        </w:numPr>
        <w:rPr>
          <w:szCs w:val="21"/>
        </w:rPr>
      </w:pPr>
      <w:r>
        <w:rPr>
          <w:rFonts w:hint="eastAsia"/>
          <w:szCs w:val="21"/>
        </w:rPr>
        <w:t>标识系统</w:t>
      </w:r>
    </w:p>
    <w:p>
      <w:pPr>
        <w:pStyle w:val="21"/>
        <w:numPr>
          <w:ilvl w:val="0"/>
          <w:numId w:val="0"/>
        </w:numPr>
        <w:spacing w:before="156" w:beforeLines="50" w:after="156" w:afterLines="50"/>
        <w:outlineLvl w:val="3"/>
        <w:rPr>
          <w:rFonts w:ascii="宋体" w:hAnsi="宋体" w:eastAsia="宋体" w:cs="宋体"/>
          <w:szCs w:val="21"/>
        </w:rPr>
      </w:pPr>
      <w:r>
        <w:rPr>
          <w:rFonts w:hint="eastAsia"/>
          <w:szCs w:val="21"/>
        </w:rPr>
        <w:t>7.3.1-7.3.4</w:t>
      </w:r>
      <w:r>
        <w:rPr>
          <w:rFonts w:hint="eastAsia" w:ascii="宋体" w:hAnsi="宋体" w:eastAsia="宋体" w:cs="宋体"/>
          <w:szCs w:val="21"/>
        </w:rPr>
        <w:t xml:space="preserve">  标识设计时应参考公共信息图形符号国家标准的元素构成，采用与当地文化相一致的设计风格，以形成统一的形象景观系统。各类标识应能明显区别于道路交通及其它标识，同时不应影响其他相关道路交通及其他标识的使用。</w:t>
      </w:r>
    </w:p>
    <w:p>
      <w:pPr>
        <w:pStyle w:val="21"/>
        <w:numPr>
          <w:ilvl w:val="1"/>
          <w:numId w:val="5"/>
        </w:numPr>
        <w:rPr>
          <w:szCs w:val="21"/>
        </w:rPr>
      </w:pPr>
      <w:r>
        <w:rPr>
          <w:rFonts w:hint="eastAsia"/>
          <w:szCs w:val="21"/>
        </w:rPr>
        <w:t>服务设施系统</w:t>
      </w:r>
    </w:p>
    <w:p>
      <w:pPr>
        <w:pStyle w:val="21"/>
        <w:numPr>
          <w:ilvl w:val="0"/>
          <w:numId w:val="0"/>
        </w:numPr>
        <w:spacing w:before="156" w:beforeLines="50" w:after="156" w:afterLines="50"/>
        <w:outlineLvl w:val="3"/>
        <w:rPr>
          <w:rFonts w:ascii="宋体" w:hAnsi="宋体" w:eastAsia="宋体" w:cs="宋体"/>
          <w:szCs w:val="21"/>
        </w:rPr>
      </w:pPr>
      <w:r>
        <w:rPr>
          <w:rFonts w:hint="eastAsia"/>
          <w:szCs w:val="21"/>
        </w:rPr>
        <w:t>7.4.1-7.4.4</w:t>
      </w:r>
      <w:r>
        <w:rPr>
          <w:rFonts w:hint="eastAsia" w:ascii="宋体" w:hAnsi="宋体" w:eastAsia="宋体" w:cs="宋体"/>
          <w:szCs w:val="21"/>
        </w:rPr>
        <w:t xml:space="preserve">  应结合各市（县）总体规划、市政设施规划、防灾避险规划、土地利用规划、旅游发展规划等专项规划成果，按照相对集中与适当分散相结合的原则，合理确定健身步道服务设施系统的布局，确保使用方便，便于管理，充分发挥设施效益。应整合省内现有的各类公共服务设施和资源，加快健身步道服务设施系统的配套完善。</w:t>
      </w:r>
    </w:p>
    <w:p>
      <w:pPr>
        <w:pStyle w:val="21"/>
        <w:numPr>
          <w:ilvl w:val="0"/>
          <w:numId w:val="5"/>
        </w:numPr>
        <w:outlineLvl w:val="0"/>
        <w:rPr>
          <w:szCs w:val="21"/>
        </w:rPr>
      </w:pPr>
      <w:bookmarkStart w:id="20" w:name="_Toc945_WPSOffice_Level1"/>
      <w:r>
        <w:rPr>
          <w:rFonts w:hint="eastAsia"/>
          <w:szCs w:val="21"/>
        </w:rPr>
        <w:t>建设要求</w:t>
      </w:r>
      <w:bookmarkEnd w:id="20"/>
      <w:r>
        <w:rPr>
          <w:rFonts w:hint="eastAsia"/>
          <w:szCs w:val="21"/>
        </w:rPr>
        <w:tab/>
      </w:r>
    </w:p>
    <w:p>
      <w:pPr>
        <w:pStyle w:val="21"/>
        <w:numPr>
          <w:ilvl w:val="1"/>
          <w:numId w:val="5"/>
        </w:numPr>
        <w:rPr>
          <w:szCs w:val="21"/>
        </w:rPr>
      </w:pPr>
      <w:r>
        <w:rPr>
          <w:rFonts w:hint="eastAsia"/>
          <w:szCs w:val="21"/>
        </w:rPr>
        <w:t>道路系统</w:t>
      </w:r>
    </w:p>
    <w:p>
      <w:pPr>
        <w:pStyle w:val="21"/>
        <w:numPr>
          <w:ilvl w:val="0"/>
          <w:numId w:val="0"/>
        </w:numPr>
        <w:spacing w:before="156" w:beforeLines="50" w:after="156" w:afterLines="50"/>
        <w:outlineLvl w:val="3"/>
        <w:rPr>
          <w:rFonts w:ascii="宋体" w:hAnsi="宋体" w:eastAsia="宋体" w:cs="宋体"/>
          <w:szCs w:val="21"/>
        </w:rPr>
      </w:pPr>
      <w:r>
        <w:rPr>
          <w:rFonts w:hint="eastAsia" w:hAnsi="黑体" w:cs="黑体"/>
          <w:szCs w:val="21"/>
        </w:rPr>
        <w:t>8.1.1-8.1.3</w:t>
      </w:r>
      <w:r>
        <w:rPr>
          <w:rFonts w:hint="eastAsia" w:ascii="宋体" w:hAnsi="宋体" w:eastAsia="宋体" w:cs="宋体"/>
          <w:szCs w:val="21"/>
        </w:rPr>
        <w:t xml:space="preserve">  健身步道道路系统中步道从横断面来看，从下到上分为垫层、基层以及面层。垫层主要设置在温度和湿度状况不良的路段上，以改善路面结构的使用性能。垫层设置在温度较低，出现在季节性冰冻地区路面结构厚度小于最小防冻厚度要求时，设置防冻垫层可以使路面结构免除或减轻冻胀和翻浆的问题。</w:t>
      </w:r>
    </w:p>
    <w:p>
      <w:pPr>
        <w:spacing w:before="156" w:beforeLines="50" w:after="156" w:afterLines="50"/>
        <w:rPr>
          <w:rFonts w:ascii="宋体" w:hAnsi="宋体" w:eastAsia="宋体" w:cs="宋体"/>
          <w:smallCaps w:val="0"/>
          <w:kern w:val="0"/>
          <w:sz w:val="21"/>
          <w:szCs w:val="21"/>
        </w:rPr>
      </w:pPr>
      <w:r>
        <w:rPr>
          <w:rFonts w:hint="eastAsia" w:ascii="黑体" w:hAnsi="黑体" w:eastAsia="黑体" w:cs="黑体"/>
          <w:smallCaps w:val="0"/>
          <w:kern w:val="0"/>
          <w:sz w:val="21"/>
          <w:szCs w:val="21"/>
        </w:rPr>
        <w:t xml:space="preserve">8.1.4 </w:t>
      </w:r>
      <w:r>
        <w:rPr>
          <w:rFonts w:hint="eastAsia" w:ascii="宋体" w:hAnsi="宋体" w:eastAsia="宋体" w:cs="宋体"/>
          <w:smallCaps w:val="0"/>
          <w:kern w:val="0"/>
          <w:sz w:val="21"/>
          <w:szCs w:val="21"/>
        </w:rPr>
        <w:t>本规范中沥青路面性能指标应符合</w:t>
      </w:r>
      <w:r>
        <w:rPr>
          <w:rFonts w:hint="eastAsia" w:ascii="宋体" w:hAnsi="宋体" w:eastAsia="宋体" w:cs="Times New Roman"/>
          <w:sz w:val="21"/>
          <w:szCs w:val="21"/>
        </w:rPr>
        <w:t>《公路沥青路面施工技术规范》(JTGF40）的要求</w:t>
      </w:r>
      <w:r>
        <w:rPr>
          <w:rFonts w:hint="eastAsia" w:ascii="宋体" w:hAnsi="宋体" w:eastAsia="宋体" w:cs="宋体"/>
          <w:smallCaps w:val="0"/>
          <w:kern w:val="0"/>
          <w:sz w:val="21"/>
          <w:szCs w:val="21"/>
        </w:rPr>
        <w:t>，具体性能指标对比详见表3。</w:t>
      </w:r>
    </w:p>
    <w:p>
      <w:pPr>
        <w:jc w:val="center"/>
        <w:rPr>
          <w:rFonts w:ascii="宋体" w:hAnsi="宋体" w:eastAsia="宋体"/>
          <w:b/>
          <w:sz w:val="21"/>
          <w:szCs w:val="21"/>
        </w:rPr>
      </w:pPr>
      <w:r>
        <w:rPr>
          <w:rFonts w:hint="eastAsia" w:ascii="宋体" w:hAnsi="宋体" w:eastAsia="宋体"/>
          <w:b/>
          <w:sz w:val="21"/>
          <w:szCs w:val="21"/>
        </w:rPr>
        <w:t>表3： 沥青路面性能指标对比表</w:t>
      </w:r>
    </w:p>
    <w:tbl>
      <w:tblPr>
        <w:tblStyle w:val="15"/>
        <w:tblW w:w="75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4"/>
        <w:gridCol w:w="2694"/>
        <w:gridCol w:w="3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3948" w:type="dxa"/>
            <w:gridSpan w:val="2"/>
            <w:vMerge w:val="restart"/>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性能</w:t>
            </w:r>
          </w:p>
        </w:tc>
        <w:tc>
          <w:tcPr>
            <w:tcW w:w="361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3948" w:type="dxa"/>
            <w:gridSpan w:val="2"/>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361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《公路沥青路面施工技术规范》(JTGF40）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948" w:type="dxa"/>
            <w:gridSpan w:val="2"/>
            <w:vMerge w:val="continue"/>
            <w:vAlign w:val="center"/>
          </w:tcPr>
          <w:p>
            <w:pPr>
              <w:widowControl/>
              <w:tabs>
                <w:tab w:val="center" w:pos="4201"/>
                <w:tab w:val="right" w:leader="dot" w:pos="9298"/>
              </w:tabs>
              <w:autoSpaceDE w:val="0"/>
              <w:autoSpaceDN w:val="0"/>
              <w:jc w:val="center"/>
            </w:pPr>
          </w:p>
        </w:tc>
        <w:tc>
          <w:tcPr>
            <w:tcW w:w="361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支路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3948" w:type="dxa"/>
            <w:gridSpan w:val="2"/>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厚度/mm</w:t>
            </w:r>
          </w:p>
        </w:tc>
        <w:tc>
          <w:tcPr>
            <w:tcW w:w="361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3948" w:type="dxa"/>
            <w:gridSpan w:val="2"/>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针入度（25</w:t>
            </w:r>
            <w:r>
              <w:rPr>
                <w:rFonts w:hint="eastAsia" w:ascii="宋体" w:hAnsi="宋体" w:eastAsia="宋体" w:cs="Times New Roman"/>
                <w:sz w:val="18"/>
                <w:szCs w:val="18"/>
                <w:vertAlign w:val="superscript"/>
              </w:rPr>
              <w:t>O</w:t>
            </w:r>
            <w:r>
              <w:rPr>
                <w:rFonts w:hint="eastAsia" w:ascii="宋体" w:hAnsi="宋体" w:eastAsia="宋体" w:cs="Times New Roman"/>
                <w:sz w:val="18"/>
                <w:szCs w:val="18"/>
              </w:rPr>
              <w:t>C，5s，100g）/mm</w:t>
            </w:r>
          </w:p>
        </w:tc>
        <w:tc>
          <w:tcPr>
            <w:tcW w:w="361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60-80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1254" w:type="dxa"/>
            <w:vMerge w:val="restart"/>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延度</w:t>
            </w:r>
          </w:p>
        </w:tc>
        <w:tc>
          <w:tcPr>
            <w:tcW w:w="26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10</w:t>
            </w:r>
            <w:r>
              <w:rPr>
                <w:rFonts w:hint="eastAsia" w:ascii="宋体" w:hAnsi="宋体" w:eastAsia="宋体" w:cs="Times New Roman"/>
                <w:sz w:val="18"/>
                <w:szCs w:val="18"/>
                <w:vertAlign w:val="superscript"/>
              </w:rPr>
              <w:t>O</w:t>
            </w:r>
            <w:r>
              <w:rPr>
                <w:rFonts w:hint="eastAsia" w:ascii="宋体" w:hAnsi="宋体" w:eastAsia="宋体" w:cs="Times New Roman"/>
                <w:sz w:val="18"/>
                <w:szCs w:val="18"/>
              </w:rPr>
              <w:t>C延度/cm</w:t>
            </w:r>
          </w:p>
        </w:tc>
        <w:tc>
          <w:tcPr>
            <w:tcW w:w="361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1254" w:type="dxa"/>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26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15</w:t>
            </w:r>
            <w:r>
              <w:rPr>
                <w:rFonts w:hint="eastAsia" w:ascii="宋体" w:hAnsi="宋体" w:eastAsia="宋体" w:cs="Times New Roman"/>
                <w:sz w:val="18"/>
                <w:szCs w:val="18"/>
                <w:vertAlign w:val="superscript"/>
              </w:rPr>
              <w:t>O</w:t>
            </w:r>
            <w:r>
              <w:rPr>
                <w:rFonts w:hint="eastAsia" w:ascii="宋体" w:hAnsi="宋体" w:eastAsia="宋体" w:cs="Times New Roman"/>
                <w:sz w:val="18"/>
                <w:szCs w:val="18"/>
              </w:rPr>
              <w:t>C延度/cm</w:t>
            </w:r>
          </w:p>
        </w:tc>
        <w:tc>
          <w:tcPr>
            <w:tcW w:w="361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3948" w:type="dxa"/>
            <w:gridSpan w:val="2"/>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软化点/</w:t>
            </w:r>
            <w:r>
              <w:rPr>
                <w:rFonts w:hint="eastAsia" w:ascii="宋体" w:hAnsi="宋体" w:eastAsia="宋体" w:cs="Times New Roman"/>
                <w:sz w:val="18"/>
                <w:szCs w:val="18"/>
                <w:vertAlign w:val="superscript"/>
              </w:rPr>
              <w:t>O</w:t>
            </w:r>
            <w:r>
              <w:rPr>
                <w:rFonts w:hint="eastAsia" w:ascii="宋体" w:hAnsi="宋体" w:eastAsia="宋体" w:cs="Times New Roman"/>
                <w:sz w:val="18"/>
                <w:szCs w:val="18"/>
              </w:rPr>
              <w:t>C</w:t>
            </w:r>
          </w:p>
        </w:tc>
        <w:tc>
          <w:tcPr>
            <w:tcW w:w="361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3948" w:type="dxa"/>
            <w:gridSpan w:val="2"/>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闪点/</w:t>
            </w:r>
            <w:r>
              <w:rPr>
                <w:rFonts w:hint="eastAsia" w:ascii="宋体" w:hAnsi="宋体" w:eastAsia="宋体" w:cs="Times New Roman"/>
                <w:sz w:val="18"/>
                <w:szCs w:val="18"/>
                <w:vertAlign w:val="superscript"/>
              </w:rPr>
              <w:t>O</w:t>
            </w:r>
            <w:r>
              <w:rPr>
                <w:rFonts w:hint="eastAsia" w:ascii="宋体" w:hAnsi="宋体" w:eastAsia="宋体" w:cs="Times New Roman"/>
                <w:sz w:val="18"/>
                <w:szCs w:val="18"/>
              </w:rPr>
              <w:t>C</w:t>
            </w:r>
          </w:p>
        </w:tc>
        <w:tc>
          <w:tcPr>
            <w:tcW w:w="361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≥230</w:t>
            </w:r>
          </w:p>
        </w:tc>
      </w:tr>
    </w:tbl>
    <w:p>
      <w:pPr>
        <w:spacing w:before="156" w:beforeLines="50" w:after="156" w:afterLines="50"/>
        <w:ind w:firstLine="420" w:firstLineChars="200"/>
        <w:rPr>
          <w:rFonts w:ascii="宋体" w:hAnsi="宋体" w:eastAsia="宋体"/>
          <w:sz w:val="21"/>
          <w:szCs w:val="21"/>
        </w:rPr>
      </w:pPr>
      <w:r>
        <w:rPr>
          <w:rFonts w:hint="eastAsia" w:ascii="宋体" w:hAnsi="宋体" w:eastAsia="宋体"/>
          <w:sz w:val="21"/>
          <w:szCs w:val="21"/>
        </w:rPr>
        <w:t>彩色透水沥青路面性能要求结合上海和天津两地有关彩色透水沥青路面的规定，研究提出了本规范中沥青路面性能指标。具体性能指标对比详见表4。</w:t>
      </w:r>
    </w:p>
    <w:p>
      <w:pPr>
        <w:jc w:val="center"/>
        <w:rPr>
          <w:rFonts w:ascii="宋体" w:hAnsi="宋体" w:eastAsia="宋体"/>
          <w:b/>
          <w:sz w:val="21"/>
          <w:szCs w:val="21"/>
        </w:rPr>
      </w:pPr>
      <w:r>
        <w:rPr>
          <w:rFonts w:hint="eastAsia" w:ascii="宋体" w:hAnsi="宋体" w:eastAsia="宋体"/>
          <w:b/>
          <w:sz w:val="21"/>
          <w:szCs w:val="21"/>
        </w:rPr>
        <w:t>表4：彩色透水沥青路面性能指标对比表</w:t>
      </w:r>
    </w:p>
    <w:tbl>
      <w:tblPr>
        <w:tblStyle w:val="15"/>
        <w:tblW w:w="74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1157"/>
        <w:gridCol w:w="1325"/>
        <w:gridCol w:w="1537"/>
        <w:gridCol w:w="1194"/>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28" w:type="dxa"/>
            <w:gridSpan w:val="2"/>
            <w:vMerge w:val="restart"/>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性能</w:t>
            </w:r>
          </w:p>
        </w:tc>
        <w:tc>
          <w:tcPr>
            <w:tcW w:w="5501" w:type="dxa"/>
            <w:gridSpan w:val="4"/>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28" w:type="dxa"/>
            <w:gridSpan w:val="2"/>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132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上海市彩色沥青</w:t>
            </w:r>
          </w:p>
        </w:tc>
        <w:tc>
          <w:tcPr>
            <w:tcW w:w="153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天津DB70彩色沥青</w:t>
            </w:r>
          </w:p>
        </w:tc>
        <w:tc>
          <w:tcPr>
            <w:tcW w:w="11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日本路用彩色沥青</w:t>
            </w:r>
          </w:p>
        </w:tc>
        <w:tc>
          <w:tcPr>
            <w:tcW w:w="144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美国路用彩色沥青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28" w:type="dxa"/>
            <w:gridSpan w:val="2"/>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厚度/mm</w:t>
            </w:r>
          </w:p>
        </w:tc>
        <w:tc>
          <w:tcPr>
            <w:tcW w:w="132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c>
          <w:tcPr>
            <w:tcW w:w="153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c>
          <w:tcPr>
            <w:tcW w:w="11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c>
          <w:tcPr>
            <w:tcW w:w="144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28" w:type="dxa"/>
            <w:gridSpan w:val="2"/>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针入度（25</w:t>
            </w:r>
            <w:r>
              <w:rPr>
                <w:rFonts w:hint="eastAsia" w:ascii="宋体" w:hAnsi="宋体" w:eastAsia="宋体" w:cs="Times New Roman"/>
                <w:sz w:val="18"/>
                <w:szCs w:val="18"/>
                <w:vertAlign w:val="superscript"/>
              </w:rPr>
              <w:t>O</w:t>
            </w:r>
            <w:r>
              <w:rPr>
                <w:rFonts w:hint="eastAsia" w:ascii="宋体" w:hAnsi="宋体" w:eastAsia="宋体" w:cs="Times New Roman"/>
                <w:sz w:val="18"/>
                <w:szCs w:val="18"/>
              </w:rPr>
              <w:t>C，5s，100g）/mm</w:t>
            </w:r>
          </w:p>
        </w:tc>
        <w:tc>
          <w:tcPr>
            <w:tcW w:w="132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50-70</w:t>
            </w:r>
          </w:p>
        </w:tc>
        <w:tc>
          <w:tcPr>
            <w:tcW w:w="153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60-80</w:t>
            </w:r>
          </w:p>
        </w:tc>
        <w:tc>
          <w:tcPr>
            <w:tcW w:w="11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80-120</w:t>
            </w:r>
          </w:p>
        </w:tc>
        <w:tc>
          <w:tcPr>
            <w:tcW w:w="144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50-70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28" w:type="dxa"/>
            <w:gridSpan w:val="2"/>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延度（15</w:t>
            </w:r>
            <w:r>
              <w:rPr>
                <w:rFonts w:hint="eastAsia" w:ascii="宋体" w:hAnsi="宋体" w:eastAsia="宋体" w:cs="Times New Roman"/>
                <w:sz w:val="18"/>
                <w:szCs w:val="18"/>
                <w:vertAlign w:val="superscript"/>
              </w:rPr>
              <w:t>O</w:t>
            </w:r>
            <w:r>
              <w:rPr>
                <w:rFonts w:hint="eastAsia" w:ascii="宋体" w:hAnsi="宋体" w:eastAsia="宋体" w:cs="Times New Roman"/>
                <w:sz w:val="18"/>
                <w:szCs w:val="18"/>
              </w:rPr>
              <w:t>C延度）/cm</w:t>
            </w:r>
          </w:p>
        </w:tc>
        <w:tc>
          <w:tcPr>
            <w:tcW w:w="132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＞100</w:t>
            </w:r>
          </w:p>
        </w:tc>
        <w:tc>
          <w:tcPr>
            <w:tcW w:w="153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＞100</w:t>
            </w:r>
          </w:p>
        </w:tc>
        <w:tc>
          <w:tcPr>
            <w:tcW w:w="11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＞100</w:t>
            </w:r>
          </w:p>
        </w:tc>
        <w:tc>
          <w:tcPr>
            <w:tcW w:w="144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28" w:type="dxa"/>
            <w:gridSpan w:val="2"/>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软化点/</w:t>
            </w:r>
            <w:r>
              <w:rPr>
                <w:rFonts w:hint="eastAsia" w:ascii="宋体" w:hAnsi="宋体" w:eastAsia="宋体" w:cs="Times New Roman"/>
                <w:sz w:val="18"/>
                <w:szCs w:val="18"/>
                <w:vertAlign w:val="superscript"/>
              </w:rPr>
              <w:t>O</w:t>
            </w:r>
            <w:r>
              <w:rPr>
                <w:rFonts w:hint="eastAsia" w:ascii="宋体" w:hAnsi="宋体" w:eastAsia="宋体" w:cs="Times New Roman"/>
                <w:sz w:val="18"/>
                <w:szCs w:val="18"/>
              </w:rPr>
              <w:t>C</w:t>
            </w:r>
          </w:p>
        </w:tc>
        <w:tc>
          <w:tcPr>
            <w:tcW w:w="132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≥50</w:t>
            </w:r>
          </w:p>
        </w:tc>
        <w:tc>
          <w:tcPr>
            <w:tcW w:w="153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≥43</w:t>
            </w:r>
          </w:p>
        </w:tc>
        <w:tc>
          <w:tcPr>
            <w:tcW w:w="11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40-50</w:t>
            </w:r>
          </w:p>
        </w:tc>
        <w:tc>
          <w:tcPr>
            <w:tcW w:w="144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42-48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28" w:type="dxa"/>
            <w:gridSpan w:val="2"/>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闪点/</w:t>
            </w:r>
            <w:r>
              <w:rPr>
                <w:rFonts w:hint="eastAsia" w:ascii="宋体" w:hAnsi="宋体" w:eastAsia="宋体" w:cs="Times New Roman"/>
                <w:sz w:val="18"/>
                <w:szCs w:val="18"/>
                <w:vertAlign w:val="superscript"/>
              </w:rPr>
              <w:t>O</w:t>
            </w:r>
            <w:r>
              <w:rPr>
                <w:rFonts w:hint="eastAsia" w:ascii="宋体" w:hAnsi="宋体" w:eastAsia="宋体" w:cs="Times New Roman"/>
                <w:sz w:val="18"/>
                <w:szCs w:val="18"/>
              </w:rPr>
              <w:t>C</w:t>
            </w:r>
          </w:p>
        </w:tc>
        <w:tc>
          <w:tcPr>
            <w:tcW w:w="132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＞230</w:t>
            </w:r>
          </w:p>
        </w:tc>
        <w:tc>
          <w:tcPr>
            <w:tcW w:w="153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＞230</w:t>
            </w:r>
          </w:p>
        </w:tc>
        <w:tc>
          <w:tcPr>
            <w:tcW w:w="11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＞240</w:t>
            </w:r>
          </w:p>
        </w:tc>
        <w:tc>
          <w:tcPr>
            <w:tcW w:w="144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28" w:type="dxa"/>
            <w:gridSpan w:val="2"/>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蜡含量（蒸馏法/）%</w:t>
            </w:r>
          </w:p>
        </w:tc>
        <w:tc>
          <w:tcPr>
            <w:tcW w:w="132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c>
          <w:tcPr>
            <w:tcW w:w="153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≤3.0</w:t>
            </w:r>
          </w:p>
        </w:tc>
        <w:tc>
          <w:tcPr>
            <w:tcW w:w="11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c>
          <w:tcPr>
            <w:tcW w:w="144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28" w:type="dxa"/>
            <w:gridSpan w:val="2"/>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60</w:t>
            </w:r>
            <w:r>
              <w:rPr>
                <w:rFonts w:hint="eastAsia" w:ascii="宋体" w:hAnsi="宋体" w:eastAsia="宋体" w:cs="Times New Roman"/>
                <w:sz w:val="18"/>
                <w:szCs w:val="18"/>
                <w:vertAlign w:val="superscript"/>
              </w:rPr>
              <w:t>O</w:t>
            </w:r>
            <w:r>
              <w:rPr>
                <w:rFonts w:hint="eastAsia" w:ascii="宋体" w:hAnsi="宋体" w:eastAsia="宋体" w:cs="Times New Roman"/>
                <w:sz w:val="18"/>
                <w:szCs w:val="18"/>
              </w:rPr>
              <w:t>C动力粘度/Pa·s</w:t>
            </w:r>
          </w:p>
        </w:tc>
        <w:tc>
          <w:tcPr>
            <w:tcW w:w="132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≥180</w:t>
            </w:r>
          </w:p>
        </w:tc>
        <w:tc>
          <w:tcPr>
            <w:tcW w:w="153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c>
          <w:tcPr>
            <w:tcW w:w="11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c>
          <w:tcPr>
            <w:tcW w:w="144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restart"/>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TFOT老化后</w:t>
            </w:r>
          </w:p>
        </w:tc>
        <w:tc>
          <w:tcPr>
            <w:tcW w:w="115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质量损失/%</w:t>
            </w:r>
          </w:p>
        </w:tc>
        <w:tc>
          <w:tcPr>
            <w:tcW w:w="132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＜2</w:t>
            </w:r>
          </w:p>
        </w:tc>
        <w:tc>
          <w:tcPr>
            <w:tcW w:w="153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c>
          <w:tcPr>
            <w:tcW w:w="11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＜1.5</w:t>
            </w:r>
          </w:p>
        </w:tc>
        <w:tc>
          <w:tcPr>
            <w:tcW w:w="144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115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针入度比/%</w:t>
            </w:r>
          </w:p>
        </w:tc>
        <w:tc>
          <w:tcPr>
            <w:tcW w:w="132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＞60</w:t>
            </w:r>
          </w:p>
        </w:tc>
        <w:tc>
          <w:tcPr>
            <w:tcW w:w="153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c>
          <w:tcPr>
            <w:tcW w:w="11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＞65</w:t>
            </w:r>
          </w:p>
        </w:tc>
        <w:tc>
          <w:tcPr>
            <w:tcW w:w="144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115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软化点/</w:t>
            </w:r>
            <w:r>
              <w:rPr>
                <w:rFonts w:hint="eastAsia" w:ascii="宋体" w:hAnsi="宋体" w:eastAsia="宋体" w:cs="Times New Roman"/>
                <w:sz w:val="18"/>
                <w:szCs w:val="18"/>
                <w:vertAlign w:val="superscript"/>
              </w:rPr>
              <w:t>O</w:t>
            </w:r>
            <w:r>
              <w:rPr>
                <w:rFonts w:hint="eastAsia" w:ascii="宋体" w:hAnsi="宋体" w:eastAsia="宋体" w:cs="Times New Roman"/>
                <w:sz w:val="18"/>
                <w:szCs w:val="18"/>
              </w:rPr>
              <w:t>C</w:t>
            </w:r>
          </w:p>
        </w:tc>
        <w:tc>
          <w:tcPr>
            <w:tcW w:w="132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±5</w:t>
            </w:r>
          </w:p>
        </w:tc>
        <w:tc>
          <w:tcPr>
            <w:tcW w:w="153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c>
          <w:tcPr>
            <w:tcW w:w="11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144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115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15</w:t>
            </w:r>
            <w:r>
              <w:rPr>
                <w:rFonts w:hint="eastAsia" w:ascii="宋体" w:hAnsi="宋体" w:eastAsia="宋体" w:cs="Times New Roman"/>
                <w:sz w:val="18"/>
                <w:szCs w:val="18"/>
                <w:vertAlign w:val="superscript"/>
              </w:rPr>
              <w:t>O</w:t>
            </w:r>
            <w:r>
              <w:rPr>
                <w:rFonts w:hint="eastAsia" w:ascii="宋体" w:hAnsi="宋体" w:eastAsia="宋体" w:cs="Times New Roman"/>
                <w:sz w:val="18"/>
                <w:szCs w:val="18"/>
              </w:rPr>
              <w:t>C延度/cm</w:t>
            </w:r>
          </w:p>
        </w:tc>
        <w:tc>
          <w:tcPr>
            <w:tcW w:w="132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≥15</w:t>
            </w:r>
          </w:p>
        </w:tc>
        <w:tc>
          <w:tcPr>
            <w:tcW w:w="153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c>
          <w:tcPr>
            <w:tcW w:w="11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144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115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颜色变化</w:t>
            </w:r>
          </w:p>
        </w:tc>
        <w:tc>
          <w:tcPr>
            <w:tcW w:w="132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无明显变化</w:t>
            </w:r>
          </w:p>
        </w:tc>
        <w:tc>
          <w:tcPr>
            <w:tcW w:w="1537"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c>
          <w:tcPr>
            <w:tcW w:w="1194"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1445"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r>
    </w:tbl>
    <w:p>
      <w:pPr>
        <w:rPr>
          <w:rFonts w:ascii="宋体" w:hAnsi="宋体" w:eastAsia="宋体"/>
          <w:sz w:val="21"/>
          <w:szCs w:val="21"/>
        </w:rPr>
      </w:pPr>
    </w:p>
    <w:p>
      <w:pPr>
        <w:spacing w:before="156" w:beforeLines="50" w:after="156" w:afterLines="50"/>
        <w:outlineLvl w:val="4"/>
        <w:rPr>
          <w:rFonts w:ascii="宋体" w:hAnsi="宋体" w:eastAsia="宋体" w:cs="Times New Roman"/>
          <w:smallCaps w:val="0"/>
          <w:sz w:val="21"/>
          <w:szCs w:val="21"/>
        </w:rPr>
      </w:pPr>
      <w:r>
        <w:rPr>
          <w:rFonts w:hint="eastAsia" w:ascii="黑体" w:hAnsi="黑体" w:eastAsia="黑体" w:cs="黑体"/>
          <w:smallCaps w:val="0"/>
          <w:kern w:val="0"/>
          <w:sz w:val="21"/>
          <w:szCs w:val="21"/>
        </w:rPr>
        <w:t xml:space="preserve">8.1.5 </w:t>
      </w:r>
      <w:r>
        <w:rPr>
          <w:rFonts w:hint="eastAsia" w:ascii="宋体" w:hAnsi="宋体" w:eastAsia="宋体" w:cs="Times New Roman"/>
          <w:smallCaps w:val="0"/>
          <w:sz w:val="21"/>
          <w:szCs w:val="21"/>
        </w:rPr>
        <w:t>合成材料的主要性能包括冲击吸收、垂直变形、抗滑值、拉伸性能。性能应符合《合成材料面层健身步道要求》（T/CSVA 0102） 的要求，具体性能应符合表5的规定。三级性能健身步道适用于散步，二级性能健身步道适用于散步、健走，一级性能健身步道适用于散步、健走、路跑。</w:t>
      </w:r>
    </w:p>
    <w:p>
      <w:pPr>
        <w:jc w:val="center"/>
        <w:rPr>
          <w:rFonts w:ascii="宋体" w:hAnsi="宋体" w:eastAsia="宋体"/>
          <w:b/>
          <w:sz w:val="21"/>
          <w:szCs w:val="21"/>
        </w:rPr>
      </w:pPr>
      <w:bookmarkStart w:id="21" w:name="_Toc23472_WPSOffice_Level3"/>
      <w:bookmarkStart w:id="22" w:name="_Toc16115_WPSOffice_Level3"/>
      <w:bookmarkStart w:id="23" w:name="_Toc13673_WPSOffice_Level3"/>
      <w:bookmarkStart w:id="24" w:name="_Toc10854_WPSOffice_Level3"/>
      <w:bookmarkStart w:id="25" w:name="_Toc6399_WPSOffice_Level3"/>
      <w:r>
        <w:rPr>
          <w:rFonts w:hint="eastAsia" w:ascii="宋体" w:hAnsi="宋体" w:eastAsia="宋体"/>
          <w:b/>
          <w:sz w:val="21"/>
          <w:szCs w:val="21"/>
        </w:rPr>
        <w:t>表5：合成材料面层健身步道运动性能要求</w:t>
      </w:r>
      <w:bookmarkEnd w:id="21"/>
      <w:bookmarkEnd w:id="22"/>
      <w:bookmarkEnd w:id="23"/>
      <w:bookmarkEnd w:id="24"/>
      <w:bookmarkEnd w:id="25"/>
    </w:p>
    <w:tbl>
      <w:tblPr>
        <w:tblStyle w:val="14"/>
        <w:tblW w:w="85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4"/>
        <w:gridCol w:w="2241"/>
        <w:gridCol w:w="2107"/>
        <w:gridCol w:w="2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4" w:type="dxa"/>
            <w:vMerge w:val="restart"/>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性能</w:t>
            </w:r>
          </w:p>
        </w:tc>
        <w:tc>
          <w:tcPr>
            <w:tcW w:w="6470" w:type="dxa"/>
            <w:gridSpan w:val="3"/>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4" w:type="dxa"/>
            <w:vMerge w:val="continue"/>
            <w:vAlign w:val="center"/>
          </w:tcPr>
          <w:p>
            <w:pPr>
              <w:widowControl/>
              <w:jc w:val="left"/>
              <w:rPr>
                <w:rFonts w:ascii="宋体" w:hAnsi="Calibri" w:eastAsia="宋体" w:cs="Times New Roman"/>
                <w:smallCaps w:val="0"/>
                <w:sz w:val="18"/>
                <w:szCs w:val="18"/>
              </w:rPr>
            </w:pPr>
          </w:p>
        </w:tc>
        <w:tc>
          <w:tcPr>
            <w:tcW w:w="2241"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三级</w:t>
            </w:r>
          </w:p>
        </w:tc>
        <w:tc>
          <w:tcPr>
            <w:tcW w:w="2107"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二级</w:t>
            </w:r>
          </w:p>
        </w:tc>
        <w:tc>
          <w:tcPr>
            <w:tcW w:w="2122"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一级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4"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厚度/mm</w:t>
            </w:r>
          </w:p>
        </w:tc>
        <w:tc>
          <w:tcPr>
            <w:tcW w:w="2241"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5-9</w:t>
            </w:r>
          </w:p>
        </w:tc>
        <w:tc>
          <w:tcPr>
            <w:tcW w:w="2107" w:type="dxa"/>
            <w:vAlign w:val="center"/>
          </w:tcPr>
          <w:p>
            <w:pPr>
              <w:contextualSpacing/>
              <w:jc w:val="center"/>
              <w:rPr>
                <w:rFonts w:ascii="宋体" w:hAnsi="Calibri" w:eastAsia="宋体" w:cs="Times New Roman"/>
                <w:smallCaps w:val="0"/>
                <w:sz w:val="18"/>
                <w:szCs w:val="18"/>
              </w:rPr>
            </w:pPr>
            <w:r>
              <w:rPr>
                <w:rFonts w:hint="eastAsia" w:ascii="宋体" w:hAnsi="宋体" w:eastAsia="宋体" w:cs="Times New Roman"/>
                <w:smallCaps w:val="0"/>
                <w:sz w:val="18"/>
                <w:szCs w:val="18"/>
              </w:rPr>
              <w:t>9-13</w:t>
            </w:r>
          </w:p>
        </w:tc>
        <w:tc>
          <w:tcPr>
            <w:tcW w:w="2122"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4"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冲击吸收/%</w:t>
            </w:r>
          </w:p>
        </w:tc>
        <w:tc>
          <w:tcPr>
            <w:tcW w:w="2241"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≥10</w:t>
            </w:r>
          </w:p>
        </w:tc>
        <w:tc>
          <w:tcPr>
            <w:tcW w:w="2107" w:type="dxa"/>
            <w:vAlign w:val="center"/>
          </w:tcPr>
          <w:p>
            <w:pPr>
              <w:contextualSpacing/>
              <w:jc w:val="center"/>
              <w:rPr>
                <w:rFonts w:ascii="宋体" w:hAnsi="宋体" w:eastAsia="宋体" w:cs="Times New Roman"/>
                <w:smallCaps w:val="0"/>
                <w:sz w:val="18"/>
                <w:szCs w:val="18"/>
              </w:rPr>
            </w:pPr>
            <w:r>
              <w:rPr>
                <w:rFonts w:hint="eastAsia" w:ascii="宋体" w:hAnsi="Times New Roman" w:eastAsia="宋体" w:cs="Times New Roman"/>
                <w:smallCaps w:val="0"/>
                <w:sz w:val="18"/>
                <w:szCs w:val="18"/>
              </w:rPr>
              <w:t>≥20</w:t>
            </w:r>
          </w:p>
        </w:tc>
        <w:tc>
          <w:tcPr>
            <w:tcW w:w="2122" w:type="dxa"/>
            <w:vAlign w:val="center"/>
          </w:tcPr>
          <w:p>
            <w:pPr>
              <w:contextualSpacing/>
              <w:jc w:val="center"/>
              <w:rPr>
                <w:rFonts w:ascii="宋体" w:hAnsi="宋体" w:eastAsia="宋体" w:cs="Times New Roman"/>
                <w:smallCaps w:val="0"/>
                <w:sz w:val="18"/>
                <w:szCs w:val="18"/>
              </w:rPr>
            </w:pPr>
            <w:r>
              <w:rPr>
                <w:rFonts w:hint="eastAsia" w:ascii="宋体" w:hAnsi="Times New Roman" w:eastAsia="宋体" w:cs="Times New Roman"/>
                <w:smallCaps w:val="0"/>
                <w:sz w:val="18"/>
                <w:szCs w:val="18"/>
              </w:rPr>
              <w:t>≥</w:t>
            </w:r>
            <w:r>
              <w:rPr>
                <w:rFonts w:hint="eastAsia" w:ascii="宋体" w:hAnsi="宋体" w:eastAsia="宋体" w:cs="Times New Roman"/>
                <w:smallCaps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4"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垂直变形/mm</w:t>
            </w:r>
          </w:p>
        </w:tc>
        <w:tc>
          <w:tcPr>
            <w:tcW w:w="2241"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≥0.5</w:t>
            </w:r>
          </w:p>
        </w:tc>
        <w:tc>
          <w:tcPr>
            <w:tcW w:w="2107" w:type="dxa"/>
            <w:vAlign w:val="center"/>
          </w:tcPr>
          <w:p>
            <w:pPr>
              <w:contextualSpacing/>
              <w:jc w:val="center"/>
              <w:rPr>
                <w:rFonts w:ascii="宋体" w:hAnsi="宋体" w:eastAsia="宋体" w:cs="Times New Roman"/>
                <w:smallCaps w:val="0"/>
                <w:sz w:val="18"/>
                <w:szCs w:val="18"/>
              </w:rPr>
            </w:pPr>
            <w:r>
              <w:rPr>
                <w:rFonts w:hint="eastAsia" w:ascii="宋体" w:hAnsi="Times New Roman" w:eastAsia="宋体" w:cs="Times New Roman"/>
                <w:smallCaps w:val="0"/>
                <w:sz w:val="18"/>
                <w:szCs w:val="18"/>
              </w:rPr>
              <w:t>≥0.5</w:t>
            </w:r>
          </w:p>
        </w:tc>
        <w:tc>
          <w:tcPr>
            <w:tcW w:w="2122" w:type="dxa"/>
            <w:vAlign w:val="center"/>
          </w:tcPr>
          <w:p>
            <w:pPr>
              <w:contextualSpacing/>
              <w:jc w:val="center"/>
              <w:rPr>
                <w:rFonts w:ascii="宋体" w:hAnsi="宋体" w:eastAsia="宋体" w:cs="Times New Roman"/>
                <w:smallCaps w:val="0"/>
                <w:sz w:val="18"/>
                <w:szCs w:val="18"/>
              </w:rPr>
            </w:pPr>
            <w:r>
              <w:rPr>
                <w:rFonts w:hint="eastAsia" w:ascii="宋体" w:hAnsi="Times New Roman" w:eastAsia="宋体" w:cs="Times New Roman"/>
                <w:smallCaps w:val="0"/>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4"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抗滑值BPN</w:t>
            </w:r>
          </w:p>
        </w:tc>
        <w:tc>
          <w:tcPr>
            <w:tcW w:w="2241"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≥47</w:t>
            </w:r>
          </w:p>
        </w:tc>
        <w:tc>
          <w:tcPr>
            <w:tcW w:w="2107"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≥47</w:t>
            </w:r>
          </w:p>
        </w:tc>
        <w:tc>
          <w:tcPr>
            <w:tcW w:w="2122"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4"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邵氏硬度（邵A）/度</w:t>
            </w:r>
          </w:p>
        </w:tc>
        <w:tc>
          <w:tcPr>
            <w:tcW w:w="2241"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≥45</w:t>
            </w:r>
          </w:p>
        </w:tc>
        <w:tc>
          <w:tcPr>
            <w:tcW w:w="2107"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≥45</w:t>
            </w:r>
          </w:p>
        </w:tc>
        <w:tc>
          <w:tcPr>
            <w:tcW w:w="2122"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4"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拉伸强度/MPa</w:t>
            </w:r>
          </w:p>
        </w:tc>
        <w:tc>
          <w:tcPr>
            <w:tcW w:w="2241"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≥0.4</w:t>
            </w:r>
          </w:p>
        </w:tc>
        <w:tc>
          <w:tcPr>
            <w:tcW w:w="2107"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≥0.5</w:t>
            </w:r>
          </w:p>
        </w:tc>
        <w:tc>
          <w:tcPr>
            <w:tcW w:w="2122"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4"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扯断伸长率/%</w:t>
            </w:r>
          </w:p>
        </w:tc>
        <w:tc>
          <w:tcPr>
            <w:tcW w:w="2241"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≥40</w:t>
            </w:r>
          </w:p>
        </w:tc>
        <w:tc>
          <w:tcPr>
            <w:tcW w:w="2107"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≥40</w:t>
            </w:r>
          </w:p>
        </w:tc>
        <w:tc>
          <w:tcPr>
            <w:tcW w:w="2122"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4"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阻燃性/级</w:t>
            </w:r>
          </w:p>
        </w:tc>
        <w:tc>
          <w:tcPr>
            <w:tcW w:w="2241"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I</w:t>
            </w:r>
          </w:p>
        </w:tc>
        <w:tc>
          <w:tcPr>
            <w:tcW w:w="2107"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I</w:t>
            </w:r>
          </w:p>
        </w:tc>
        <w:tc>
          <w:tcPr>
            <w:tcW w:w="2122"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4" w:type="dxa"/>
            <w:vAlign w:val="center"/>
          </w:tcPr>
          <w:p>
            <w:pPr>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耐候性</w:t>
            </w:r>
          </w:p>
        </w:tc>
        <w:tc>
          <w:tcPr>
            <w:tcW w:w="6470" w:type="dxa"/>
            <w:gridSpan w:val="3"/>
          </w:tcPr>
          <w:p>
            <w:pPr>
              <w:contextualSpacing/>
              <w:rPr>
                <w:rFonts w:ascii="宋体" w:hAnsi="Calibri" w:eastAsia="宋体" w:cs="Times New Roman"/>
                <w:smallCaps w:val="0"/>
                <w:sz w:val="18"/>
                <w:szCs w:val="18"/>
              </w:rPr>
            </w:pPr>
            <w:r>
              <w:rPr>
                <w:rFonts w:hint="eastAsia" w:ascii="宋体" w:hAnsi="Times New Roman" w:eastAsia="宋体" w:cs="Times New Roman"/>
                <w:smallCaps w:val="0"/>
                <w:sz w:val="18"/>
                <w:szCs w:val="18"/>
              </w:rPr>
              <w:t>1200h人工气候老化试验后，面层材料的邵尔硬度（邵A）、拉伸强度和扯断伸长率仍应符合本要求。</w:t>
            </w:r>
          </w:p>
          <w:p>
            <w:pPr>
              <w:contextualSpacing/>
              <w:rPr>
                <w:rFonts w:ascii="宋体" w:hAnsi="Calibri" w:eastAsia="宋体" w:cs="Times New Roman"/>
                <w:smallCaps w:val="0"/>
                <w:sz w:val="18"/>
                <w:szCs w:val="18"/>
              </w:rPr>
            </w:pPr>
            <w:r>
              <w:rPr>
                <w:rFonts w:hint="eastAsia" w:ascii="宋体" w:hAnsi="Times New Roman" w:eastAsia="宋体" w:cs="Times New Roman"/>
                <w:smallCaps w:val="0"/>
                <w:sz w:val="18"/>
                <w:szCs w:val="18"/>
              </w:rPr>
              <w:t>注：该项仅作为合成材料出厂型式检验内容，不作为竣工检测要求。</w:t>
            </w:r>
          </w:p>
        </w:tc>
      </w:tr>
    </w:tbl>
    <w:p>
      <w:pPr>
        <w:spacing w:before="156" w:beforeLines="50" w:after="156" w:afterLines="50"/>
        <w:ind w:firstLine="420" w:firstLineChars="200"/>
        <w:outlineLvl w:val="4"/>
        <w:rPr>
          <w:rFonts w:ascii="宋体" w:hAnsi="宋体" w:eastAsia="宋体" w:cs="宋体"/>
          <w:smallCaps w:val="0"/>
          <w:kern w:val="0"/>
          <w:sz w:val="21"/>
          <w:szCs w:val="21"/>
        </w:rPr>
      </w:pPr>
      <w:r>
        <w:rPr>
          <w:rFonts w:hint="eastAsia" w:ascii="宋体" w:hAnsi="宋体" w:eastAsia="宋体" w:cs="宋体"/>
          <w:smallCaps w:val="0"/>
          <w:kern w:val="0"/>
          <w:sz w:val="21"/>
          <w:szCs w:val="21"/>
        </w:rPr>
        <w:t>为保护人体健康和环境安全，合成材料面层环保性能应符合表6的规定。</w:t>
      </w:r>
    </w:p>
    <w:p>
      <w:pPr>
        <w:jc w:val="center"/>
        <w:rPr>
          <w:rFonts w:ascii="宋体" w:hAnsi="宋体" w:eastAsia="宋体"/>
          <w:b/>
          <w:sz w:val="21"/>
          <w:szCs w:val="21"/>
        </w:rPr>
      </w:pPr>
      <w:bookmarkStart w:id="26" w:name="_Toc32267_WPSOffice_Level3"/>
      <w:bookmarkStart w:id="27" w:name="_Toc11912_WPSOffice_Level3"/>
      <w:bookmarkStart w:id="28" w:name="_Toc29940_WPSOffice_Level3"/>
      <w:bookmarkStart w:id="29" w:name="_Toc30456_WPSOffice_Level3"/>
      <w:bookmarkStart w:id="30" w:name="_Toc8534_WPSOffice_Level3"/>
      <w:r>
        <w:rPr>
          <w:rFonts w:hint="eastAsia" w:ascii="宋体" w:hAnsi="宋体" w:eastAsia="宋体"/>
          <w:b/>
          <w:sz w:val="21"/>
          <w:szCs w:val="21"/>
        </w:rPr>
        <w:t>表6：合成材料面层健身步道中有害物质限量</w:t>
      </w:r>
      <w:bookmarkEnd w:id="26"/>
      <w:bookmarkEnd w:id="27"/>
      <w:bookmarkEnd w:id="28"/>
      <w:bookmarkEnd w:id="29"/>
      <w:bookmarkEnd w:id="30"/>
    </w:p>
    <w:tbl>
      <w:tblPr>
        <w:tblStyle w:val="14"/>
        <w:tblW w:w="86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3"/>
        <w:gridCol w:w="6276"/>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49" w:type="dxa"/>
            <w:gridSpan w:val="2"/>
            <w:vAlign w:val="center"/>
          </w:tcPr>
          <w:p>
            <w:pPr>
              <w:widowControl/>
              <w:autoSpaceDE w:val="0"/>
              <w:autoSpaceDN w:val="0"/>
              <w:ind w:firstLine="360" w:firstLineChars="20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项目</w:t>
            </w:r>
          </w:p>
        </w:tc>
        <w:tc>
          <w:tcPr>
            <w:tcW w:w="1201" w:type="dxa"/>
            <w:vAlign w:val="center"/>
          </w:tcPr>
          <w:p>
            <w:pPr>
              <w:widowControl/>
              <w:autoSpaceDE w:val="0"/>
              <w:autoSpaceDN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3" w:type="dxa"/>
            <w:vMerge w:val="restart"/>
            <w:vAlign w:val="center"/>
          </w:tcPr>
          <w:p>
            <w:pPr>
              <w:widowControl/>
              <w:autoSpaceDE w:val="0"/>
              <w:autoSpaceDN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有害物质含量</w:t>
            </w:r>
          </w:p>
        </w:tc>
        <w:tc>
          <w:tcPr>
            <w:tcW w:w="6276" w:type="dxa"/>
            <w:vAlign w:val="center"/>
          </w:tcPr>
          <w:p>
            <w:pPr>
              <w:widowControl/>
              <w:autoSpaceDE w:val="0"/>
              <w:autoSpaceDN w:val="0"/>
              <w:ind w:firstLine="16" w:firstLineChars="9"/>
              <w:contextualSpacing/>
              <w:jc w:val="center"/>
              <w:rPr>
                <w:rFonts w:ascii="宋体" w:hAnsi="宋体" w:eastAsia="宋体" w:cs="Times New Roman"/>
                <w:smallCaps w:val="0"/>
                <w:kern w:val="0"/>
                <w:sz w:val="18"/>
                <w:szCs w:val="18"/>
              </w:rPr>
            </w:pPr>
            <w:r>
              <w:rPr>
                <w:rFonts w:hint="eastAsia" w:ascii="宋体" w:hAnsi="宋体" w:eastAsia="宋体" w:cs="Times New Roman"/>
                <w:smallCaps w:val="0"/>
                <w:kern w:val="0"/>
                <w:sz w:val="18"/>
                <w:szCs w:val="18"/>
              </w:rPr>
              <w:t>6种邻苯二甲酸酯类化合物（DBP、BBP、DEHP、 DNOP、DINP、DIDP）总和/（g/kg）</w:t>
            </w:r>
          </w:p>
        </w:tc>
        <w:tc>
          <w:tcPr>
            <w:tcW w:w="1201" w:type="dxa"/>
            <w:vAlign w:val="center"/>
          </w:tcPr>
          <w:p>
            <w:pPr>
              <w:widowControl/>
              <w:autoSpaceDE w:val="0"/>
              <w:autoSpaceDN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3" w:type="dxa"/>
            <w:vMerge w:val="continue"/>
            <w:vAlign w:val="center"/>
          </w:tcPr>
          <w:p>
            <w:pPr>
              <w:widowControl/>
              <w:jc w:val="left"/>
              <w:rPr>
                <w:rFonts w:ascii="宋体" w:hAnsi="Calibri" w:eastAsia="宋体" w:cs="Times New Roman"/>
                <w:smallCaps w:val="0"/>
                <w:sz w:val="18"/>
                <w:szCs w:val="18"/>
              </w:rPr>
            </w:pPr>
          </w:p>
        </w:tc>
        <w:tc>
          <w:tcPr>
            <w:tcW w:w="6276" w:type="dxa"/>
            <w:vAlign w:val="center"/>
          </w:tcPr>
          <w:p>
            <w:pPr>
              <w:widowControl/>
              <w:autoSpaceDE w:val="0"/>
              <w:autoSpaceDN w:val="0"/>
              <w:ind w:firstLine="360" w:firstLineChars="200"/>
              <w:contextualSpacing/>
              <w:jc w:val="center"/>
              <w:rPr>
                <w:rFonts w:ascii="宋体" w:hAnsi="宋体" w:eastAsia="宋体" w:cs="Times New Roman"/>
                <w:smallCaps w:val="0"/>
                <w:kern w:val="0"/>
                <w:sz w:val="18"/>
                <w:szCs w:val="18"/>
              </w:rPr>
            </w:pPr>
            <w:r>
              <w:rPr>
                <w:rFonts w:hint="eastAsia" w:ascii="宋体" w:hAnsi="Times New Roman" w:eastAsia="宋体" w:cs="Times New Roman"/>
                <w:smallCaps w:val="0"/>
                <w:sz w:val="18"/>
                <w:szCs w:val="18"/>
              </w:rPr>
              <w:t>18种多环芳烃总和</w:t>
            </w:r>
            <w:r>
              <w:rPr>
                <w:rFonts w:hint="eastAsia" w:ascii="宋体" w:hAnsi="宋体" w:eastAsia="宋体" w:cs="Times New Roman"/>
                <w:smallCaps w:val="0"/>
                <w:kern w:val="0"/>
                <w:sz w:val="18"/>
                <w:szCs w:val="18"/>
                <w:vertAlign w:val="superscript"/>
              </w:rPr>
              <w:t>a</w:t>
            </w:r>
            <w:r>
              <w:rPr>
                <w:rFonts w:hint="eastAsia" w:ascii="宋体" w:hAnsi="宋体" w:eastAsia="宋体" w:cs="Times New Roman"/>
                <w:smallCaps w:val="0"/>
                <w:kern w:val="0"/>
                <w:sz w:val="18"/>
                <w:szCs w:val="18"/>
              </w:rPr>
              <w:t>/（mg/kg）</w:t>
            </w:r>
          </w:p>
        </w:tc>
        <w:tc>
          <w:tcPr>
            <w:tcW w:w="1201" w:type="dxa"/>
            <w:vAlign w:val="center"/>
          </w:tcPr>
          <w:p>
            <w:pPr>
              <w:widowControl/>
              <w:autoSpaceDE w:val="0"/>
              <w:autoSpaceDN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3" w:type="dxa"/>
            <w:vMerge w:val="continue"/>
            <w:vAlign w:val="center"/>
          </w:tcPr>
          <w:p>
            <w:pPr>
              <w:widowControl/>
              <w:jc w:val="left"/>
              <w:rPr>
                <w:rFonts w:ascii="宋体" w:hAnsi="Calibri" w:eastAsia="宋体" w:cs="Times New Roman"/>
                <w:smallCaps w:val="0"/>
                <w:sz w:val="18"/>
                <w:szCs w:val="18"/>
              </w:rPr>
            </w:pPr>
          </w:p>
        </w:tc>
        <w:tc>
          <w:tcPr>
            <w:tcW w:w="6276" w:type="dxa"/>
            <w:vAlign w:val="center"/>
          </w:tcPr>
          <w:p>
            <w:pPr>
              <w:widowControl/>
              <w:autoSpaceDE w:val="0"/>
              <w:autoSpaceDN w:val="0"/>
              <w:ind w:firstLine="360" w:firstLineChars="200"/>
              <w:contextualSpacing/>
              <w:jc w:val="center"/>
              <w:rPr>
                <w:rFonts w:ascii="宋体" w:hAnsi="宋体" w:eastAsia="宋体" w:cs="Times New Roman"/>
                <w:smallCaps w:val="0"/>
                <w:kern w:val="0"/>
                <w:sz w:val="18"/>
                <w:szCs w:val="18"/>
              </w:rPr>
            </w:pPr>
            <w:r>
              <w:rPr>
                <w:rFonts w:hint="eastAsia" w:ascii="宋体" w:hAnsi="宋体" w:eastAsia="宋体" w:cs="Times New Roman"/>
                <w:smallCaps w:val="0"/>
                <w:kern w:val="0"/>
                <w:sz w:val="18"/>
                <w:szCs w:val="18"/>
              </w:rPr>
              <w:t>苯并[a]芘/（mg/kg）</w:t>
            </w:r>
          </w:p>
        </w:tc>
        <w:tc>
          <w:tcPr>
            <w:tcW w:w="1201" w:type="dxa"/>
            <w:vAlign w:val="center"/>
          </w:tcPr>
          <w:p>
            <w:pPr>
              <w:widowControl/>
              <w:autoSpaceDE w:val="0"/>
              <w:autoSpaceDN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3" w:type="dxa"/>
            <w:vMerge w:val="continue"/>
            <w:vAlign w:val="center"/>
          </w:tcPr>
          <w:p>
            <w:pPr>
              <w:widowControl/>
              <w:jc w:val="left"/>
              <w:rPr>
                <w:rFonts w:ascii="宋体" w:hAnsi="Calibri" w:eastAsia="宋体" w:cs="Times New Roman"/>
                <w:smallCaps w:val="0"/>
                <w:sz w:val="18"/>
                <w:szCs w:val="18"/>
              </w:rPr>
            </w:pPr>
          </w:p>
        </w:tc>
        <w:tc>
          <w:tcPr>
            <w:tcW w:w="6276" w:type="dxa"/>
            <w:vAlign w:val="center"/>
          </w:tcPr>
          <w:p>
            <w:pPr>
              <w:widowControl/>
              <w:autoSpaceDE w:val="0"/>
              <w:autoSpaceDN w:val="0"/>
              <w:ind w:firstLine="360" w:firstLineChars="200"/>
              <w:contextualSpacing/>
              <w:jc w:val="center"/>
              <w:rPr>
                <w:rFonts w:ascii="宋体" w:hAnsi="宋体" w:eastAsia="宋体" w:cs="Times New Roman"/>
                <w:smallCaps w:val="0"/>
                <w:kern w:val="0"/>
                <w:sz w:val="18"/>
                <w:szCs w:val="18"/>
              </w:rPr>
            </w:pPr>
            <w:r>
              <w:rPr>
                <w:rFonts w:hint="eastAsia" w:ascii="宋体" w:hAnsi="宋体" w:eastAsia="宋体" w:cs="Times New Roman"/>
                <w:smallCaps w:val="0"/>
                <w:kern w:val="0"/>
                <w:sz w:val="18"/>
                <w:szCs w:val="18"/>
              </w:rPr>
              <w:t>短链氯化石蜡（C</w:t>
            </w:r>
            <w:r>
              <w:rPr>
                <w:rFonts w:hint="eastAsia" w:ascii="宋体" w:hAnsi="宋体" w:eastAsia="宋体" w:cs="Times New Roman"/>
                <w:smallCaps w:val="0"/>
                <w:kern w:val="0"/>
                <w:sz w:val="18"/>
                <w:szCs w:val="18"/>
                <w:vertAlign w:val="subscript"/>
              </w:rPr>
              <w:t>10</w:t>
            </w:r>
            <w:r>
              <w:rPr>
                <w:rFonts w:hint="eastAsia" w:ascii="宋体" w:hAnsi="宋体" w:eastAsia="宋体" w:cs="Times New Roman"/>
                <w:smallCaps w:val="0"/>
                <w:kern w:val="0"/>
                <w:sz w:val="18"/>
                <w:szCs w:val="18"/>
              </w:rPr>
              <w:t>-C</w:t>
            </w:r>
            <w:r>
              <w:rPr>
                <w:rFonts w:hint="eastAsia" w:ascii="宋体" w:hAnsi="宋体" w:eastAsia="宋体" w:cs="Times New Roman"/>
                <w:smallCaps w:val="0"/>
                <w:kern w:val="0"/>
                <w:sz w:val="18"/>
                <w:szCs w:val="18"/>
                <w:vertAlign w:val="subscript"/>
              </w:rPr>
              <w:t>13</w:t>
            </w:r>
            <w:r>
              <w:rPr>
                <w:rFonts w:hint="eastAsia" w:ascii="宋体" w:hAnsi="宋体" w:eastAsia="宋体" w:cs="Times New Roman"/>
                <w:smallCaps w:val="0"/>
                <w:kern w:val="0"/>
                <w:sz w:val="18"/>
                <w:szCs w:val="18"/>
              </w:rPr>
              <w:t>）/（g/kg）</w:t>
            </w:r>
          </w:p>
        </w:tc>
        <w:tc>
          <w:tcPr>
            <w:tcW w:w="1201" w:type="dxa"/>
            <w:vAlign w:val="center"/>
          </w:tcPr>
          <w:p>
            <w:pPr>
              <w:widowControl/>
              <w:autoSpaceDE w:val="0"/>
              <w:autoSpaceDN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3" w:type="dxa"/>
            <w:vMerge w:val="continue"/>
            <w:vAlign w:val="center"/>
          </w:tcPr>
          <w:p>
            <w:pPr>
              <w:widowControl/>
              <w:jc w:val="left"/>
              <w:rPr>
                <w:rFonts w:ascii="宋体" w:hAnsi="Calibri" w:eastAsia="宋体" w:cs="Times New Roman"/>
                <w:smallCaps w:val="0"/>
                <w:sz w:val="18"/>
                <w:szCs w:val="18"/>
              </w:rPr>
            </w:pPr>
          </w:p>
        </w:tc>
        <w:tc>
          <w:tcPr>
            <w:tcW w:w="6276" w:type="dxa"/>
            <w:vAlign w:val="center"/>
          </w:tcPr>
          <w:p>
            <w:pPr>
              <w:contextualSpacing/>
              <w:jc w:val="center"/>
              <w:rPr>
                <w:rFonts w:ascii="宋体" w:hAnsi="宋体" w:eastAsia="宋体" w:cs="Times New Roman"/>
                <w:smallCaps w:val="0"/>
                <w:sz w:val="18"/>
                <w:szCs w:val="18"/>
              </w:rPr>
            </w:pPr>
            <w:r>
              <w:rPr>
                <w:rFonts w:hint="eastAsia" w:ascii="宋体" w:hAnsi="宋体" w:eastAsia="宋体" w:cs="Times New Roman"/>
                <w:smallCaps w:val="0"/>
                <w:sz w:val="18"/>
                <w:szCs w:val="18"/>
              </w:rPr>
              <w:t>铅（Pb）/（mg/kg）</w:t>
            </w:r>
          </w:p>
        </w:tc>
        <w:tc>
          <w:tcPr>
            <w:tcW w:w="1201" w:type="dxa"/>
            <w:vAlign w:val="center"/>
          </w:tcPr>
          <w:p>
            <w:pPr>
              <w:widowControl/>
              <w:adjustRightInd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3" w:type="dxa"/>
            <w:vMerge w:val="continue"/>
            <w:vAlign w:val="center"/>
          </w:tcPr>
          <w:p>
            <w:pPr>
              <w:widowControl/>
              <w:jc w:val="left"/>
              <w:rPr>
                <w:rFonts w:ascii="宋体" w:hAnsi="Calibri" w:eastAsia="宋体" w:cs="Times New Roman"/>
                <w:smallCaps w:val="0"/>
                <w:sz w:val="18"/>
                <w:szCs w:val="18"/>
              </w:rPr>
            </w:pPr>
          </w:p>
        </w:tc>
        <w:tc>
          <w:tcPr>
            <w:tcW w:w="6276" w:type="dxa"/>
            <w:vAlign w:val="center"/>
          </w:tcPr>
          <w:p>
            <w:pPr>
              <w:contextualSpacing/>
              <w:jc w:val="center"/>
              <w:rPr>
                <w:rFonts w:ascii="宋体" w:hAnsi="宋体" w:eastAsia="宋体" w:cs="Times New Roman"/>
                <w:smallCaps w:val="0"/>
                <w:sz w:val="18"/>
                <w:szCs w:val="18"/>
              </w:rPr>
            </w:pPr>
            <w:r>
              <w:rPr>
                <w:rFonts w:hint="eastAsia" w:ascii="宋体" w:hAnsi="宋体" w:eastAsia="宋体" w:cs="Times New Roman"/>
                <w:smallCaps w:val="0"/>
                <w:sz w:val="18"/>
                <w:szCs w:val="18"/>
              </w:rPr>
              <w:t>镉（Cd）/（mg/kg）</w:t>
            </w:r>
          </w:p>
        </w:tc>
        <w:tc>
          <w:tcPr>
            <w:tcW w:w="1201" w:type="dxa"/>
            <w:vAlign w:val="center"/>
          </w:tcPr>
          <w:p>
            <w:pPr>
              <w:widowControl/>
              <w:adjustRightInd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3" w:type="dxa"/>
            <w:vMerge w:val="continue"/>
            <w:vAlign w:val="center"/>
          </w:tcPr>
          <w:p>
            <w:pPr>
              <w:widowControl/>
              <w:jc w:val="left"/>
              <w:rPr>
                <w:rFonts w:ascii="宋体" w:hAnsi="Calibri" w:eastAsia="宋体" w:cs="Times New Roman"/>
                <w:smallCaps w:val="0"/>
                <w:sz w:val="18"/>
                <w:szCs w:val="18"/>
              </w:rPr>
            </w:pPr>
          </w:p>
        </w:tc>
        <w:tc>
          <w:tcPr>
            <w:tcW w:w="6276" w:type="dxa"/>
            <w:vAlign w:val="center"/>
          </w:tcPr>
          <w:p>
            <w:pPr>
              <w:contextualSpacing/>
              <w:jc w:val="center"/>
              <w:rPr>
                <w:rFonts w:ascii="宋体" w:hAnsi="宋体" w:eastAsia="宋体" w:cs="Times New Roman"/>
                <w:smallCaps w:val="0"/>
                <w:sz w:val="18"/>
                <w:szCs w:val="18"/>
              </w:rPr>
            </w:pPr>
            <w:r>
              <w:rPr>
                <w:rFonts w:hint="eastAsia" w:ascii="宋体" w:hAnsi="宋体" w:eastAsia="宋体" w:cs="Times New Roman"/>
                <w:smallCaps w:val="0"/>
                <w:sz w:val="18"/>
                <w:szCs w:val="18"/>
              </w:rPr>
              <w:t>铬（Cr）/（mg/kg）</w:t>
            </w:r>
          </w:p>
        </w:tc>
        <w:tc>
          <w:tcPr>
            <w:tcW w:w="1201" w:type="dxa"/>
            <w:vAlign w:val="center"/>
          </w:tcPr>
          <w:p>
            <w:pPr>
              <w:widowControl/>
              <w:adjustRightInd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3" w:type="dxa"/>
            <w:vMerge w:val="continue"/>
            <w:vAlign w:val="center"/>
          </w:tcPr>
          <w:p>
            <w:pPr>
              <w:widowControl/>
              <w:jc w:val="left"/>
              <w:rPr>
                <w:rFonts w:ascii="宋体" w:hAnsi="Calibri" w:eastAsia="宋体" w:cs="Times New Roman"/>
                <w:smallCaps w:val="0"/>
                <w:sz w:val="18"/>
                <w:szCs w:val="18"/>
              </w:rPr>
            </w:pPr>
          </w:p>
        </w:tc>
        <w:tc>
          <w:tcPr>
            <w:tcW w:w="6276" w:type="dxa"/>
            <w:vAlign w:val="center"/>
          </w:tcPr>
          <w:p>
            <w:pPr>
              <w:contextualSpacing/>
              <w:jc w:val="center"/>
              <w:rPr>
                <w:rFonts w:ascii="宋体" w:hAnsi="宋体" w:eastAsia="宋体" w:cs="Times New Roman"/>
                <w:smallCaps w:val="0"/>
                <w:sz w:val="18"/>
                <w:szCs w:val="18"/>
              </w:rPr>
            </w:pPr>
            <w:r>
              <w:rPr>
                <w:rFonts w:hint="eastAsia" w:ascii="宋体" w:hAnsi="宋体" w:eastAsia="宋体" w:cs="Times New Roman"/>
                <w:smallCaps w:val="0"/>
                <w:sz w:val="18"/>
                <w:szCs w:val="18"/>
              </w:rPr>
              <w:t>汞（Hg）/（mg/kg）</w:t>
            </w:r>
          </w:p>
        </w:tc>
        <w:tc>
          <w:tcPr>
            <w:tcW w:w="1201" w:type="dxa"/>
            <w:vAlign w:val="center"/>
          </w:tcPr>
          <w:p>
            <w:pPr>
              <w:widowControl/>
              <w:adjustRightInd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3" w:type="dxa"/>
            <w:vMerge w:val="restart"/>
            <w:vAlign w:val="center"/>
          </w:tcPr>
          <w:p>
            <w:pPr>
              <w:widowControl/>
              <w:autoSpaceDE w:val="0"/>
              <w:autoSpaceDN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有害物质释放量</w:t>
            </w:r>
          </w:p>
        </w:tc>
        <w:tc>
          <w:tcPr>
            <w:tcW w:w="6276" w:type="dxa"/>
            <w:vAlign w:val="center"/>
          </w:tcPr>
          <w:p>
            <w:pPr>
              <w:widowControl/>
              <w:autoSpaceDE w:val="0"/>
              <w:autoSpaceDN w:val="0"/>
              <w:ind w:firstLine="360" w:firstLineChars="200"/>
              <w:contextualSpacing/>
              <w:jc w:val="center"/>
              <w:rPr>
                <w:rFonts w:ascii="宋体" w:hAnsi="宋体" w:eastAsia="宋体" w:cs="Times New Roman"/>
                <w:smallCaps w:val="0"/>
                <w:kern w:val="0"/>
                <w:sz w:val="18"/>
                <w:szCs w:val="18"/>
              </w:rPr>
            </w:pPr>
            <w:r>
              <w:rPr>
                <w:rFonts w:hint="eastAsia" w:ascii="宋体" w:hAnsi="宋体" w:eastAsia="宋体" w:cs="Times New Roman"/>
                <w:smallCaps w:val="0"/>
                <w:kern w:val="0"/>
                <w:sz w:val="18"/>
                <w:szCs w:val="18"/>
              </w:rPr>
              <w:t>总挥发性有机化合物（TVOC）/（mg/（m</w:t>
            </w:r>
            <w:r>
              <w:rPr>
                <w:rFonts w:hint="eastAsia" w:ascii="宋体" w:hAnsi="宋体" w:eastAsia="宋体" w:cs="Times New Roman"/>
                <w:smallCaps w:val="0"/>
                <w:kern w:val="0"/>
                <w:sz w:val="18"/>
                <w:szCs w:val="18"/>
                <w:vertAlign w:val="superscript"/>
              </w:rPr>
              <w:t>2</w:t>
            </w:r>
            <w:r>
              <w:rPr>
                <w:rFonts w:hint="eastAsia" w:ascii="宋体" w:hAnsi="宋体" w:eastAsia="宋体" w:cs="Times New Roman"/>
                <w:smallCaps w:val="0"/>
                <w:kern w:val="0"/>
                <w:sz w:val="18"/>
                <w:szCs w:val="18"/>
              </w:rPr>
              <w:t>•h））</w:t>
            </w:r>
          </w:p>
        </w:tc>
        <w:tc>
          <w:tcPr>
            <w:tcW w:w="1201" w:type="dxa"/>
            <w:vAlign w:val="center"/>
          </w:tcPr>
          <w:p>
            <w:pPr>
              <w:widowControl/>
              <w:autoSpaceDE w:val="0"/>
              <w:autoSpaceDN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3" w:type="dxa"/>
            <w:vMerge w:val="continue"/>
            <w:vAlign w:val="center"/>
          </w:tcPr>
          <w:p>
            <w:pPr>
              <w:widowControl/>
              <w:jc w:val="left"/>
              <w:rPr>
                <w:rFonts w:ascii="宋体" w:hAnsi="Calibri" w:eastAsia="宋体" w:cs="Times New Roman"/>
                <w:smallCaps w:val="0"/>
                <w:sz w:val="18"/>
                <w:szCs w:val="18"/>
              </w:rPr>
            </w:pPr>
          </w:p>
        </w:tc>
        <w:tc>
          <w:tcPr>
            <w:tcW w:w="6276" w:type="dxa"/>
            <w:vAlign w:val="center"/>
          </w:tcPr>
          <w:p>
            <w:pPr>
              <w:widowControl/>
              <w:autoSpaceDE w:val="0"/>
              <w:autoSpaceDN w:val="0"/>
              <w:ind w:firstLine="360" w:firstLineChars="200"/>
              <w:contextualSpacing/>
              <w:jc w:val="center"/>
              <w:rPr>
                <w:rFonts w:ascii="宋体" w:hAnsi="宋体" w:eastAsia="宋体" w:cs="Times New Roman"/>
                <w:smallCaps w:val="0"/>
                <w:kern w:val="0"/>
                <w:sz w:val="18"/>
                <w:szCs w:val="18"/>
              </w:rPr>
            </w:pPr>
            <w:r>
              <w:rPr>
                <w:rFonts w:hint="eastAsia" w:ascii="宋体" w:hAnsi="宋体" w:eastAsia="宋体" w:cs="Times New Roman"/>
                <w:smallCaps w:val="0"/>
                <w:kern w:val="0"/>
                <w:sz w:val="18"/>
                <w:szCs w:val="18"/>
              </w:rPr>
              <w:t>甲醛/（mg/（m</w:t>
            </w:r>
            <w:r>
              <w:rPr>
                <w:rFonts w:hint="eastAsia" w:ascii="宋体" w:hAnsi="宋体" w:eastAsia="宋体" w:cs="Times New Roman"/>
                <w:smallCaps w:val="0"/>
                <w:kern w:val="0"/>
                <w:sz w:val="18"/>
                <w:szCs w:val="18"/>
                <w:vertAlign w:val="superscript"/>
              </w:rPr>
              <w:t>2</w:t>
            </w:r>
            <w:r>
              <w:rPr>
                <w:rFonts w:hint="eastAsia" w:ascii="宋体" w:hAnsi="宋体" w:eastAsia="宋体" w:cs="Times New Roman"/>
                <w:smallCaps w:val="0"/>
                <w:kern w:val="0"/>
                <w:sz w:val="18"/>
                <w:szCs w:val="18"/>
              </w:rPr>
              <w:t>•h））</w:t>
            </w:r>
          </w:p>
        </w:tc>
        <w:tc>
          <w:tcPr>
            <w:tcW w:w="1201" w:type="dxa"/>
            <w:vAlign w:val="center"/>
          </w:tcPr>
          <w:p>
            <w:pPr>
              <w:widowControl/>
              <w:autoSpaceDE w:val="0"/>
              <w:autoSpaceDN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 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3" w:type="dxa"/>
            <w:vMerge w:val="continue"/>
            <w:vAlign w:val="center"/>
          </w:tcPr>
          <w:p>
            <w:pPr>
              <w:widowControl/>
              <w:jc w:val="left"/>
              <w:rPr>
                <w:rFonts w:ascii="宋体" w:hAnsi="Calibri" w:eastAsia="宋体" w:cs="Times New Roman"/>
                <w:smallCaps w:val="0"/>
                <w:sz w:val="18"/>
                <w:szCs w:val="18"/>
              </w:rPr>
            </w:pPr>
          </w:p>
        </w:tc>
        <w:tc>
          <w:tcPr>
            <w:tcW w:w="6276" w:type="dxa"/>
            <w:vAlign w:val="center"/>
          </w:tcPr>
          <w:p>
            <w:pPr>
              <w:widowControl/>
              <w:autoSpaceDE w:val="0"/>
              <w:autoSpaceDN w:val="0"/>
              <w:ind w:firstLine="360" w:firstLineChars="200"/>
              <w:contextualSpacing/>
              <w:jc w:val="center"/>
              <w:rPr>
                <w:rFonts w:ascii="宋体" w:hAnsi="宋体" w:eastAsia="宋体" w:cs="Times New Roman"/>
                <w:smallCaps w:val="0"/>
                <w:kern w:val="0"/>
                <w:sz w:val="18"/>
                <w:szCs w:val="18"/>
              </w:rPr>
            </w:pPr>
            <w:r>
              <w:rPr>
                <w:rFonts w:hint="eastAsia" w:ascii="宋体" w:hAnsi="宋体" w:eastAsia="宋体" w:cs="Times New Roman"/>
                <w:smallCaps w:val="0"/>
                <w:kern w:val="0"/>
                <w:sz w:val="18"/>
                <w:szCs w:val="18"/>
              </w:rPr>
              <w:t>苯/（mg/（m</w:t>
            </w:r>
            <w:r>
              <w:rPr>
                <w:rFonts w:hint="eastAsia" w:ascii="宋体" w:hAnsi="宋体" w:eastAsia="宋体" w:cs="Times New Roman"/>
                <w:smallCaps w:val="0"/>
                <w:kern w:val="0"/>
                <w:sz w:val="18"/>
                <w:szCs w:val="18"/>
                <w:vertAlign w:val="superscript"/>
              </w:rPr>
              <w:t>2</w:t>
            </w:r>
            <w:r>
              <w:rPr>
                <w:rFonts w:hint="eastAsia" w:ascii="宋体" w:hAnsi="宋体" w:eastAsia="宋体" w:cs="Times New Roman"/>
                <w:smallCaps w:val="0"/>
                <w:kern w:val="0"/>
                <w:sz w:val="18"/>
                <w:szCs w:val="18"/>
              </w:rPr>
              <w:t>•h））</w:t>
            </w:r>
          </w:p>
        </w:tc>
        <w:tc>
          <w:tcPr>
            <w:tcW w:w="1201" w:type="dxa"/>
            <w:vAlign w:val="center"/>
          </w:tcPr>
          <w:p>
            <w:pPr>
              <w:widowControl/>
              <w:autoSpaceDE w:val="0"/>
              <w:autoSpaceDN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 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3" w:type="dxa"/>
            <w:vMerge w:val="continue"/>
            <w:vAlign w:val="center"/>
          </w:tcPr>
          <w:p>
            <w:pPr>
              <w:widowControl/>
              <w:jc w:val="left"/>
              <w:rPr>
                <w:rFonts w:ascii="宋体" w:hAnsi="Calibri" w:eastAsia="宋体" w:cs="Times New Roman"/>
                <w:smallCaps w:val="0"/>
                <w:sz w:val="18"/>
                <w:szCs w:val="18"/>
              </w:rPr>
            </w:pPr>
          </w:p>
        </w:tc>
        <w:tc>
          <w:tcPr>
            <w:tcW w:w="6276" w:type="dxa"/>
            <w:vAlign w:val="center"/>
          </w:tcPr>
          <w:p>
            <w:pPr>
              <w:widowControl/>
              <w:autoSpaceDE w:val="0"/>
              <w:autoSpaceDN w:val="0"/>
              <w:ind w:firstLine="360" w:firstLineChars="200"/>
              <w:contextualSpacing/>
              <w:jc w:val="center"/>
              <w:rPr>
                <w:rFonts w:ascii="宋体" w:hAnsi="宋体" w:eastAsia="宋体" w:cs="Times New Roman"/>
                <w:smallCaps w:val="0"/>
                <w:kern w:val="0"/>
                <w:sz w:val="18"/>
                <w:szCs w:val="18"/>
              </w:rPr>
            </w:pPr>
            <w:r>
              <w:rPr>
                <w:rFonts w:hint="eastAsia" w:ascii="宋体" w:hAnsi="宋体" w:eastAsia="宋体" w:cs="Times New Roman"/>
                <w:smallCaps w:val="0"/>
                <w:kern w:val="0"/>
                <w:sz w:val="18"/>
                <w:szCs w:val="18"/>
              </w:rPr>
              <w:t>甲苯、二甲苯和乙苯总和/（mg/（m</w:t>
            </w:r>
            <w:r>
              <w:rPr>
                <w:rFonts w:hint="eastAsia" w:ascii="宋体" w:hAnsi="宋体" w:eastAsia="宋体" w:cs="Times New Roman"/>
                <w:smallCaps w:val="0"/>
                <w:kern w:val="0"/>
                <w:sz w:val="18"/>
                <w:szCs w:val="18"/>
                <w:vertAlign w:val="superscript"/>
              </w:rPr>
              <w:t>2</w:t>
            </w:r>
            <w:r>
              <w:rPr>
                <w:rFonts w:hint="eastAsia" w:ascii="宋体" w:hAnsi="宋体" w:eastAsia="宋体" w:cs="Times New Roman"/>
                <w:smallCaps w:val="0"/>
                <w:kern w:val="0"/>
                <w:sz w:val="18"/>
                <w:szCs w:val="18"/>
              </w:rPr>
              <w:t>•h））</w:t>
            </w:r>
          </w:p>
        </w:tc>
        <w:tc>
          <w:tcPr>
            <w:tcW w:w="1201" w:type="dxa"/>
            <w:vAlign w:val="center"/>
          </w:tcPr>
          <w:p>
            <w:pPr>
              <w:widowControl/>
              <w:autoSpaceDE w:val="0"/>
              <w:autoSpaceDN w:val="0"/>
              <w:contextualSpacing/>
              <w:jc w:val="center"/>
              <w:rPr>
                <w:rFonts w:ascii="宋体" w:hAnsi="Calibri" w:eastAsia="宋体" w:cs="Times New Roman"/>
                <w:smallCaps w:val="0"/>
                <w:sz w:val="18"/>
                <w:szCs w:val="18"/>
              </w:rPr>
            </w:pPr>
            <w:r>
              <w:rPr>
                <w:rFonts w:hint="eastAsia" w:ascii="宋体" w:hAnsi="Times New Roman" w:eastAsia="宋体" w:cs="Times New Roman"/>
                <w:smallCaps w:val="0"/>
                <w:sz w:val="18"/>
                <w:szCs w:val="18"/>
              </w:rPr>
              <w:t>≤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50" w:type="dxa"/>
            <w:gridSpan w:val="3"/>
          </w:tcPr>
          <w:p>
            <w:pPr>
              <w:autoSpaceDE w:val="0"/>
              <w:autoSpaceDN w:val="0"/>
              <w:ind w:left="33"/>
              <w:rPr>
                <w:rFonts w:ascii="宋体" w:hAnsi="Calibri" w:eastAsia="宋体" w:cs="Times New Roman"/>
                <w:smallCaps w:val="0"/>
                <w:kern w:val="0"/>
                <w:sz w:val="18"/>
                <w:szCs w:val="18"/>
              </w:rPr>
            </w:pPr>
            <w:r>
              <w:rPr>
                <w:rFonts w:hint="eastAsia" w:ascii="宋体" w:hAnsi="宋体" w:eastAsia="宋体" w:cs="Times New Roman"/>
                <w:smallCaps w:val="0"/>
                <w:kern w:val="0"/>
                <w:sz w:val="18"/>
                <w:szCs w:val="18"/>
              </w:rPr>
              <w:t>注：</w:t>
            </w:r>
            <w:r>
              <w:rPr>
                <w:rFonts w:hint="eastAsia" w:ascii="宋体" w:hAnsi="宋体" w:eastAsia="宋体" w:cs="Times New Roman"/>
                <w:smallCaps w:val="0"/>
                <w:kern w:val="0"/>
                <w:sz w:val="18"/>
                <w:szCs w:val="18"/>
                <w:vertAlign w:val="superscript"/>
              </w:rPr>
              <w:t>a</w:t>
            </w:r>
            <w:r>
              <w:rPr>
                <w:rFonts w:hint="eastAsia" w:ascii="宋体" w:hAnsi="Times New Roman" w:eastAsia="宋体" w:cs="Times New Roman"/>
                <w:smallCaps w:val="0"/>
                <w:kern w:val="0"/>
                <w:sz w:val="18"/>
                <w:szCs w:val="18"/>
              </w:rPr>
              <w:t>18种多环芳烃的具体名称:萘、苊烯、苊、芴、菲、蒽、荧蒽、芘、苯并[a]蒽、䓛、苯并[b]荧蒽、苯并[j]荧蒽、苯并[k]荧蒽、苯并[a]芘、苯并[e]芘、茚并[1,2,3-cd]芘、二苯并[a,h]蒽、苯并[g,h,i]芘。</w:t>
            </w:r>
          </w:p>
        </w:tc>
      </w:tr>
    </w:tbl>
    <w:p>
      <w:pPr>
        <w:spacing w:before="156" w:beforeLines="50" w:after="156" w:afterLines="50"/>
        <w:ind w:firstLine="420" w:firstLineChars="200"/>
        <w:outlineLvl w:val="4"/>
        <w:rPr>
          <w:rFonts w:ascii="宋体" w:hAnsi="宋体" w:eastAsia="宋体" w:cs="宋体"/>
          <w:smallCaps w:val="0"/>
          <w:kern w:val="0"/>
          <w:sz w:val="21"/>
          <w:szCs w:val="21"/>
        </w:rPr>
      </w:pPr>
      <w:r>
        <w:rPr>
          <w:rFonts w:hint="eastAsia" w:ascii="宋体" w:hAnsi="宋体" w:eastAsia="宋体" w:cs="宋体"/>
          <w:smallCaps w:val="0"/>
          <w:kern w:val="0"/>
          <w:sz w:val="21"/>
          <w:szCs w:val="21"/>
        </w:rPr>
        <w:t>使用合成材料面层的健身步道表面应无裂痕、无分层、粘接牢固，无空鼓。场地的标志线应清晰，无明显虚边，颜色宜为白色。</w:t>
      </w:r>
    </w:p>
    <w:p>
      <w:pPr>
        <w:spacing w:before="156" w:beforeLines="50" w:after="156" w:afterLines="50"/>
        <w:ind w:firstLine="420" w:firstLineChars="200"/>
        <w:rPr>
          <w:rFonts w:ascii="宋体" w:hAnsi="宋体" w:eastAsia="宋体"/>
          <w:sz w:val="21"/>
          <w:szCs w:val="21"/>
        </w:rPr>
      </w:pPr>
      <w:r>
        <w:rPr>
          <w:rFonts w:hint="eastAsia" w:ascii="黑体" w:hAnsi="黑体" w:eastAsia="黑体" w:cs="黑体"/>
          <w:smallCaps w:val="0"/>
          <w:kern w:val="0"/>
          <w:sz w:val="21"/>
          <w:szCs w:val="21"/>
        </w:rPr>
        <w:t xml:space="preserve">8.1.6  </w:t>
      </w:r>
      <w:r>
        <w:rPr>
          <w:rFonts w:hint="eastAsia" w:ascii="宋体" w:hAnsi="宋体" w:eastAsia="宋体"/>
          <w:sz w:val="21"/>
          <w:szCs w:val="21"/>
        </w:rPr>
        <w:t>混凝土路面性能指标应符合《城镇道路路面设计规范》的要求，具体性能指标对比详见表7。</w:t>
      </w:r>
    </w:p>
    <w:p>
      <w:pPr>
        <w:rPr>
          <w:rFonts w:ascii="宋体" w:hAnsi="宋体" w:eastAsia="宋体"/>
          <w:sz w:val="21"/>
          <w:szCs w:val="21"/>
        </w:rPr>
      </w:pPr>
    </w:p>
    <w:p>
      <w:pPr>
        <w:jc w:val="center"/>
        <w:rPr>
          <w:rFonts w:ascii="宋体" w:hAnsi="宋体" w:eastAsia="宋体"/>
          <w:b/>
          <w:sz w:val="21"/>
          <w:szCs w:val="21"/>
        </w:rPr>
      </w:pPr>
      <w:r>
        <w:rPr>
          <w:rFonts w:hint="eastAsia" w:ascii="宋体" w:hAnsi="宋体" w:eastAsia="宋体"/>
          <w:b/>
          <w:sz w:val="21"/>
          <w:szCs w:val="21"/>
        </w:rPr>
        <w:t>表7： 混凝土路面性能指标对比表</w:t>
      </w:r>
    </w:p>
    <w:tbl>
      <w:tblPr>
        <w:tblStyle w:val="15"/>
        <w:tblW w:w="84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0"/>
        <w:gridCol w:w="1635"/>
        <w:gridCol w:w="2402"/>
        <w:gridCol w:w="3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5397" w:type="dxa"/>
            <w:gridSpan w:val="3"/>
            <w:vMerge w:val="restart"/>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性能</w:t>
            </w:r>
          </w:p>
        </w:tc>
        <w:tc>
          <w:tcPr>
            <w:tcW w:w="3003"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5397" w:type="dxa"/>
            <w:gridSpan w:val="3"/>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3003"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《城镇道路路面设计规范》（CJJ169）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5397" w:type="dxa"/>
            <w:gridSpan w:val="3"/>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3003"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支路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5397" w:type="dxa"/>
            <w:gridSpan w:val="3"/>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厚度/mm</w:t>
            </w:r>
          </w:p>
        </w:tc>
        <w:tc>
          <w:tcPr>
            <w:tcW w:w="3003"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5397" w:type="dxa"/>
            <w:gridSpan w:val="3"/>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弯拉强度（28d）/MPs</w:t>
            </w:r>
          </w:p>
        </w:tc>
        <w:tc>
          <w:tcPr>
            <w:tcW w:w="3003"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1360" w:type="dxa"/>
            <w:vMerge w:val="restart"/>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最小单位水泥用量</w:t>
            </w:r>
          </w:p>
        </w:tc>
        <w:tc>
          <w:tcPr>
            <w:tcW w:w="1635" w:type="dxa"/>
            <w:vMerge w:val="restart"/>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非冰冻地区/（kg/m</w:t>
            </w:r>
            <w:r>
              <w:rPr>
                <w:rFonts w:hint="eastAsia" w:ascii="宋体" w:hAnsi="宋体" w:eastAsia="宋体" w:cs="Times New Roman"/>
                <w:sz w:val="18"/>
                <w:szCs w:val="18"/>
                <w:vertAlign w:val="superscript"/>
              </w:rPr>
              <w:t>3</w:t>
            </w:r>
            <w:r>
              <w:rPr>
                <w:rFonts w:hint="eastAsia" w:ascii="宋体" w:hAnsi="宋体" w:eastAsia="宋体" w:cs="Times New Roman"/>
                <w:sz w:val="18"/>
                <w:szCs w:val="18"/>
              </w:rPr>
              <w:t>）</w:t>
            </w:r>
          </w:p>
        </w:tc>
        <w:tc>
          <w:tcPr>
            <w:tcW w:w="2402"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42.5级水泥</w:t>
            </w:r>
          </w:p>
        </w:tc>
        <w:tc>
          <w:tcPr>
            <w:tcW w:w="3003"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1360" w:type="dxa"/>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1635" w:type="dxa"/>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2402"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32.5级水泥</w:t>
            </w:r>
          </w:p>
        </w:tc>
        <w:tc>
          <w:tcPr>
            <w:tcW w:w="3003"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1360" w:type="dxa"/>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1635" w:type="dxa"/>
            <w:vMerge w:val="restart"/>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冰冻地区/（kg/m</w:t>
            </w:r>
            <w:r>
              <w:rPr>
                <w:rFonts w:hint="eastAsia" w:ascii="宋体" w:hAnsi="宋体" w:eastAsia="宋体" w:cs="Times New Roman"/>
                <w:sz w:val="18"/>
                <w:szCs w:val="18"/>
                <w:vertAlign w:val="superscript"/>
              </w:rPr>
              <w:t>3</w:t>
            </w:r>
            <w:r>
              <w:rPr>
                <w:rFonts w:hint="eastAsia" w:ascii="宋体" w:hAnsi="宋体" w:eastAsia="宋体" w:cs="Times New Roman"/>
                <w:sz w:val="18"/>
                <w:szCs w:val="18"/>
              </w:rPr>
              <w:t>）</w:t>
            </w:r>
          </w:p>
        </w:tc>
        <w:tc>
          <w:tcPr>
            <w:tcW w:w="2402"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42.5级水泥</w:t>
            </w:r>
          </w:p>
        </w:tc>
        <w:tc>
          <w:tcPr>
            <w:tcW w:w="3003"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1360" w:type="dxa"/>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1635" w:type="dxa"/>
            <w:vMerge w:val="continue"/>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p>
        </w:tc>
        <w:tc>
          <w:tcPr>
            <w:tcW w:w="2402"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32.5级水泥</w:t>
            </w:r>
          </w:p>
        </w:tc>
        <w:tc>
          <w:tcPr>
            <w:tcW w:w="3003"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397" w:type="dxa"/>
            <w:gridSpan w:val="3"/>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耐磨性/（kg/m</w:t>
            </w:r>
            <w:r>
              <w:rPr>
                <w:rFonts w:hint="eastAsia" w:ascii="宋体" w:hAnsi="宋体" w:eastAsia="宋体" w:cs="Times New Roman"/>
                <w:sz w:val="18"/>
                <w:szCs w:val="18"/>
                <w:vertAlign w:val="superscript"/>
              </w:rPr>
              <w:t>2</w:t>
            </w:r>
            <w:r>
              <w:rPr>
                <w:rFonts w:hint="eastAsia" w:ascii="宋体" w:hAnsi="宋体" w:eastAsia="宋体" w:cs="Times New Roman"/>
                <w:sz w:val="18"/>
                <w:szCs w:val="18"/>
              </w:rPr>
              <w:t>）</w:t>
            </w:r>
          </w:p>
        </w:tc>
        <w:tc>
          <w:tcPr>
            <w:tcW w:w="3003" w:type="dxa"/>
            <w:vAlign w:val="center"/>
          </w:tcPr>
          <w:p>
            <w:pPr>
              <w:widowControl/>
              <w:tabs>
                <w:tab w:val="center" w:pos="4201"/>
                <w:tab w:val="right" w:leader="dot" w:pos="9298"/>
              </w:tabs>
              <w:autoSpaceDE w:val="0"/>
              <w:autoSpaceDN w:val="0"/>
              <w:jc w:val="center"/>
              <w:rPr>
                <w:rFonts w:ascii="宋体" w:hAnsi="宋体" w:eastAsia="宋体" w:cs="Times New Roman"/>
                <w:sz w:val="18"/>
                <w:szCs w:val="18"/>
              </w:rPr>
            </w:pPr>
            <w:r>
              <w:rPr>
                <w:rFonts w:hint="eastAsia" w:ascii="宋体" w:hAnsi="宋体" w:eastAsia="宋体" w:cs="Times New Roman"/>
                <w:sz w:val="18"/>
                <w:szCs w:val="18"/>
              </w:rPr>
              <w:t>-</w:t>
            </w:r>
          </w:p>
        </w:tc>
      </w:tr>
    </w:tbl>
    <w:p>
      <w:pPr>
        <w:spacing w:before="156" w:beforeLines="50" w:after="156" w:afterLines="50"/>
        <w:rPr>
          <w:rFonts w:ascii="宋体" w:hAnsi="宋体" w:eastAsia="宋体" w:cs="宋体"/>
          <w:smallCaps w:val="0"/>
          <w:kern w:val="0"/>
          <w:sz w:val="21"/>
          <w:szCs w:val="21"/>
        </w:rPr>
      </w:pPr>
      <w:r>
        <w:rPr>
          <w:rFonts w:hint="eastAsia" w:ascii="黑体" w:hAnsi="黑体" w:eastAsia="黑体" w:cs="黑体"/>
          <w:smallCaps w:val="0"/>
          <w:kern w:val="0"/>
          <w:sz w:val="21"/>
          <w:szCs w:val="21"/>
        </w:rPr>
        <w:t>8.1.7</w:t>
      </w:r>
      <w:r>
        <w:rPr>
          <w:rFonts w:hint="eastAsia" w:ascii="宋体" w:hAnsi="宋体" w:eastAsia="宋体" w:cs="宋体"/>
          <w:smallCaps w:val="0"/>
          <w:kern w:val="0"/>
          <w:sz w:val="21"/>
          <w:szCs w:val="21"/>
        </w:rPr>
        <w:t xml:space="preserve">  透水砖面层性能应符合《透水砖路面技术规程》（CJJ/T188）的要求，具体性能应符合表8的规定。</w:t>
      </w:r>
    </w:p>
    <w:p>
      <w:pPr>
        <w:jc w:val="center"/>
        <w:rPr>
          <w:rFonts w:ascii="宋体" w:hAnsi="宋体" w:eastAsia="宋体"/>
          <w:b/>
          <w:sz w:val="21"/>
          <w:szCs w:val="21"/>
        </w:rPr>
      </w:pPr>
      <w:bookmarkStart w:id="31" w:name="_Toc11499_WPSOffice_Level3"/>
      <w:bookmarkStart w:id="32" w:name="_Toc12711_WPSOffice_Level3"/>
      <w:bookmarkStart w:id="33" w:name="_Toc442_WPSOffice_Level3"/>
      <w:bookmarkStart w:id="34" w:name="_Toc30912_WPSOffice_Level3"/>
      <w:bookmarkStart w:id="35" w:name="_Toc13689_WPSOffice_Level3"/>
      <w:r>
        <w:rPr>
          <w:rFonts w:hint="eastAsia" w:ascii="宋体" w:hAnsi="宋体" w:eastAsia="宋体"/>
          <w:b/>
          <w:sz w:val="21"/>
          <w:szCs w:val="21"/>
        </w:rPr>
        <w:t>表8：透水砖面层性能要求</w:t>
      </w:r>
      <w:bookmarkEnd w:id="31"/>
      <w:bookmarkEnd w:id="32"/>
      <w:bookmarkEnd w:id="33"/>
      <w:bookmarkEnd w:id="34"/>
      <w:bookmarkEnd w:id="35"/>
    </w:p>
    <w:tbl>
      <w:tblPr>
        <w:tblStyle w:val="14"/>
        <w:tblW w:w="8443" w:type="dxa"/>
        <w:tblInd w:w="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50"/>
        <w:gridCol w:w="2014"/>
        <w:gridCol w:w="40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364"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性能</w:t>
            </w:r>
          </w:p>
        </w:tc>
        <w:tc>
          <w:tcPr>
            <w:tcW w:w="4079"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364"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最小厚度/mm</w:t>
            </w:r>
          </w:p>
        </w:tc>
        <w:tc>
          <w:tcPr>
            <w:tcW w:w="4079"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50" w:type="dxa"/>
            <w:vMerge w:val="restart"/>
            <w:tcBorders>
              <w:top w:val="nil"/>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抗压强度/MPa</w:t>
            </w:r>
          </w:p>
        </w:tc>
        <w:tc>
          <w:tcPr>
            <w:tcW w:w="2014"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平均最小值</w:t>
            </w:r>
          </w:p>
        </w:tc>
        <w:tc>
          <w:tcPr>
            <w:tcW w:w="4079"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Times New Roman" w:eastAsia="宋体" w:cs="Times New Roman"/>
                <w:smallCaps w:val="0"/>
                <w:kern w:val="0"/>
                <w:sz w:val="21"/>
                <w:szCs w:val="21"/>
              </w:rPr>
            </w:pPr>
          </w:p>
        </w:tc>
        <w:tc>
          <w:tcPr>
            <w:tcW w:w="2014"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单块最小值</w:t>
            </w:r>
          </w:p>
        </w:tc>
        <w:tc>
          <w:tcPr>
            <w:tcW w:w="4079"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50" w:type="dxa"/>
            <w:vMerge w:val="restart"/>
            <w:tcBorders>
              <w:top w:val="nil"/>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抗折强度/MPa</w:t>
            </w:r>
          </w:p>
        </w:tc>
        <w:tc>
          <w:tcPr>
            <w:tcW w:w="2014"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平均最小值</w:t>
            </w:r>
          </w:p>
        </w:tc>
        <w:tc>
          <w:tcPr>
            <w:tcW w:w="4079"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Times New Roman" w:eastAsia="宋体" w:cs="Times New Roman"/>
                <w:smallCaps w:val="0"/>
                <w:kern w:val="0"/>
                <w:sz w:val="21"/>
                <w:szCs w:val="21"/>
              </w:rPr>
            </w:pPr>
          </w:p>
        </w:tc>
        <w:tc>
          <w:tcPr>
            <w:tcW w:w="2014"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单块最小值</w:t>
            </w:r>
          </w:p>
        </w:tc>
        <w:tc>
          <w:tcPr>
            <w:tcW w:w="4079"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364"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透水系数/（cm/s）</w:t>
            </w:r>
          </w:p>
        </w:tc>
        <w:tc>
          <w:tcPr>
            <w:tcW w:w="4079"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1.0X10</w:t>
            </w:r>
            <w:r>
              <w:rPr>
                <w:rFonts w:hint="eastAsia" w:ascii="宋体" w:hAnsi="Times New Roman" w:eastAsia="宋体" w:cs="Times New Roman"/>
                <w:smallCaps w:val="0"/>
                <w:sz w:val="21"/>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364"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耐磨性/mm</w:t>
            </w:r>
          </w:p>
        </w:tc>
        <w:tc>
          <w:tcPr>
            <w:tcW w:w="4079"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9" w:hRule="atLeast"/>
        </w:trPr>
        <w:tc>
          <w:tcPr>
            <w:tcW w:w="4364" w:type="dxa"/>
            <w:gridSpan w:val="2"/>
            <w:vMerge w:val="restart"/>
            <w:tcBorders>
              <w:top w:val="nil"/>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抗冻性</w:t>
            </w:r>
          </w:p>
        </w:tc>
        <w:tc>
          <w:tcPr>
            <w:tcW w:w="4079"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经25次冻融实验的质量损失率≤0.5kg/m</w:t>
            </w:r>
            <w:r>
              <w:rPr>
                <w:rFonts w:hint="eastAsia" w:ascii="宋体" w:hAnsi="Times New Roman" w:eastAsia="宋体" w:cs="Times New Roman"/>
                <w:smallCaps w:val="0"/>
                <w:sz w:val="21"/>
                <w:vertAlign w:val="superscript"/>
              </w:rPr>
              <w:t>2</w:t>
            </w:r>
            <w:r>
              <w:rPr>
                <w:rFonts w:hint="eastAsia" w:ascii="宋体" w:hAnsi="Times New Roman" w:eastAsia="宋体" w:cs="Times New Roman"/>
                <w:smallCaps w:val="0"/>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9" w:hRule="atLeast"/>
        </w:trPr>
        <w:tc>
          <w:tcPr>
            <w:tcW w:w="436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Times New Roman" w:eastAsia="宋体" w:cs="Times New Roman"/>
                <w:smallCaps w:val="0"/>
                <w:kern w:val="0"/>
                <w:sz w:val="21"/>
                <w:szCs w:val="21"/>
              </w:rPr>
            </w:pPr>
          </w:p>
        </w:tc>
        <w:tc>
          <w:tcPr>
            <w:tcW w:w="4079"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经25次冻融实验的抗压强度损失≤20%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364"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接缝/mm</w:t>
            </w:r>
          </w:p>
        </w:tc>
        <w:tc>
          <w:tcPr>
            <w:tcW w:w="4079"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364"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防滑系数BPN</w:t>
            </w:r>
          </w:p>
        </w:tc>
        <w:tc>
          <w:tcPr>
            <w:tcW w:w="4079"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≥60</w:t>
            </w:r>
          </w:p>
        </w:tc>
      </w:tr>
    </w:tbl>
    <w:p>
      <w:pPr>
        <w:spacing w:before="156" w:beforeLines="50" w:after="156" w:afterLines="50"/>
        <w:ind w:firstLine="420" w:firstLineChars="200"/>
        <w:rPr>
          <w:rFonts w:ascii="宋体" w:hAnsi="宋体" w:eastAsia="宋体" w:cs="宋体"/>
          <w:smallCaps w:val="0"/>
          <w:kern w:val="0"/>
          <w:sz w:val="21"/>
          <w:szCs w:val="21"/>
        </w:rPr>
      </w:pPr>
      <w:r>
        <w:rPr>
          <w:rFonts w:hint="eastAsia" w:ascii="宋体" w:hAnsi="宋体" w:eastAsia="宋体" w:cs="宋体"/>
          <w:smallCaps w:val="0"/>
          <w:kern w:val="0"/>
          <w:sz w:val="21"/>
          <w:szCs w:val="21"/>
        </w:rPr>
        <w:t>混土预制砌块宜采用普通型混凝土砌块和连锁型混凝土砌块，性能应符合《城镇道路路面设计规范》（CJJ169）的要求，具体性能应符合表9的规定。</w:t>
      </w:r>
    </w:p>
    <w:p>
      <w:pPr>
        <w:jc w:val="center"/>
        <w:rPr>
          <w:rFonts w:ascii="宋体" w:hAnsi="宋体" w:eastAsia="宋体"/>
          <w:b/>
          <w:sz w:val="21"/>
          <w:szCs w:val="21"/>
        </w:rPr>
      </w:pPr>
      <w:bookmarkStart w:id="36" w:name="_Toc5348_WPSOffice_Level3"/>
      <w:bookmarkStart w:id="37" w:name="_Toc8256_WPSOffice_Level3"/>
      <w:bookmarkStart w:id="38" w:name="_Toc3518_WPSOffice_Level3"/>
      <w:bookmarkStart w:id="39" w:name="_Toc19159_WPSOffice_Level3"/>
      <w:bookmarkStart w:id="40" w:name="_Toc7060_WPSOffice_Level3"/>
      <w:r>
        <w:rPr>
          <w:rFonts w:hint="eastAsia" w:ascii="宋体" w:hAnsi="宋体" w:eastAsia="宋体"/>
          <w:b/>
          <w:sz w:val="21"/>
          <w:szCs w:val="21"/>
        </w:rPr>
        <w:t>表9：混土预制砌块面层性能要求</w:t>
      </w:r>
      <w:bookmarkEnd w:id="36"/>
      <w:bookmarkEnd w:id="37"/>
      <w:bookmarkEnd w:id="38"/>
      <w:bookmarkEnd w:id="39"/>
      <w:bookmarkEnd w:id="40"/>
    </w:p>
    <w:tbl>
      <w:tblPr>
        <w:tblStyle w:val="14"/>
        <w:tblW w:w="8414" w:type="dxa"/>
        <w:tblInd w:w="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37"/>
        <w:gridCol w:w="1740"/>
        <w:gridCol w:w="45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87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性能</w:t>
            </w:r>
          </w:p>
        </w:tc>
        <w:tc>
          <w:tcPr>
            <w:tcW w:w="4537"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87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最小厚度/mm</w:t>
            </w:r>
          </w:p>
        </w:tc>
        <w:tc>
          <w:tcPr>
            <w:tcW w:w="4537"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7" w:type="dxa"/>
            <w:vMerge w:val="restart"/>
            <w:tcBorders>
              <w:top w:val="nil"/>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抗压强度/MPa</w:t>
            </w:r>
          </w:p>
        </w:tc>
        <w:tc>
          <w:tcPr>
            <w:tcW w:w="1740"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平均最小值</w:t>
            </w:r>
          </w:p>
        </w:tc>
        <w:tc>
          <w:tcPr>
            <w:tcW w:w="4537"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Times New Roman" w:eastAsia="宋体" w:cs="Times New Roman"/>
                <w:smallCaps w:val="0"/>
                <w:kern w:val="0"/>
                <w:sz w:val="21"/>
                <w:szCs w:val="21"/>
              </w:rPr>
            </w:pPr>
          </w:p>
        </w:tc>
        <w:tc>
          <w:tcPr>
            <w:tcW w:w="1740"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单块最小值</w:t>
            </w:r>
          </w:p>
        </w:tc>
        <w:tc>
          <w:tcPr>
            <w:tcW w:w="4537"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7" w:type="dxa"/>
            <w:vMerge w:val="restart"/>
            <w:tcBorders>
              <w:top w:val="nil"/>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抗折强度/MPa</w:t>
            </w:r>
          </w:p>
        </w:tc>
        <w:tc>
          <w:tcPr>
            <w:tcW w:w="1740"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平均最小值</w:t>
            </w:r>
          </w:p>
        </w:tc>
        <w:tc>
          <w:tcPr>
            <w:tcW w:w="4537"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Times New Roman" w:eastAsia="宋体" w:cs="Times New Roman"/>
                <w:smallCaps w:val="0"/>
                <w:kern w:val="0"/>
                <w:sz w:val="21"/>
                <w:szCs w:val="21"/>
              </w:rPr>
            </w:pPr>
          </w:p>
        </w:tc>
        <w:tc>
          <w:tcPr>
            <w:tcW w:w="1740"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单块最小值</w:t>
            </w:r>
          </w:p>
        </w:tc>
        <w:tc>
          <w:tcPr>
            <w:tcW w:w="4537"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87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吸水性/%</w:t>
            </w:r>
          </w:p>
        </w:tc>
        <w:tc>
          <w:tcPr>
            <w:tcW w:w="4537"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87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磨坑长度/mm</w:t>
            </w:r>
          </w:p>
        </w:tc>
        <w:tc>
          <w:tcPr>
            <w:tcW w:w="4537"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3" w:hRule="atLeast"/>
        </w:trPr>
        <w:tc>
          <w:tcPr>
            <w:tcW w:w="3877" w:type="dxa"/>
            <w:gridSpan w:val="2"/>
            <w:vMerge w:val="restart"/>
            <w:tcBorders>
              <w:top w:val="nil"/>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抗冻性/%</w:t>
            </w:r>
          </w:p>
        </w:tc>
        <w:tc>
          <w:tcPr>
            <w:tcW w:w="4537"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经5次冻融实验的质量损失率≤3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3" w:hRule="atLeast"/>
        </w:trPr>
        <w:tc>
          <w:tcPr>
            <w:tcW w:w="3877"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Times New Roman" w:eastAsia="宋体" w:cs="Times New Roman"/>
                <w:smallCaps w:val="0"/>
                <w:kern w:val="0"/>
                <w:sz w:val="21"/>
                <w:szCs w:val="21"/>
              </w:rPr>
            </w:pPr>
          </w:p>
        </w:tc>
        <w:tc>
          <w:tcPr>
            <w:tcW w:w="4537"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经5次冻融实验的强度损失≤20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87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接缝/mm</w:t>
            </w:r>
          </w:p>
        </w:tc>
        <w:tc>
          <w:tcPr>
            <w:tcW w:w="4537"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87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防滑系数BPN</w:t>
            </w:r>
          </w:p>
        </w:tc>
        <w:tc>
          <w:tcPr>
            <w:tcW w:w="4537"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≥60</w:t>
            </w:r>
          </w:p>
        </w:tc>
      </w:tr>
    </w:tbl>
    <w:p>
      <w:pPr>
        <w:spacing w:before="156" w:beforeLines="50" w:after="156" w:afterLines="50"/>
        <w:ind w:firstLine="420" w:firstLineChars="200"/>
        <w:rPr>
          <w:rFonts w:ascii="宋体" w:hAnsi="宋体" w:eastAsia="宋体" w:cs="宋体"/>
          <w:smallCaps w:val="0"/>
          <w:kern w:val="0"/>
          <w:sz w:val="21"/>
          <w:szCs w:val="21"/>
        </w:rPr>
      </w:pPr>
      <w:r>
        <w:rPr>
          <w:rFonts w:hint="eastAsia" w:ascii="宋体" w:hAnsi="宋体" w:eastAsia="宋体" w:cs="宋体"/>
          <w:smallCaps w:val="0"/>
          <w:kern w:val="0"/>
          <w:sz w:val="21"/>
          <w:szCs w:val="21"/>
        </w:rPr>
        <w:t>天然石材面层应性能应符合《城镇道路路面设计规范》（CJJ169）的要求，具体性能应符合表10的规定。</w:t>
      </w:r>
    </w:p>
    <w:p>
      <w:pPr>
        <w:jc w:val="center"/>
        <w:rPr>
          <w:rFonts w:ascii="宋体" w:hAnsi="宋体" w:eastAsia="宋体"/>
          <w:b/>
          <w:sz w:val="21"/>
          <w:szCs w:val="21"/>
        </w:rPr>
      </w:pPr>
      <w:bookmarkStart w:id="41" w:name="_Toc9950_WPSOffice_Level3"/>
      <w:bookmarkStart w:id="42" w:name="_Toc23517_WPSOffice_Level3"/>
      <w:bookmarkStart w:id="43" w:name="_Toc9880_WPSOffice_Level3"/>
      <w:bookmarkStart w:id="44" w:name="_Toc10974_WPSOffice_Level3"/>
      <w:bookmarkStart w:id="45" w:name="_Toc17034_WPSOffice_Level3"/>
      <w:r>
        <w:rPr>
          <w:rFonts w:hint="eastAsia" w:ascii="宋体" w:hAnsi="宋体" w:eastAsia="宋体"/>
          <w:b/>
          <w:sz w:val="21"/>
          <w:szCs w:val="21"/>
        </w:rPr>
        <w:t>表10：天然石材面层性能要求</w:t>
      </w:r>
      <w:bookmarkEnd w:id="41"/>
      <w:bookmarkEnd w:id="42"/>
      <w:bookmarkEnd w:id="43"/>
      <w:bookmarkEnd w:id="44"/>
      <w:bookmarkEnd w:id="45"/>
    </w:p>
    <w:tbl>
      <w:tblPr>
        <w:tblStyle w:val="14"/>
        <w:tblW w:w="8443" w:type="dxa"/>
        <w:tblInd w:w="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12"/>
        <w:gridCol w:w="45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9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Cs/>
                <w:sz w:val="21"/>
                <w:szCs w:val="21"/>
              </w:rPr>
            </w:pPr>
            <w:r>
              <w:rPr>
                <w:rFonts w:hint="eastAsia" w:ascii="宋体" w:hAnsi="宋体" w:eastAsia="宋体"/>
                <w:bCs/>
                <w:sz w:val="21"/>
                <w:szCs w:val="21"/>
              </w:rPr>
              <w:t>性能</w:t>
            </w:r>
          </w:p>
        </w:tc>
        <w:tc>
          <w:tcPr>
            <w:tcW w:w="4531" w:type="dxa"/>
            <w:tcBorders>
              <w:top w:val="single" w:color="auto" w:sz="4" w:space="0"/>
              <w:left w:val="nil"/>
              <w:bottom w:val="single" w:color="auto" w:sz="4" w:space="0"/>
              <w:right w:val="single" w:color="auto" w:sz="4" w:space="0"/>
            </w:tcBorders>
            <w:vAlign w:val="center"/>
          </w:tcPr>
          <w:p>
            <w:pPr>
              <w:jc w:val="center"/>
              <w:rPr>
                <w:rFonts w:ascii="宋体" w:hAnsi="宋体" w:eastAsia="宋体"/>
                <w:bCs/>
                <w:sz w:val="21"/>
                <w:szCs w:val="21"/>
              </w:rPr>
            </w:pPr>
            <w:r>
              <w:rPr>
                <w:rFonts w:hint="eastAsia" w:ascii="宋体" w:hAnsi="宋体" w:eastAsia="宋体"/>
                <w:bCs/>
                <w:sz w:val="21"/>
                <w:szCs w:val="21"/>
              </w:rPr>
              <w:t>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91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最小厚度/mm</w:t>
            </w:r>
          </w:p>
        </w:tc>
        <w:tc>
          <w:tcPr>
            <w:tcW w:w="453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91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抗压强度/MPa</w:t>
            </w:r>
          </w:p>
        </w:tc>
        <w:tc>
          <w:tcPr>
            <w:tcW w:w="453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≥120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91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抗折强度/MPa</w:t>
            </w:r>
          </w:p>
        </w:tc>
        <w:tc>
          <w:tcPr>
            <w:tcW w:w="453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91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体积密度/（g/cm</w:t>
            </w:r>
            <w:r>
              <w:rPr>
                <w:rFonts w:hint="eastAsia" w:ascii="宋体" w:hAnsi="Times New Roman" w:eastAsia="宋体" w:cs="Times New Roman"/>
                <w:smallCaps w:val="0"/>
                <w:sz w:val="21"/>
                <w:vertAlign w:val="superscript"/>
              </w:rPr>
              <w:t>3</w:t>
            </w:r>
            <w:r>
              <w:rPr>
                <w:rFonts w:hint="eastAsia" w:ascii="宋体" w:hAnsi="Times New Roman" w:eastAsia="宋体" w:cs="Times New Roman"/>
                <w:smallCaps w:val="0"/>
                <w:sz w:val="21"/>
              </w:rPr>
              <w:t>）</w:t>
            </w:r>
          </w:p>
        </w:tc>
        <w:tc>
          <w:tcPr>
            <w:tcW w:w="453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91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吸水率、%</w:t>
            </w:r>
          </w:p>
        </w:tc>
        <w:tc>
          <w:tcPr>
            <w:tcW w:w="453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91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抗冻性</w:t>
            </w:r>
          </w:p>
        </w:tc>
        <w:tc>
          <w:tcPr>
            <w:tcW w:w="453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冻融循环50次，无明显损失（裂纹、脱皮）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91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磨耗率（狄法尔法）/%</w:t>
            </w:r>
          </w:p>
        </w:tc>
        <w:tc>
          <w:tcPr>
            <w:tcW w:w="453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91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坚固性（硫酸钠侵蚀）/%</w:t>
            </w:r>
          </w:p>
        </w:tc>
        <w:tc>
          <w:tcPr>
            <w:tcW w:w="453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质量损失≤15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91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硬度（莫氏）</w:t>
            </w:r>
          </w:p>
        </w:tc>
        <w:tc>
          <w:tcPr>
            <w:tcW w:w="453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91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孔隙率/%</w:t>
            </w:r>
          </w:p>
        </w:tc>
        <w:tc>
          <w:tcPr>
            <w:tcW w:w="453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91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防滑系数BPN</w:t>
            </w:r>
          </w:p>
        </w:tc>
        <w:tc>
          <w:tcPr>
            <w:tcW w:w="453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Times New Roman" w:eastAsia="宋体" w:cs="Times New Roman"/>
                <w:smallCaps w:val="0"/>
                <w:sz w:val="21"/>
              </w:rPr>
            </w:pPr>
            <w:r>
              <w:rPr>
                <w:rFonts w:hint="eastAsia" w:ascii="宋体" w:hAnsi="Times New Roman" w:eastAsia="宋体" w:cs="Times New Roman"/>
                <w:smallCaps w:val="0"/>
                <w:sz w:val="21"/>
              </w:rPr>
              <w:t>≥60</w:t>
            </w:r>
          </w:p>
        </w:tc>
      </w:tr>
    </w:tbl>
    <w:p>
      <w:pPr>
        <w:snapToGrid w:val="0"/>
        <w:spacing w:before="156" w:beforeLines="50" w:after="156" w:afterLines="50"/>
        <w:rPr>
          <w:rFonts w:ascii="宋体" w:hAnsi="宋体" w:eastAsia="宋体" w:cs="Times New Roman"/>
          <w:smallCaps w:val="0"/>
          <w:sz w:val="21"/>
          <w:szCs w:val="21"/>
        </w:rPr>
      </w:pPr>
      <w:r>
        <w:rPr>
          <w:rFonts w:hint="eastAsia" w:ascii="黑体" w:hAnsi="黑体" w:eastAsia="黑体" w:cs="黑体"/>
          <w:smallCaps w:val="0"/>
          <w:kern w:val="0"/>
          <w:sz w:val="21"/>
          <w:szCs w:val="21"/>
        </w:rPr>
        <w:t>8.1.8</w:t>
      </w:r>
      <w:r>
        <w:rPr>
          <w:rFonts w:hint="eastAsia" w:ascii="宋体" w:hAnsi="宋体" w:eastAsia="宋体" w:cs="宋体"/>
          <w:smallCaps w:val="0"/>
          <w:kern w:val="0"/>
          <w:sz w:val="21"/>
          <w:szCs w:val="21"/>
        </w:rPr>
        <w:t xml:space="preserve"> </w:t>
      </w:r>
      <w:r>
        <w:rPr>
          <w:rFonts w:hint="eastAsia" w:ascii="宋体" w:hAnsi="宋体" w:eastAsia="宋体" w:cs="Times New Roman"/>
          <w:smallCaps w:val="0"/>
          <w:sz w:val="21"/>
          <w:szCs w:val="21"/>
        </w:rPr>
        <w:t>使用经防腐处理的木材，性能应符合《防腐木材的使用分类和要求》（GB/T 27651）中C3.1防腐木材的要求，具体性能应符合表1:1的规定。</w:t>
      </w:r>
    </w:p>
    <w:p>
      <w:pPr>
        <w:jc w:val="center"/>
        <w:rPr>
          <w:rFonts w:ascii="宋体" w:hAnsi="宋体" w:eastAsia="宋体"/>
          <w:b/>
          <w:sz w:val="21"/>
          <w:szCs w:val="21"/>
        </w:rPr>
      </w:pPr>
      <w:bookmarkStart w:id="46" w:name="_Toc32534_WPSOffice_Level3"/>
      <w:bookmarkStart w:id="47" w:name="_Toc13618_WPSOffice_Level3"/>
      <w:bookmarkStart w:id="48" w:name="_Toc10551_WPSOffice_Level3"/>
      <w:bookmarkStart w:id="49" w:name="_Toc21504_WPSOffice_Level3"/>
      <w:bookmarkStart w:id="50" w:name="_Toc32403_WPSOffice_Level3"/>
      <w:r>
        <w:rPr>
          <w:rFonts w:hint="eastAsia" w:ascii="宋体" w:hAnsi="宋体" w:eastAsia="宋体"/>
          <w:b/>
          <w:sz w:val="21"/>
          <w:szCs w:val="21"/>
        </w:rPr>
        <w:t>表11：木板面层性能要求</w:t>
      </w:r>
      <w:bookmarkEnd w:id="46"/>
      <w:bookmarkEnd w:id="47"/>
      <w:bookmarkEnd w:id="48"/>
      <w:bookmarkEnd w:id="49"/>
      <w:bookmarkEnd w:id="50"/>
    </w:p>
    <w:tbl>
      <w:tblPr>
        <w:tblStyle w:val="14"/>
        <w:tblW w:w="8442" w:type="dxa"/>
        <w:tblInd w:w="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59"/>
        <w:gridCol w:w="46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性能</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使用条件</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户外，但不接触土壤，表面无保护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三氧化二硼/（kg/m</w:t>
            </w:r>
            <w:r>
              <w:rPr>
                <w:rFonts w:hint="eastAsia" w:ascii="宋体" w:hAnsi="宋体" w:eastAsia="宋体" w:cs="Times New Roman"/>
                <w:smallCaps w:val="0"/>
                <w:sz w:val="21"/>
                <w:vertAlign w:val="superscript"/>
              </w:rPr>
              <w:t>3</w:t>
            </w:r>
            <w:r>
              <w:rPr>
                <w:rFonts w:hint="eastAsia" w:ascii="宋体" w:hAnsi="宋体" w:eastAsia="宋体" w:cs="Times New Roman"/>
                <w:smallCaps w:val="0"/>
                <w:sz w:val="21"/>
              </w:rPr>
              <w:t>）</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不建议使用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氧化铜/（kg/m</w:t>
            </w:r>
            <w:r>
              <w:rPr>
                <w:rFonts w:hint="eastAsia" w:ascii="宋体" w:hAnsi="宋体" w:eastAsia="宋体" w:cs="Times New Roman"/>
                <w:smallCaps w:val="0"/>
                <w:sz w:val="21"/>
                <w:vertAlign w:val="superscript"/>
              </w:rPr>
              <w:t>3</w:t>
            </w:r>
            <w:r>
              <w:rPr>
                <w:rFonts w:hint="eastAsia" w:ascii="宋体" w:hAnsi="宋体" w:eastAsia="宋体" w:cs="Times New Roman"/>
                <w:smallCaps w:val="0"/>
                <w:sz w:val="21"/>
              </w:rPr>
              <w:t>）</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铜硼酸戊唑醇/（kg/m</w:t>
            </w:r>
            <w:r>
              <w:rPr>
                <w:rFonts w:hint="eastAsia" w:ascii="宋体" w:hAnsi="宋体" w:eastAsia="宋体" w:cs="Times New Roman"/>
                <w:smallCaps w:val="0"/>
                <w:sz w:val="21"/>
                <w:vertAlign w:val="superscript"/>
              </w:rPr>
              <w:t>3</w:t>
            </w:r>
            <w:r>
              <w:rPr>
                <w:rFonts w:hint="eastAsia" w:ascii="宋体" w:hAnsi="宋体" w:eastAsia="宋体" w:cs="Times New Roman"/>
                <w:smallCaps w:val="0"/>
                <w:sz w:val="21"/>
              </w:rPr>
              <w:t>）</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铜戊唑醇/（kg/m</w:t>
            </w:r>
            <w:r>
              <w:rPr>
                <w:rFonts w:hint="eastAsia" w:ascii="宋体" w:hAnsi="宋体" w:eastAsia="宋体" w:cs="Times New Roman"/>
                <w:smallCaps w:val="0"/>
                <w:sz w:val="21"/>
                <w:vertAlign w:val="superscript"/>
              </w:rPr>
              <w:t>3</w:t>
            </w:r>
            <w:r>
              <w:rPr>
                <w:rFonts w:hint="eastAsia" w:ascii="宋体" w:hAnsi="宋体" w:eastAsia="宋体" w:cs="Times New Roman"/>
                <w:smallCaps w:val="0"/>
                <w:sz w:val="21"/>
              </w:rPr>
              <w:t>）</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铜丙唑醇/（kg/m</w:t>
            </w:r>
            <w:r>
              <w:rPr>
                <w:rFonts w:hint="eastAsia" w:ascii="宋体" w:hAnsi="宋体" w:eastAsia="宋体" w:cs="Times New Roman"/>
                <w:smallCaps w:val="0"/>
                <w:sz w:val="21"/>
                <w:vertAlign w:val="superscript"/>
              </w:rPr>
              <w:t>3</w:t>
            </w:r>
            <w:r>
              <w:rPr>
                <w:rFonts w:hint="eastAsia" w:ascii="宋体" w:hAnsi="宋体" w:eastAsia="宋体" w:cs="Times New Roman"/>
                <w:smallCaps w:val="0"/>
                <w:sz w:val="21"/>
              </w:rPr>
              <w:t>）</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铜戊唑醇丙唑醇/（kg/m</w:t>
            </w:r>
            <w:r>
              <w:rPr>
                <w:rFonts w:hint="eastAsia" w:ascii="宋体" w:hAnsi="宋体" w:eastAsia="宋体" w:cs="Times New Roman"/>
                <w:smallCaps w:val="0"/>
                <w:sz w:val="21"/>
                <w:vertAlign w:val="superscript"/>
              </w:rPr>
              <w:t>3</w:t>
            </w:r>
            <w:r>
              <w:rPr>
                <w:rFonts w:hint="eastAsia" w:ascii="宋体" w:hAnsi="宋体" w:eastAsia="宋体" w:cs="Times New Roman"/>
                <w:smallCaps w:val="0"/>
                <w:sz w:val="21"/>
              </w:rPr>
              <w:t>）</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柠檬酸铜/（kg/m</w:t>
            </w:r>
            <w:r>
              <w:rPr>
                <w:rFonts w:hint="eastAsia" w:ascii="宋体" w:hAnsi="宋体" w:eastAsia="宋体" w:cs="Times New Roman"/>
                <w:smallCaps w:val="0"/>
                <w:sz w:val="21"/>
                <w:vertAlign w:val="superscript"/>
              </w:rPr>
              <w:t>3</w:t>
            </w:r>
            <w:r>
              <w:rPr>
                <w:rFonts w:hint="eastAsia" w:ascii="宋体" w:hAnsi="宋体" w:eastAsia="宋体" w:cs="Times New Roman"/>
                <w:smallCaps w:val="0"/>
                <w:sz w:val="21"/>
              </w:rPr>
              <w:t>）</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铜铬砷/（kg/m</w:t>
            </w:r>
            <w:r>
              <w:rPr>
                <w:rFonts w:hint="eastAsia" w:ascii="宋体" w:hAnsi="宋体" w:eastAsia="宋体" w:cs="Times New Roman"/>
                <w:smallCaps w:val="0"/>
                <w:sz w:val="21"/>
                <w:vertAlign w:val="superscript"/>
              </w:rPr>
              <w:t>3</w:t>
            </w:r>
            <w:r>
              <w:rPr>
                <w:rFonts w:hint="eastAsia" w:ascii="宋体" w:hAnsi="宋体" w:eastAsia="宋体" w:cs="Times New Roman"/>
                <w:smallCaps w:val="0"/>
                <w:sz w:val="21"/>
              </w:rPr>
              <w:t>）</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氧化铜硼酸/（kg/m</w:t>
            </w:r>
            <w:r>
              <w:rPr>
                <w:rFonts w:hint="eastAsia" w:ascii="宋体" w:hAnsi="宋体" w:eastAsia="宋体" w:cs="Times New Roman"/>
                <w:smallCaps w:val="0"/>
                <w:sz w:val="21"/>
                <w:vertAlign w:val="superscript"/>
              </w:rPr>
              <w:t>3</w:t>
            </w:r>
            <w:r>
              <w:rPr>
                <w:rFonts w:hint="eastAsia" w:ascii="宋体" w:hAnsi="宋体" w:eastAsia="宋体" w:cs="Times New Roman"/>
                <w:smallCaps w:val="0"/>
                <w:sz w:val="21"/>
              </w:rPr>
              <w:t>）</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戊唑醇/（kg/m</w:t>
            </w:r>
            <w:r>
              <w:rPr>
                <w:rFonts w:hint="eastAsia" w:ascii="宋体" w:hAnsi="宋体" w:eastAsia="宋体" w:cs="Times New Roman"/>
                <w:smallCaps w:val="0"/>
                <w:sz w:val="21"/>
                <w:vertAlign w:val="superscript"/>
              </w:rPr>
              <w:t>3</w:t>
            </w:r>
            <w:r>
              <w:rPr>
                <w:rFonts w:hint="eastAsia" w:ascii="宋体" w:hAnsi="宋体" w:eastAsia="宋体" w:cs="Times New Roman"/>
                <w:smallCaps w:val="0"/>
                <w:sz w:val="21"/>
              </w:rPr>
              <w:t>）</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≥0.24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唑醇啉/（kg/m</w:t>
            </w:r>
            <w:r>
              <w:rPr>
                <w:rFonts w:hint="eastAsia" w:ascii="宋体" w:hAnsi="宋体" w:eastAsia="宋体" w:cs="Times New Roman"/>
                <w:smallCaps w:val="0"/>
                <w:sz w:val="21"/>
                <w:vertAlign w:val="superscript"/>
              </w:rPr>
              <w:t>3</w:t>
            </w:r>
            <w:r>
              <w:rPr>
                <w:rFonts w:hint="eastAsia" w:ascii="宋体" w:hAnsi="宋体" w:eastAsia="宋体" w:cs="Times New Roman"/>
                <w:smallCaps w:val="0"/>
                <w:sz w:val="21"/>
              </w:rPr>
              <w:t>）</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≥0.29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8-羥基喹啉铜/（kg/m</w:t>
            </w:r>
            <w:r>
              <w:rPr>
                <w:rFonts w:hint="eastAsia" w:ascii="宋体" w:hAnsi="宋体" w:eastAsia="宋体" w:cs="Times New Roman"/>
                <w:smallCaps w:val="0"/>
                <w:sz w:val="21"/>
                <w:vertAlign w:val="superscript"/>
              </w:rPr>
              <w:t>3</w:t>
            </w:r>
            <w:r>
              <w:rPr>
                <w:rFonts w:hint="eastAsia" w:ascii="宋体" w:hAnsi="宋体" w:eastAsia="宋体" w:cs="Times New Roman"/>
                <w:smallCaps w:val="0"/>
                <w:sz w:val="21"/>
              </w:rPr>
              <w:t>）</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≥0.32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环烷酸铜/（kg/m</w:t>
            </w:r>
            <w:r>
              <w:rPr>
                <w:rFonts w:hint="eastAsia" w:ascii="宋体" w:hAnsi="宋体" w:eastAsia="宋体" w:cs="Times New Roman"/>
                <w:smallCaps w:val="0"/>
                <w:sz w:val="21"/>
                <w:vertAlign w:val="superscript"/>
              </w:rPr>
              <w:t>3</w:t>
            </w:r>
            <w:r>
              <w:rPr>
                <w:rFonts w:hint="eastAsia" w:ascii="宋体" w:hAnsi="宋体" w:eastAsia="宋体" w:cs="Times New Roman"/>
                <w:smallCaps w:val="0"/>
                <w:sz w:val="21"/>
              </w:rPr>
              <w:t>）</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≥0.64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5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边材投入率/%</w:t>
            </w:r>
          </w:p>
        </w:tc>
        <w:tc>
          <w:tcPr>
            <w:tcW w:w="4683"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≥90</w:t>
            </w:r>
          </w:p>
        </w:tc>
      </w:tr>
    </w:tbl>
    <w:p>
      <w:pPr>
        <w:spacing w:before="156" w:beforeLines="50" w:after="156" w:afterLines="50"/>
        <w:rPr>
          <w:rFonts w:ascii="宋体" w:hAnsi="宋体" w:eastAsia="宋体" w:cs="Times New Roman"/>
          <w:smallCaps w:val="0"/>
          <w:sz w:val="21"/>
          <w:szCs w:val="21"/>
        </w:rPr>
      </w:pPr>
      <w:r>
        <w:rPr>
          <w:rFonts w:hint="eastAsia" w:ascii="黑体" w:hAnsi="黑体" w:eastAsia="黑体" w:cs="黑体"/>
          <w:smallCaps w:val="0"/>
          <w:kern w:val="0"/>
          <w:sz w:val="21"/>
          <w:szCs w:val="21"/>
        </w:rPr>
        <w:t>8.1.9</w:t>
      </w:r>
      <w:r>
        <w:rPr>
          <w:rFonts w:hint="eastAsia" w:ascii="宋体" w:hAnsi="宋体" w:eastAsia="宋体" w:cs="宋体"/>
          <w:smallCaps w:val="0"/>
          <w:kern w:val="0"/>
          <w:sz w:val="21"/>
          <w:szCs w:val="21"/>
        </w:rPr>
        <w:t xml:space="preserve"> </w:t>
      </w:r>
      <w:r>
        <w:rPr>
          <w:rFonts w:hint="eastAsia" w:ascii="宋体" w:hAnsi="宋体" w:eastAsia="宋体" w:cs="Times New Roman"/>
          <w:smallCaps w:val="0"/>
          <w:sz w:val="21"/>
          <w:szCs w:val="21"/>
        </w:rPr>
        <w:t>由碎石和卵石呈轨道状铺设，厚度一般不超过15厘米。碎石和卵石的指标应符合《建筑碎石、卵石》（GB/T14685）中的二级要求，具体性能应符合表12的规定。</w:t>
      </w:r>
    </w:p>
    <w:p>
      <w:pPr>
        <w:jc w:val="center"/>
        <w:rPr>
          <w:rFonts w:ascii="宋体" w:hAnsi="宋体" w:eastAsia="宋体"/>
          <w:b/>
          <w:sz w:val="21"/>
          <w:szCs w:val="21"/>
        </w:rPr>
      </w:pPr>
      <w:bookmarkStart w:id="51" w:name="_Toc26546_WPSOffice_Level3"/>
      <w:bookmarkStart w:id="52" w:name="_Toc18979_WPSOffice_Level3"/>
      <w:bookmarkStart w:id="53" w:name="_Toc25337_WPSOffice_Level3"/>
      <w:bookmarkStart w:id="54" w:name="_Toc7331_WPSOffice_Level3"/>
      <w:bookmarkStart w:id="55" w:name="_Toc11308_WPSOffice_Level3"/>
      <w:r>
        <w:rPr>
          <w:rFonts w:hint="eastAsia" w:ascii="宋体" w:hAnsi="宋体" w:eastAsia="宋体"/>
          <w:b/>
          <w:sz w:val="21"/>
          <w:szCs w:val="21"/>
        </w:rPr>
        <w:t>表12：碎石、卵石性能指标</w:t>
      </w:r>
      <w:bookmarkEnd w:id="51"/>
      <w:bookmarkEnd w:id="52"/>
      <w:bookmarkEnd w:id="53"/>
      <w:bookmarkEnd w:id="54"/>
      <w:bookmarkEnd w:id="55"/>
    </w:p>
    <w:tbl>
      <w:tblPr>
        <w:tblStyle w:val="14"/>
        <w:tblW w:w="8312" w:type="dxa"/>
        <w:jc w:val="center"/>
        <w:tblInd w:w="-39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11"/>
        <w:gridCol w:w="4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性能</w:t>
            </w:r>
          </w:p>
        </w:tc>
        <w:tc>
          <w:tcPr>
            <w:tcW w:w="420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含泥量（按质量计）/%</w:t>
            </w:r>
          </w:p>
        </w:tc>
        <w:tc>
          <w:tcPr>
            <w:tcW w:w="420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泥块含量（按质量计）/%</w:t>
            </w:r>
          </w:p>
        </w:tc>
        <w:tc>
          <w:tcPr>
            <w:tcW w:w="420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针、片装颗粒总含量（按质量计）/%</w:t>
            </w:r>
          </w:p>
        </w:tc>
        <w:tc>
          <w:tcPr>
            <w:tcW w:w="420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有机物</w:t>
            </w:r>
          </w:p>
        </w:tc>
        <w:tc>
          <w:tcPr>
            <w:tcW w:w="420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硫化物及硫酸盐（按SO</w:t>
            </w:r>
            <w:r>
              <w:rPr>
                <w:rFonts w:hint="eastAsia" w:ascii="宋体" w:hAnsi="宋体" w:eastAsia="宋体" w:cs="Times New Roman"/>
                <w:smallCaps w:val="0"/>
                <w:sz w:val="21"/>
                <w:vertAlign w:val="subscript"/>
              </w:rPr>
              <w:t>2</w:t>
            </w:r>
            <w:r>
              <w:rPr>
                <w:rFonts w:hint="eastAsia" w:ascii="宋体" w:hAnsi="宋体" w:eastAsia="宋体" w:cs="Times New Roman"/>
                <w:smallCaps w:val="0"/>
                <w:sz w:val="21"/>
              </w:rPr>
              <w:t>质量计）/%</w:t>
            </w:r>
          </w:p>
        </w:tc>
        <w:tc>
          <w:tcPr>
            <w:tcW w:w="420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质量损失/%</w:t>
            </w:r>
          </w:p>
        </w:tc>
        <w:tc>
          <w:tcPr>
            <w:tcW w:w="420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碎石压碎指标/%</w:t>
            </w:r>
          </w:p>
        </w:tc>
        <w:tc>
          <w:tcPr>
            <w:tcW w:w="420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卵石压碎指标/%</w:t>
            </w:r>
          </w:p>
        </w:tc>
        <w:tc>
          <w:tcPr>
            <w:tcW w:w="420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孔隙率/%</w:t>
            </w:r>
          </w:p>
        </w:tc>
        <w:tc>
          <w:tcPr>
            <w:tcW w:w="420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吸水率/%</w:t>
            </w:r>
          </w:p>
        </w:tc>
        <w:tc>
          <w:tcPr>
            <w:tcW w:w="4201" w:type="dxa"/>
            <w:tcBorders>
              <w:top w:val="single" w:color="auto" w:sz="4" w:space="0"/>
              <w:left w:val="nil"/>
              <w:bottom w:val="single" w:color="auto" w:sz="4" w:space="0"/>
              <w:right w:val="single" w:color="auto" w:sz="4" w:space="0"/>
            </w:tcBorders>
            <w:vAlign w:val="center"/>
          </w:tcPr>
          <w:p>
            <w:pPr>
              <w:autoSpaceDE w:val="0"/>
              <w:autoSpaceDN w:val="0"/>
              <w:jc w:val="center"/>
              <w:rPr>
                <w:rFonts w:ascii="宋体" w:hAnsi="宋体" w:eastAsia="宋体" w:cs="Times New Roman"/>
                <w:smallCaps w:val="0"/>
                <w:sz w:val="21"/>
              </w:rPr>
            </w:pPr>
            <w:r>
              <w:rPr>
                <w:rFonts w:hint="eastAsia" w:ascii="宋体" w:hAnsi="宋体" w:eastAsia="宋体" w:cs="Times New Roman"/>
                <w:smallCaps w:val="0"/>
                <w:sz w:val="21"/>
              </w:rPr>
              <w:t>≤2.0</w:t>
            </w:r>
          </w:p>
        </w:tc>
      </w:tr>
    </w:tbl>
    <w:p>
      <w:pPr>
        <w:spacing w:before="156" w:beforeLines="50" w:after="156" w:afterLines="50"/>
        <w:outlineLvl w:val="4"/>
        <w:rPr>
          <w:rFonts w:ascii="宋体" w:hAnsi="宋体" w:eastAsia="宋体" w:cs="Times New Roman"/>
          <w:smallCaps w:val="0"/>
          <w:sz w:val="21"/>
          <w:szCs w:val="21"/>
        </w:rPr>
      </w:pPr>
      <w:r>
        <w:rPr>
          <w:rFonts w:hint="eastAsia" w:ascii="黑体" w:hAnsi="黑体" w:eastAsia="黑体" w:cs="黑体"/>
          <w:smallCaps w:val="0"/>
          <w:kern w:val="0"/>
          <w:sz w:val="21"/>
          <w:szCs w:val="21"/>
        </w:rPr>
        <w:t xml:space="preserve">8.1.10  </w:t>
      </w:r>
      <w:r>
        <w:rPr>
          <w:rFonts w:hint="eastAsia" w:ascii="宋体" w:hAnsi="宋体" w:eastAsia="宋体" w:cs="Times New Roman"/>
          <w:smallCaps w:val="0"/>
          <w:sz w:val="21"/>
          <w:szCs w:val="21"/>
        </w:rPr>
        <w:t>排水设施可就近连接城市供水管网；有条件的节点地区宜设置规范化的净水设施；与周边城市污水管网距离较近的服务设施，应将污水就近排入城市污水管网；处于偏远地区的服务设施，宜采用生态化的处理方式。</w:t>
      </w:r>
    </w:p>
    <w:p>
      <w:pPr>
        <w:spacing w:before="156" w:beforeLines="50" w:after="156" w:afterLines="50"/>
        <w:outlineLvl w:val="4"/>
        <w:rPr>
          <w:rFonts w:ascii="宋体" w:hAnsi="宋体" w:eastAsia="宋体" w:cs="宋体"/>
          <w:smallCaps w:val="0"/>
          <w:sz w:val="21"/>
          <w:szCs w:val="21"/>
        </w:rPr>
      </w:pPr>
      <w:r>
        <w:rPr>
          <w:rFonts w:hint="eastAsia" w:ascii="黑体" w:hAnsi="黑体" w:eastAsia="黑体" w:cs="黑体"/>
          <w:smallCaps w:val="0"/>
          <w:kern w:val="0"/>
          <w:sz w:val="21"/>
          <w:szCs w:val="21"/>
        </w:rPr>
        <w:t xml:space="preserve">8.1.11 </w:t>
      </w:r>
      <w:r>
        <w:rPr>
          <w:rFonts w:hint="eastAsia" w:ascii="宋体" w:hAnsi="宋体" w:eastAsia="宋体" w:cs="宋体"/>
          <w:smallCaps w:val="0"/>
          <w:kern w:val="0"/>
          <w:sz w:val="21"/>
          <w:szCs w:val="21"/>
        </w:rPr>
        <w:t xml:space="preserve"> 照明设施规划设计应根据健身步道周边环境和夜间使用状况，确定照度水平和选择照明方式，应避免溢散光对行人、周围环境及绿廊生态的影响。照明照度标准值应符合《城市夜景照明设计规范》（JGJ/T 163-2008）和《城市道路照明设计标准》（CJJ45-2006）的规定。 </w:t>
      </w:r>
    </w:p>
    <w:p>
      <w:pPr>
        <w:spacing w:before="156" w:beforeLines="50" w:after="156" w:afterLines="50"/>
        <w:outlineLvl w:val="4"/>
        <w:rPr>
          <w:rFonts w:ascii="黑体" w:hAnsi="黑体" w:eastAsia="黑体" w:cs="黑体"/>
          <w:smallCaps w:val="0"/>
          <w:kern w:val="0"/>
          <w:sz w:val="21"/>
          <w:szCs w:val="21"/>
        </w:rPr>
      </w:pPr>
      <w:r>
        <w:rPr>
          <w:rFonts w:hint="eastAsia" w:ascii="黑体" w:hAnsi="黑体" w:eastAsia="黑体" w:cs="黑体"/>
          <w:smallCaps w:val="0"/>
          <w:kern w:val="0"/>
          <w:sz w:val="21"/>
          <w:szCs w:val="21"/>
        </w:rPr>
        <w:t xml:space="preserve">8.1.12  </w:t>
      </w:r>
      <w:r>
        <w:rPr>
          <w:rFonts w:hint="eastAsia" w:ascii="宋体" w:hAnsi="宋体" w:eastAsia="宋体" w:cs="宋体"/>
          <w:smallCaps w:val="0"/>
          <w:kern w:val="0"/>
          <w:sz w:val="21"/>
          <w:szCs w:val="21"/>
        </w:rPr>
        <w:t>应完善健身步道范围内的通讯网络，消除手机信号盲点。位于郊野的健身步道应设置安全报警电话，配置完善的应急呼叫系统。</w:t>
      </w:r>
    </w:p>
    <w:p>
      <w:pPr>
        <w:autoSpaceDE w:val="0"/>
        <w:autoSpaceDN w:val="0"/>
        <w:spacing w:before="156" w:beforeLines="50" w:after="156" w:afterLines="50"/>
        <w:rPr>
          <w:rFonts w:ascii="宋体" w:hAnsi="Times New Roman" w:eastAsia="宋体" w:cs="Times New Roman"/>
          <w:sz w:val="21"/>
        </w:rPr>
      </w:pPr>
      <w:r>
        <w:rPr>
          <w:rFonts w:hint="eastAsia" w:ascii="黑体" w:hAnsi="黑体" w:eastAsia="黑体" w:cs="黑体"/>
          <w:smallCaps w:val="0"/>
          <w:kern w:val="0"/>
          <w:sz w:val="21"/>
          <w:szCs w:val="21"/>
        </w:rPr>
        <w:t xml:space="preserve">8.1.13  </w:t>
      </w:r>
      <w:r>
        <w:rPr>
          <w:rFonts w:hint="eastAsia" w:ascii="宋体" w:hAnsi="Times New Roman" w:eastAsia="宋体" w:cs="Times New Roman"/>
          <w:sz w:val="21"/>
        </w:rPr>
        <w:t>监控设施主要由摄像设备、控制设备、传输设备、显示设备组成。有条件的健身步道应配置监控设施，以提高健身步道的安全管理水平。</w:t>
      </w:r>
    </w:p>
    <w:p>
      <w:pPr>
        <w:pStyle w:val="21"/>
        <w:numPr>
          <w:ilvl w:val="0"/>
          <w:numId w:val="5"/>
        </w:numPr>
        <w:outlineLvl w:val="0"/>
        <w:rPr>
          <w:szCs w:val="21"/>
        </w:rPr>
      </w:pPr>
      <w:bookmarkStart w:id="56" w:name="_Toc25797_WPSOffice_Level1"/>
      <w:r>
        <w:rPr>
          <w:rFonts w:hint="eastAsia"/>
          <w:szCs w:val="21"/>
        </w:rPr>
        <w:t>验收</w:t>
      </w:r>
      <w:bookmarkEnd w:id="56"/>
      <w:r>
        <w:rPr>
          <w:rFonts w:hint="eastAsia"/>
          <w:szCs w:val="21"/>
        </w:rPr>
        <w:tab/>
      </w:r>
    </w:p>
    <w:p>
      <w:pPr>
        <w:spacing w:before="156" w:beforeLines="50" w:after="156" w:afterLines="50"/>
        <w:ind w:firstLine="420" w:firstLineChars="200"/>
        <w:rPr>
          <w:rFonts w:ascii="宋体" w:hAnsi="宋体" w:eastAsia="宋体" w:cs="宋体"/>
          <w:smallCaps w:val="0"/>
          <w:kern w:val="0"/>
          <w:sz w:val="21"/>
          <w:szCs w:val="21"/>
        </w:rPr>
      </w:pPr>
      <w:r>
        <w:rPr>
          <w:rFonts w:hint="eastAsia" w:ascii="宋体" w:hAnsi="宋体" w:eastAsia="宋体" w:cs="宋体"/>
          <w:smallCaps w:val="0"/>
          <w:kern w:val="0"/>
          <w:sz w:val="21"/>
          <w:szCs w:val="21"/>
        </w:rPr>
        <w:t>验收时，应进行现场检查并填写现场验收检查原始记录。该原始记录应，存档备查，保证该记录的可追溯性。验收的项目和位置可由验收小组确定。</w:t>
      </w:r>
    </w:p>
    <w:p>
      <w:pPr>
        <w:spacing w:before="156" w:beforeLines="50" w:after="156" w:afterLines="50"/>
        <w:ind w:firstLine="420" w:firstLineChars="200"/>
        <w:rPr>
          <w:rFonts w:ascii="宋体" w:hAnsi="宋体" w:eastAsia="宋体" w:cs="宋体"/>
          <w:smallCaps w:val="0"/>
          <w:kern w:val="0"/>
          <w:sz w:val="21"/>
          <w:szCs w:val="21"/>
        </w:rPr>
      </w:pPr>
      <w:r>
        <w:rPr>
          <w:rFonts w:hint="eastAsia" w:ascii="宋体" w:hAnsi="宋体" w:eastAsia="宋体" w:cs="宋体"/>
          <w:smallCaps w:val="0"/>
          <w:kern w:val="0"/>
          <w:sz w:val="21"/>
          <w:szCs w:val="21"/>
        </w:rPr>
        <w:t>验收记录应根据现场验收检查原始记录按附录C的格式填写，并由验收小组各项负责人在验收记录上签字，完成验收。</w:t>
      </w:r>
    </w:p>
    <w:p>
      <w:pPr>
        <w:spacing w:before="156" w:beforeLines="50" w:after="156" w:afterLines="50"/>
        <w:ind w:firstLine="420" w:firstLineChars="200"/>
        <w:rPr>
          <w:rFonts w:ascii="宋体" w:hAnsi="宋体" w:eastAsia="宋体" w:cs="宋体"/>
          <w:smallCaps w:val="0"/>
          <w:kern w:val="0"/>
          <w:sz w:val="21"/>
          <w:szCs w:val="21"/>
        </w:rPr>
      </w:pPr>
      <w:r>
        <w:rPr>
          <w:rFonts w:hint="eastAsia" w:ascii="宋体" w:hAnsi="宋体" w:eastAsia="宋体" w:cs="宋体"/>
          <w:smallCaps w:val="0"/>
          <w:kern w:val="0"/>
          <w:sz w:val="21"/>
          <w:szCs w:val="21"/>
        </w:rPr>
        <w:t>如健身步道质量存在严重缺陷，重要的使用功能不满足要求时，将导致健身步道无法正常使用；安全不满足要求时，将危及人身健康或财产安全，严重时会给社会带来巨大的安全隐患。因此对这类健身步道严禁通过验收，更不得擅自投入使用，需要专门研究处置方案。</w:t>
      </w:r>
    </w:p>
    <w:p>
      <w:pPr>
        <w:pStyle w:val="21"/>
        <w:numPr>
          <w:ilvl w:val="0"/>
          <w:numId w:val="5"/>
        </w:numPr>
        <w:outlineLvl w:val="0"/>
      </w:pPr>
      <w:bookmarkStart w:id="57" w:name="_Toc9582_WPSOffice_Level1"/>
      <w:r>
        <w:rPr>
          <w:rFonts w:hint="eastAsia"/>
          <w:szCs w:val="21"/>
        </w:rPr>
        <w:t>使用安全</w:t>
      </w:r>
      <w:bookmarkEnd w:id="57"/>
    </w:p>
    <w:p>
      <w:pPr>
        <w:autoSpaceDE w:val="0"/>
        <w:autoSpaceDN w:val="0"/>
        <w:spacing w:before="156" w:beforeLines="50" w:after="156" w:afterLines="50"/>
        <w:rPr>
          <w:rFonts w:hint="eastAsia" w:ascii="宋体" w:hAnsi="宋体" w:eastAsia="宋体" w:cs="宋体"/>
          <w:smallCaps w:val="0"/>
          <w:kern w:val="0"/>
          <w:sz w:val="21"/>
          <w:szCs w:val="21"/>
          <w:lang w:val="en-US" w:eastAsia="zh-CN"/>
        </w:rPr>
      </w:pPr>
      <w:r>
        <w:rPr>
          <w:rFonts w:hint="eastAsia" w:ascii="黑体" w:hAnsi="黑体" w:eastAsia="黑体" w:cs="黑体"/>
          <w:smallCaps w:val="0"/>
          <w:kern w:val="0"/>
          <w:sz w:val="21"/>
          <w:szCs w:val="21"/>
        </w:rPr>
        <w:t>10.</w:t>
      </w:r>
      <w:r>
        <w:rPr>
          <w:rFonts w:hint="eastAsia" w:ascii="黑体" w:hAnsi="黑体" w:eastAsia="黑体" w:cs="黑体"/>
          <w:smallCaps w:val="0"/>
          <w:kern w:val="0"/>
          <w:sz w:val="21"/>
          <w:szCs w:val="21"/>
          <w:lang w:val="en-US" w:eastAsia="zh-CN"/>
        </w:rPr>
        <w:t xml:space="preserve">2.2  </w:t>
      </w:r>
      <w:r>
        <w:rPr>
          <w:rFonts w:hint="eastAsia" w:ascii="宋体" w:hAnsi="宋体" w:eastAsia="宋体" w:cs="宋体"/>
          <w:smallCaps w:val="0"/>
          <w:kern w:val="0"/>
          <w:sz w:val="21"/>
          <w:szCs w:val="21"/>
          <w:lang w:val="en-US" w:eastAsia="zh-CN"/>
        </w:rPr>
        <w:t>报警点可采用石质或木质立柱、大岩石或粗大的树枝等作为载体。设施易于发现的反光标识，同时应有详细的救援指导信息，能够指导健身者自救或寻求他救。</w:t>
      </w:r>
    </w:p>
    <w:p>
      <w:pPr>
        <w:autoSpaceDE w:val="0"/>
        <w:autoSpaceDN w:val="0"/>
        <w:spacing w:before="156" w:beforeLines="50" w:after="156" w:afterLines="50"/>
        <w:rPr>
          <w:rFonts w:hint="eastAsia" w:asciiTheme="minorEastAsia" w:hAnsiTheme="minorEastAsia" w:eastAsiaTheme="minorEastAsia" w:cstheme="minorEastAsia"/>
          <w:smallCaps w:val="0"/>
          <w:kern w:val="0"/>
          <w:sz w:val="21"/>
          <w:szCs w:val="21"/>
          <w:lang w:val="en-US" w:eastAsia="zh-CN"/>
        </w:rPr>
      </w:pPr>
      <w:r>
        <w:rPr>
          <w:rFonts w:hint="eastAsia" w:ascii="黑体" w:hAnsi="黑体" w:eastAsia="黑体" w:cs="黑体"/>
          <w:smallCaps w:val="0"/>
          <w:kern w:val="0"/>
          <w:sz w:val="21"/>
          <w:szCs w:val="21"/>
          <w:lang w:val="en-US" w:eastAsia="zh-CN"/>
        </w:rPr>
        <w:t xml:space="preserve">10.3.3  </w:t>
      </w:r>
      <w:r>
        <w:rPr>
          <w:rFonts w:hint="eastAsia" w:asciiTheme="minorEastAsia" w:hAnsiTheme="minorEastAsia" w:eastAsiaTheme="minorEastAsia" w:cstheme="minorEastAsia"/>
          <w:smallCaps w:val="0"/>
          <w:kern w:val="0"/>
          <w:sz w:val="21"/>
          <w:szCs w:val="21"/>
          <w:lang w:val="en-US" w:eastAsia="zh-CN"/>
        </w:rPr>
        <w:t>救援队长应经验丰富，具有领导指挥才能，全面指挥前方救援工作更有序的开展、确保队友人身及物资安全，让受灾群众及时的得到救助。</w:t>
      </w:r>
    </w:p>
    <w:p>
      <w:pPr>
        <w:keepNext w:val="0"/>
        <w:keepLines w:val="0"/>
        <w:pageBreakBefore w:val="0"/>
        <w:widowControl w:val="0"/>
        <w:kinsoku/>
        <w:wordWrap/>
        <w:overflowPunct/>
        <w:topLinePunct w:val="0"/>
        <w:autoSpaceDE w:val="0"/>
        <w:autoSpaceDN w:val="0"/>
        <w:bidi w:val="0"/>
        <w:adjustRightInd/>
        <w:snapToGrid/>
        <w:spacing w:before="156" w:beforeLines="50" w:after="156" w:afterLines="50"/>
        <w:ind w:firstLine="420" w:firstLineChars="200"/>
        <w:textAlignment w:val="auto"/>
        <w:rPr>
          <w:rFonts w:hint="eastAsia" w:asciiTheme="minorEastAsia" w:hAnsiTheme="minorEastAsia" w:eastAsiaTheme="minorEastAsia" w:cstheme="minorEastAsia"/>
          <w:smallCaps w:val="0"/>
          <w:kern w:val="0"/>
          <w:sz w:val="21"/>
          <w:szCs w:val="21"/>
          <w:lang w:val="en-US" w:eastAsia="zh-CN"/>
        </w:rPr>
      </w:pPr>
      <w:r>
        <w:rPr>
          <w:rFonts w:hint="eastAsia" w:asciiTheme="minorEastAsia" w:hAnsiTheme="minorEastAsia" w:eastAsiaTheme="minorEastAsia" w:cstheme="minorEastAsia"/>
          <w:smallCaps w:val="0"/>
          <w:kern w:val="0"/>
          <w:sz w:val="21"/>
          <w:szCs w:val="21"/>
          <w:lang w:val="en-US" w:eastAsia="zh-CN"/>
        </w:rPr>
        <w:t>后方指挥人员负责搭建前后方沟通的平台，将前方信息汇总整理汇报至总指挥，将总指挥决定传达至前方、筹集物资及款项、整理评估报告、做好前方保障。</w:t>
      </w:r>
    </w:p>
    <w:p>
      <w:pPr>
        <w:keepNext w:val="0"/>
        <w:keepLines w:val="0"/>
        <w:pageBreakBefore w:val="0"/>
        <w:widowControl w:val="0"/>
        <w:kinsoku/>
        <w:wordWrap/>
        <w:overflowPunct/>
        <w:topLinePunct w:val="0"/>
        <w:autoSpaceDE w:val="0"/>
        <w:autoSpaceDN w:val="0"/>
        <w:bidi w:val="0"/>
        <w:adjustRightInd/>
        <w:snapToGrid/>
        <w:spacing w:before="156" w:beforeLines="50" w:after="156" w:afterLines="50"/>
        <w:ind w:firstLine="420" w:firstLineChars="200"/>
        <w:textAlignment w:val="auto"/>
        <w:rPr>
          <w:rFonts w:hint="eastAsia" w:asciiTheme="minorEastAsia" w:hAnsiTheme="minorEastAsia" w:eastAsiaTheme="minorEastAsia" w:cstheme="minorEastAsia"/>
          <w:smallCaps w:val="0"/>
          <w:kern w:val="0"/>
          <w:sz w:val="21"/>
          <w:szCs w:val="21"/>
          <w:lang w:val="en-US" w:eastAsia="zh-CN"/>
        </w:rPr>
      </w:pPr>
      <w:r>
        <w:rPr>
          <w:rFonts w:hint="eastAsia" w:asciiTheme="minorEastAsia" w:hAnsiTheme="minorEastAsia" w:eastAsiaTheme="minorEastAsia" w:cstheme="minorEastAsia"/>
          <w:smallCaps w:val="0"/>
          <w:kern w:val="0"/>
          <w:sz w:val="21"/>
          <w:szCs w:val="21"/>
          <w:lang w:val="en-US" w:eastAsia="zh-CN"/>
        </w:rPr>
        <w:t>通讯保障人员确保救援队前方通讯畅通，通联、确保通讯及重要装备电力供应，协助完成通讯保障。</w:t>
      </w:r>
    </w:p>
    <w:p>
      <w:pPr>
        <w:keepNext w:val="0"/>
        <w:keepLines w:val="0"/>
        <w:pageBreakBefore w:val="0"/>
        <w:widowControl w:val="0"/>
        <w:kinsoku/>
        <w:wordWrap/>
        <w:overflowPunct/>
        <w:topLinePunct w:val="0"/>
        <w:autoSpaceDE w:val="0"/>
        <w:autoSpaceDN w:val="0"/>
        <w:bidi w:val="0"/>
        <w:adjustRightInd/>
        <w:snapToGrid/>
        <w:spacing w:before="156" w:beforeLines="50" w:after="156" w:afterLines="50"/>
        <w:ind w:firstLine="420" w:firstLineChars="200"/>
        <w:textAlignment w:val="auto"/>
        <w:rPr>
          <w:rFonts w:hint="eastAsia" w:asciiTheme="minorEastAsia" w:hAnsiTheme="minorEastAsia" w:eastAsiaTheme="minorEastAsia" w:cstheme="minorEastAsia"/>
          <w:smallCaps w:val="0"/>
          <w:kern w:val="0"/>
          <w:sz w:val="21"/>
          <w:szCs w:val="21"/>
          <w:lang w:val="en-US" w:eastAsia="zh-CN"/>
        </w:rPr>
      </w:pPr>
      <w:r>
        <w:rPr>
          <w:rFonts w:hint="eastAsia" w:asciiTheme="minorEastAsia" w:hAnsiTheme="minorEastAsia" w:eastAsiaTheme="minorEastAsia" w:cstheme="minorEastAsia"/>
          <w:smallCaps w:val="0"/>
          <w:kern w:val="0"/>
          <w:sz w:val="21"/>
          <w:szCs w:val="21"/>
          <w:lang w:val="en-US" w:eastAsia="zh-CN"/>
        </w:rPr>
        <w:t>医疗保障人员保障并记录救援人员的日常工作，需要每天定时发给指挥部，必备急救保障装备及药品。</w:t>
      </w:r>
    </w:p>
    <w:p>
      <w:pPr>
        <w:keepNext w:val="0"/>
        <w:keepLines w:val="0"/>
        <w:pageBreakBefore w:val="0"/>
        <w:widowControl w:val="0"/>
        <w:kinsoku/>
        <w:wordWrap/>
        <w:overflowPunct/>
        <w:topLinePunct w:val="0"/>
        <w:autoSpaceDE w:val="0"/>
        <w:autoSpaceDN w:val="0"/>
        <w:bidi w:val="0"/>
        <w:adjustRightInd/>
        <w:snapToGrid/>
        <w:spacing w:before="156" w:beforeLines="50" w:after="156" w:afterLines="50"/>
        <w:ind w:firstLine="420" w:firstLineChars="200"/>
        <w:textAlignment w:val="auto"/>
        <w:rPr>
          <w:rFonts w:hint="eastAsia" w:asciiTheme="minorEastAsia" w:hAnsiTheme="minorEastAsia" w:eastAsiaTheme="minorEastAsia" w:cstheme="minorEastAsia"/>
          <w:smallCaps w:val="0"/>
          <w:kern w:val="0"/>
          <w:sz w:val="21"/>
          <w:szCs w:val="21"/>
          <w:lang w:val="en-US" w:eastAsia="zh-CN"/>
        </w:rPr>
      </w:pPr>
      <w:r>
        <w:rPr>
          <w:rFonts w:hint="eastAsia" w:asciiTheme="minorEastAsia" w:hAnsiTheme="minorEastAsia" w:eastAsiaTheme="minorEastAsia" w:cstheme="minorEastAsia"/>
          <w:smallCaps w:val="0"/>
          <w:kern w:val="0"/>
          <w:sz w:val="21"/>
          <w:szCs w:val="21"/>
          <w:lang w:val="en-US" w:eastAsia="zh-CN"/>
        </w:rPr>
        <w:t>物资保障人员负责前方救援队的驻扎、日常保障，物资的筹集、发放，救灾物资的调研、预算。</w:t>
      </w:r>
    </w:p>
    <w:p>
      <w:pPr>
        <w:keepNext w:val="0"/>
        <w:keepLines w:val="0"/>
        <w:pageBreakBefore w:val="0"/>
        <w:widowControl w:val="0"/>
        <w:kinsoku/>
        <w:wordWrap/>
        <w:overflowPunct/>
        <w:topLinePunct w:val="0"/>
        <w:autoSpaceDE w:val="0"/>
        <w:autoSpaceDN w:val="0"/>
        <w:bidi w:val="0"/>
        <w:adjustRightInd/>
        <w:snapToGrid/>
        <w:spacing w:before="156" w:beforeLines="50" w:after="156" w:afterLines="50"/>
        <w:ind w:firstLine="420" w:firstLineChars="200"/>
        <w:textAlignment w:val="auto"/>
        <w:rPr>
          <w:rFonts w:hint="eastAsia" w:asciiTheme="minorEastAsia" w:hAnsiTheme="minorEastAsia" w:eastAsiaTheme="minorEastAsia" w:cstheme="minorEastAsia"/>
          <w:smallCaps w:val="0"/>
          <w:kern w:val="0"/>
          <w:sz w:val="21"/>
          <w:szCs w:val="21"/>
          <w:lang w:val="en-US" w:eastAsia="zh-CN"/>
        </w:rPr>
      </w:pPr>
      <w:r>
        <w:rPr>
          <w:rFonts w:hint="eastAsia" w:asciiTheme="minorEastAsia" w:hAnsiTheme="minorEastAsia" w:eastAsiaTheme="minorEastAsia" w:cstheme="minorEastAsia"/>
          <w:smallCaps w:val="0"/>
          <w:kern w:val="0"/>
          <w:sz w:val="21"/>
          <w:szCs w:val="21"/>
          <w:lang w:val="en-US" w:eastAsia="zh-CN"/>
        </w:rPr>
        <w:t>救援人员可道路、水上、山野进行综合救援，熟练使用破拆工具、通讯工具、绳索、水上救援等工具，体能良好，熟练掌握检伤分类等技能。</w:t>
      </w:r>
    </w:p>
    <w:p>
      <w:pPr>
        <w:keepNext w:val="0"/>
        <w:keepLines w:val="0"/>
        <w:pageBreakBefore w:val="0"/>
        <w:widowControl w:val="0"/>
        <w:kinsoku/>
        <w:wordWrap/>
        <w:overflowPunct/>
        <w:topLinePunct w:val="0"/>
        <w:autoSpaceDE w:val="0"/>
        <w:autoSpaceDN w:val="0"/>
        <w:bidi w:val="0"/>
        <w:adjustRightInd/>
        <w:snapToGrid/>
        <w:spacing w:before="156" w:beforeLines="50" w:after="156" w:afterLines="50"/>
        <w:ind w:firstLine="420" w:firstLineChars="200"/>
        <w:textAlignment w:val="auto"/>
        <w:rPr>
          <w:rFonts w:hint="eastAsia" w:asciiTheme="minorEastAsia" w:hAnsiTheme="minorEastAsia" w:eastAsiaTheme="minorEastAsia" w:cstheme="minorEastAsia"/>
          <w:smallCaps w:val="0"/>
          <w:kern w:val="0"/>
          <w:sz w:val="21"/>
          <w:szCs w:val="21"/>
          <w:lang w:val="en-US" w:eastAsia="zh-CN"/>
        </w:rPr>
      </w:pPr>
      <w:r>
        <w:rPr>
          <w:rFonts w:hint="eastAsia" w:asciiTheme="minorEastAsia" w:hAnsiTheme="minorEastAsia" w:eastAsiaTheme="minorEastAsia" w:cstheme="minorEastAsia"/>
          <w:smallCaps w:val="0"/>
          <w:kern w:val="0"/>
          <w:sz w:val="21"/>
          <w:szCs w:val="21"/>
          <w:lang w:val="en-US" w:eastAsia="zh-CN"/>
        </w:rPr>
        <w:t>对外联络人员对接当地主管部门或其他救援组织、求助者等，对救援线路提前调研，收集所需物资等信息，确保救援队安全快速抵达/撤离。</w:t>
      </w:r>
    </w:p>
    <w:p>
      <w:pPr>
        <w:keepNext w:val="0"/>
        <w:keepLines w:val="0"/>
        <w:pageBreakBefore w:val="0"/>
        <w:widowControl w:val="0"/>
        <w:kinsoku/>
        <w:wordWrap/>
        <w:overflowPunct/>
        <w:topLinePunct w:val="0"/>
        <w:autoSpaceDE w:val="0"/>
        <w:autoSpaceDN w:val="0"/>
        <w:bidi w:val="0"/>
        <w:adjustRightInd/>
        <w:snapToGrid/>
        <w:spacing w:before="156" w:beforeLines="50" w:after="156" w:afterLines="50"/>
        <w:ind w:firstLine="0" w:firstLineChars="0"/>
        <w:textAlignment w:val="auto"/>
        <w:rPr>
          <w:rFonts w:hint="eastAsia" w:asciiTheme="minorEastAsia" w:hAnsiTheme="minorEastAsia" w:eastAsiaTheme="minorEastAsia" w:cstheme="minorEastAsia"/>
          <w:smallCaps w:val="0"/>
          <w:kern w:val="0"/>
          <w:sz w:val="21"/>
          <w:szCs w:val="21"/>
          <w:lang w:val="en-US" w:eastAsia="zh-CN"/>
        </w:rPr>
      </w:pPr>
      <w:r>
        <w:rPr>
          <w:rFonts w:hint="eastAsia" w:ascii="黑体" w:hAnsi="黑体" w:eastAsia="黑体" w:cs="黑体"/>
          <w:smallCaps w:val="0"/>
          <w:kern w:val="0"/>
          <w:sz w:val="21"/>
          <w:szCs w:val="21"/>
          <w:lang w:val="en-US" w:eastAsia="zh-CN"/>
        </w:rPr>
        <w:t xml:space="preserve">10.3.5   </w:t>
      </w:r>
      <w:r>
        <w:rPr>
          <w:rFonts w:hint="eastAsia" w:asciiTheme="minorEastAsia" w:hAnsiTheme="minorEastAsia" w:eastAsiaTheme="minorEastAsia" w:cstheme="minorEastAsia"/>
          <w:smallCaps w:val="0"/>
          <w:kern w:val="0"/>
          <w:sz w:val="21"/>
          <w:szCs w:val="21"/>
          <w:lang w:val="en-US" w:eastAsia="zh-CN"/>
        </w:rPr>
        <w:t>救援设备：救援担架、救援三角支架、全身安全带 、全可调半身安全带、成型扁带（60cm、120cm）、头盔、10.4mm动力绳（50m、60m、200m）、10.5mm静力绳（200m）、绳索保护架、绳索保护套、双滑轮、滑轮、单向滑轮、单绳自动制停下降器、保护器、8字型下降器、手柄上升器、胸式上升器、安全扣、单绳自动制停下降及保护器、确定点扣板。</w:t>
      </w:r>
    </w:p>
    <w:p>
      <w:pPr>
        <w:keepNext w:val="0"/>
        <w:keepLines w:val="0"/>
        <w:pageBreakBefore w:val="0"/>
        <w:widowControl w:val="0"/>
        <w:kinsoku/>
        <w:wordWrap/>
        <w:overflowPunct/>
        <w:topLinePunct w:val="0"/>
        <w:autoSpaceDE w:val="0"/>
        <w:autoSpaceDN w:val="0"/>
        <w:bidi w:val="0"/>
        <w:adjustRightInd/>
        <w:snapToGrid/>
        <w:spacing w:before="156" w:beforeLines="50" w:after="156" w:afterLines="50"/>
        <w:ind w:firstLine="420" w:firstLineChars="200"/>
        <w:textAlignment w:val="auto"/>
        <w:rPr>
          <w:rFonts w:hint="eastAsia" w:asciiTheme="minorEastAsia" w:hAnsiTheme="minorEastAsia" w:eastAsiaTheme="minorEastAsia" w:cstheme="minorEastAsia"/>
          <w:smallCaps w:val="0"/>
          <w:kern w:val="0"/>
          <w:sz w:val="21"/>
          <w:szCs w:val="21"/>
          <w:lang w:val="en-US" w:eastAsia="zh-CN"/>
        </w:rPr>
      </w:pPr>
      <w:r>
        <w:rPr>
          <w:rFonts w:hint="eastAsia" w:asciiTheme="minorEastAsia" w:hAnsiTheme="minorEastAsia" w:eastAsiaTheme="minorEastAsia" w:cstheme="minorEastAsia"/>
          <w:smallCaps w:val="0"/>
          <w:kern w:val="0"/>
          <w:sz w:val="21"/>
          <w:szCs w:val="21"/>
          <w:lang w:val="en-US" w:eastAsia="zh-CN"/>
        </w:rPr>
        <w:t>医疗装备：吸血垫、速冷袋、酒精棉、气囊止血带、医用三角巾、卷式夹板、医用纱布、医用胶布、医用绷带、弹性绷带、医药PVC手套、电子血压计、人工呼吸用隔膜、充气颈托、创口不粘敷贴、伤口敷贴、医用棉签、电子血糖仪、吸乳器械、放大镜、保暖毯、瓶装氧喷雾剂、75%酒精、碘酒、红花油、红霉素眼药膏、百多邦软膏、诺氟沙星软膏、云南白药红瓶封闭剂、季得胜蛇药片、云南白药粉、50%葡萄糖、生理盐水、安宫牛黄丸、维生素C、诺氟沙星胶囊、仁丹、医用葡萄糖粉、抗组织胺类药（抗过敏）、硝酸甘油(心绞痛)、藿香正气水(第1代的含酒精) 、安乃近(因规格、含量为0.5G)、 蒸馏水、食用盐、肥皂。</w:t>
      </w:r>
    </w:p>
    <w:p>
      <w:pPr>
        <w:keepNext w:val="0"/>
        <w:keepLines w:val="0"/>
        <w:pageBreakBefore w:val="0"/>
        <w:widowControl w:val="0"/>
        <w:kinsoku/>
        <w:wordWrap/>
        <w:overflowPunct/>
        <w:topLinePunct w:val="0"/>
        <w:autoSpaceDE w:val="0"/>
        <w:autoSpaceDN w:val="0"/>
        <w:bidi w:val="0"/>
        <w:adjustRightInd/>
        <w:snapToGrid/>
        <w:spacing w:before="156" w:beforeLines="50" w:after="156" w:afterLines="50"/>
        <w:ind w:firstLine="420" w:firstLineChars="200"/>
        <w:textAlignment w:val="auto"/>
        <w:rPr>
          <w:rFonts w:hint="default" w:asciiTheme="minorEastAsia" w:hAnsiTheme="minorEastAsia" w:eastAsiaTheme="minorEastAsia" w:cstheme="minorEastAsia"/>
          <w:smallCaps w:val="0"/>
          <w:kern w:val="0"/>
          <w:sz w:val="21"/>
          <w:szCs w:val="21"/>
          <w:lang w:val="en-US" w:eastAsia="zh-CN"/>
        </w:rPr>
      </w:pPr>
      <w:r>
        <w:rPr>
          <w:rFonts w:hint="eastAsia" w:asciiTheme="minorEastAsia" w:hAnsiTheme="minorEastAsia" w:eastAsiaTheme="minorEastAsia" w:cstheme="minorEastAsia"/>
          <w:smallCaps w:val="0"/>
          <w:kern w:val="0"/>
          <w:sz w:val="21"/>
          <w:szCs w:val="21"/>
          <w:lang w:val="en-US" w:eastAsia="zh-CN"/>
        </w:rPr>
        <w:t>安全设备：U段车台、电源排插、U段4米玻璃钢天线、U段中继台、30米-9馈线、20米-9馈线、10米天线升降杆、电池、单元八木天线、备用电池、220V20A开关电源、拉绳钉、500W发电机、U段4米玻璃钢天线、天线支架、车用电瓶、支架拉绳、车用电瓶充电器、架设工具、手持无线对讲机电池充电器、手持GPS。</w:t>
      </w:r>
    </w:p>
    <w:p>
      <w:pPr>
        <w:keepNext w:val="0"/>
        <w:keepLines w:val="0"/>
        <w:pageBreakBefore w:val="0"/>
        <w:widowControl w:val="0"/>
        <w:kinsoku/>
        <w:wordWrap/>
        <w:overflowPunct/>
        <w:topLinePunct w:val="0"/>
        <w:autoSpaceDE w:val="0"/>
        <w:autoSpaceDN w:val="0"/>
        <w:bidi w:val="0"/>
        <w:adjustRightInd/>
        <w:snapToGrid/>
        <w:spacing w:before="156" w:beforeLines="50" w:after="156" w:afterLines="50"/>
        <w:ind w:firstLine="420" w:firstLineChars="200"/>
        <w:textAlignment w:val="auto"/>
        <w:rPr>
          <w:rFonts w:hint="eastAsia" w:asciiTheme="minorEastAsia" w:hAnsiTheme="minorEastAsia" w:eastAsiaTheme="minorEastAsia" w:cstheme="minorEastAsia"/>
          <w:smallCaps w:val="0"/>
          <w:kern w:val="0"/>
          <w:sz w:val="21"/>
          <w:szCs w:val="21"/>
          <w:lang w:val="en-US" w:eastAsia="zh-CN"/>
        </w:rPr>
      </w:pPr>
    </w:p>
    <w:p>
      <w:pPr>
        <w:autoSpaceDE w:val="0"/>
        <w:autoSpaceDN w:val="0"/>
        <w:spacing w:before="156" w:beforeLines="50" w:after="156" w:afterLines="50"/>
        <w:rPr>
          <w:rFonts w:hint="default" w:asciiTheme="minorEastAsia" w:hAnsiTheme="minorEastAsia" w:eastAsiaTheme="minorEastAsia" w:cstheme="minorEastAsia"/>
          <w:smallCaps w:val="0"/>
          <w:kern w:val="0"/>
          <w:sz w:val="21"/>
          <w:szCs w:val="21"/>
          <w:lang w:val="en-US" w:eastAsia="zh-CN"/>
        </w:rPr>
      </w:pPr>
    </w:p>
    <w:p>
      <w:pPr>
        <w:autoSpaceDE w:val="0"/>
        <w:autoSpaceDN w:val="0"/>
        <w:spacing w:before="156" w:beforeLines="50" w:after="156" w:afterLines="50"/>
        <w:rPr>
          <w:rFonts w:hint="default" w:ascii="宋体" w:hAnsi="宋体" w:eastAsia="宋体" w:cs="宋体"/>
          <w:smallCaps w:val="0"/>
          <w:kern w:val="0"/>
          <w:sz w:val="21"/>
          <w:szCs w:val="21"/>
          <w:lang w:val="en-US" w:eastAsia="zh-CN"/>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09428E"/>
    <w:multiLevelType w:val="singleLevel"/>
    <w:tmpl w:val="C209428E"/>
    <w:lvl w:ilvl="0" w:tentative="0">
      <w:start w:val="1"/>
      <w:numFmt w:val="chineseCounting"/>
      <w:suff w:val="nothing"/>
      <w:lvlText w:val="（%1）"/>
      <w:lvlJc w:val="left"/>
      <w:rPr>
        <w:rFonts w:hint="eastAsia"/>
      </w:rPr>
    </w:lvl>
  </w:abstractNum>
  <w:abstractNum w:abstractNumId="1">
    <w:nsid w:val="1FC91163"/>
    <w:multiLevelType w:val="multilevel"/>
    <w:tmpl w:val="1FC91163"/>
    <w:lvl w:ilvl="0" w:tentative="0">
      <w:start w:val="1"/>
      <w:numFmt w:val="decimal"/>
      <w:pStyle w:val="2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1135"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1FF11224"/>
    <w:multiLevelType w:val="multilevel"/>
    <w:tmpl w:val="1FF11224"/>
    <w:lvl w:ilvl="0" w:tentative="0">
      <w:start w:val="4"/>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2C5917C3"/>
    <w:multiLevelType w:val="multilevel"/>
    <w:tmpl w:val="2C5917C3"/>
    <w:lvl w:ilvl="0" w:tentative="0">
      <w:start w:val="1"/>
      <w:numFmt w:val="none"/>
      <w:pStyle w:val="27"/>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553F0DC6"/>
    <w:multiLevelType w:val="multilevel"/>
    <w:tmpl w:val="553F0DC6"/>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59D6EA02"/>
    <w:multiLevelType w:val="multilevel"/>
    <w:tmpl w:val="59D6EA02"/>
    <w:lvl w:ilvl="0" w:tentative="0">
      <w:start w:val="1"/>
      <w:numFmt w:val="decimal"/>
      <w:pStyle w:val="17"/>
      <w:lvlText w:val="%1 "/>
      <w:lvlJc w:val="left"/>
      <w:pPr>
        <w:ind w:left="432" w:hanging="432"/>
      </w:pPr>
      <w:rPr>
        <w:rFonts w:hint="default" w:ascii="Times New Roman" w:hAnsi="Times New Roman" w:eastAsia="宋体" w:cs="宋体"/>
      </w:rPr>
    </w:lvl>
    <w:lvl w:ilvl="1" w:tentative="0">
      <w:start w:val="1"/>
      <w:numFmt w:val="decimal"/>
      <w:pStyle w:val="18"/>
      <w:lvlText w:val="%1.%2 "/>
      <w:lvlJc w:val="left"/>
      <w:pPr>
        <w:ind w:left="575" w:hanging="575"/>
      </w:pPr>
      <w:rPr>
        <w:rFonts w:hint="default" w:ascii="Times New Roman" w:hAnsi="Times New Roman" w:eastAsia="宋体" w:cs="宋体"/>
      </w:rPr>
    </w:lvl>
    <w:lvl w:ilvl="2" w:tentative="0">
      <w:start w:val="1"/>
      <w:numFmt w:val="decimal"/>
      <w:pStyle w:val="19"/>
      <w:lvlText w:val="%1.%2.%3 "/>
      <w:lvlJc w:val="left"/>
      <w:pPr>
        <w:ind w:left="720" w:hanging="720"/>
      </w:pPr>
      <w:rPr>
        <w:rFonts w:hint="default" w:ascii="Times New Roman" w:hAnsi="Times New Roman" w:eastAsia="宋体" w:cs="宋体"/>
      </w:rPr>
    </w:lvl>
    <w:lvl w:ilvl="3" w:tentative="0">
      <w:start w:val="1"/>
      <w:numFmt w:val="decimal"/>
      <w:pStyle w:val="3"/>
      <w:lvlText w:val="%1.%2.%3.%4."/>
      <w:lvlJc w:val="left"/>
      <w:pPr>
        <w:ind w:left="864" w:hanging="864"/>
      </w:pPr>
      <w:rPr>
        <w:rFonts w:hint="default"/>
      </w:rPr>
    </w:lvl>
    <w:lvl w:ilvl="4" w:tentative="0">
      <w:start w:val="1"/>
      <w:numFmt w:val="decimal"/>
      <w:pStyle w:val="4"/>
      <w:lvlText w:val="%1.%2.%3.%4.%5."/>
      <w:lvlJc w:val="left"/>
      <w:pPr>
        <w:ind w:left="1008" w:hanging="1008"/>
      </w:pPr>
      <w:rPr>
        <w:rFonts w:hint="default"/>
      </w:rPr>
    </w:lvl>
    <w:lvl w:ilvl="5" w:tentative="0">
      <w:start w:val="1"/>
      <w:numFmt w:val="decimal"/>
      <w:pStyle w:val="5"/>
      <w:lvlText w:val="%1.%2.%3.%4.%5.%6."/>
      <w:lvlJc w:val="left"/>
      <w:pPr>
        <w:ind w:left="1151" w:hanging="1151"/>
      </w:pPr>
      <w:rPr>
        <w:rFonts w:hint="default"/>
      </w:rPr>
    </w:lvl>
    <w:lvl w:ilvl="6" w:tentative="0">
      <w:start w:val="1"/>
      <w:numFmt w:val="decimal"/>
      <w:pStyle w:val="6"/>
      <w:lvlText w:val="%1.%2.%3.%4.%5.%6.%7."/>
      <w:lvlJc w:val="left"/>
      <w:pPr>
        <w:ind w:left="1296" w:hanging="1296"/>
      </w:pPr>
      <w:rPr>
        <w:rFonts w:hint="default"/>
      </w:rPr>
    </w:lvl>
    <w:lvl w:ilvl="7" w:tentative="0">
      <w:start w:val="1"/>
      <w:numFmt w:val="decimal"/>
      <w:pStyle w:val="7"/>
      <w:lvlText w:val="%1.%2.%3.%4.%5.%6.%7.%8."/>
      <w:lvlJc w:val="left"/>
      <w:pPr>
        <w:ind w:left="1440" w:hanging="1440"/>
      </w:pPr>
      <w:rPr>
        <w:rFonts w:hint="default"/>
      </w:rPr>
    </w:lvl>
    <w:lvl w:ilvl="8" w:tentative="0">
      <w:start w:val="1"/>
      <w:numFmt w:val="decimal"/>
      <w:pStyle w:val="8"/>
      <w:lvlText w:val="%1.%2.%3.%4.%5.%6.%7.%8.%9."/>
      <w:lvlJc w:val="left"/>
      <w:pPr>
        <w:ind w:left="1583" w:hanging="1583"/>
      </w:pPr>
      <w:rPr>
        <w:rFonts w:hint="default"/>
      </w:r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811747"/>
    <w:rsid w:val="000D5979"/>
    <w:rsid w:val="0011157C"/>
    <w:rsid w:val="00160326"/>
    <w:rsid w:val="00180C78"/>
    <w:rsid w:val="00183197"/>
    <w:rsid w:val="00325B3A"/>
    <w:rsid w:val="00383BE3"/>
    <w:rsid w:val="003A305A"/>
    <w:rsid w:val="004C3B04"/>
    <w:rsid w:val="00515767"/>
    <w:rsid w:val="00540566"/>
    <w:rsid w:val="0055557A"/>
    <w:rsid w:val="005607D3"/>
    <w:rsid w:val="0059505D"/>
    <w:rsid w:val="005C3E2A"/>
    <w:rsid w:val="005D5C1C"/>
    <w:rsid w:val="006064BF"/>
    <w:rsid w:val="00627CDC"/>
    <w:rsid w:val="006A35DA"/>
    <w:rsid w:val="006E50F6"/>
    <w:rsid w:val="007259DA"/>
    <w:rsid w:val="00725A66"/>
    <w:rsid w:val="00775D7C"/>
    <w:rsid w:val="008A0099"/>
    <w:rsid w:val="008F4A90"/>
    <w:rsid w:val="009978C8"/>
    <w:rsid w:val="00A9105C"/>
    <w:rsid w:val="00AA4BA9"/>
    <w:rsid w:val="00B060A9"/>
    <w:rsid w:val="00B25F70"/>
    <w:rsid w:val="00B8674F"/>
    <w:rsid w:val="00BB3079"/>
    <w:rsid w:val="00BF6DAE"/>
    <w:rsid w:val="00C213FF"/>
    <w:rsid w:val="00C333C9"/>
    <w:rsid w:val="00C37548"/>
    <w:rsid w:val="00CE7A78"/>
    <w:rsid w:val="00D260A2"/>
    <w:rsid w:val="00DA0D5E"/>
    <w:rsid w:val="00E32CA1"/>
    <w:rsid w:val="00E40814"/>
    <w:rsid w:val="00E42B24"/>
    <w:rsid w:val="00E5490D"/>
    <w:rsid w:val="00E62E81"/>
    <w:rsid w:val="00E73A16"/>
    <w:rsid w:val="00EC56E7"/>
    <w:rsid w:val="00EF550B"/>
    <w:rsid w:val="00EF5E1B"/>
    <w:rsid w:val="00F21A42"/>
    <w:rsid w:val="0C105589"/>
    <w:rsid w:val="0C8D49E7"/>
    <w:rsid w:val="0F192C22"/>
    <w:rsid w:val="150E61AC"/>
    <w:rsid w:val="18811747"/>
    <w:rsid w:val="1EAE24D3"/>
    <w:rsid w:val="29A807A1"/>
    <w:rsid w:val="2EA44B0D"/>
    <w:rsid w:val="35FD61FB"/>
    <w:rsid w:val="3C493DBD"/>
    <w:rsid w:val="3D764D7C"/>
    <w:rsid w:val="406234F6"/>
    <w:rsid w:val="41470A15"/>
    <w:rsid w:val="46B40DBE"/>
    <w:rsid w:val="46F31DCE"/>
    <w:rsid w:val="4E7D2678"/>
    <w:rsid w:val="53BA7BFF"/>
    <w:rsid w:val="546D16A8"/>
    <w:rsid w:val="55832843"/>
    <w:rsid w:val="55F25B88"/>
    <w:rsid w:val="57A90EDA"/>
    <w:rsid w:val="5A991F68"/>
    <w:rsid w:val="5DEC4FFD"/>
    <w:rsid w:val="5EF019B5"/>
    <w:rsid w:val="61444B4B"/>
    <w:rsid w:val="626D008D"/>
    <w:rsid w:val="66DA5BA3"/>
    <w:rsid w:val="70BC28E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HAnsi" w:hAnsiTheme="minorHAnsi" w:cstheme="minorBidi"/>
      <w:smallCaps/>
      <w:kern w:val="2"/>
      <w:sz w:val="32"/>
      <w:szCs w:val="24"/>
      <w:lang w:val="en-US" w:eastAsia="zh-CN" w:bidi="ar-SA"/>
    </w:rPr>
  </w:style>
  <w:style w:type="paragraph" w:styleId="2">
    <w:name w:val="heading 1"/>
    <w:basedOn w:val="1"/>
    <w:next w:val="1"/>
    <w:qFormat/>
    <w:uiPriority w:val="0"/>
    <w:pPr>
      <w:keepNext/>
      <w:keepLines/>
      <w:outlineLvl w:val="0"/>
    </w:pPr>
    <w:rPr>
      <w:rFonts w:ascii="Calibri" w:hAnsi="Calibri" w:eastAsia="宋体" w:cs="Times New Roman"/>
      <w:kern w:val="44"/>
      <w:sz w:val="24"/>
    </w:rPr>
  </w:style>
  <w:style w:type="paragraph" w:styleId="3">
    <w:name w:val="heading 4"/>
    <w:basedOn w:val="1"/>
    <w:next w:val="1"/>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4">
    <w:name w:val="heading 5"/>
    <w:basedOn w:val="1"/>
    <w:next w:val="1"/>
    <w:unhideWhenUsed/>
    <w:qFormat/>
    <w:uiPriority w:val="0"/>
    <w:pPr>
      <w:keepNext/>
      <w:keepLines/>
      <w:numPr>
        <w:ilvl w:val="4"/>
        <w:numId w:val="1"/>
      </w:numPr>
      <w:spacing w:before="280" w:after="290" w:line="372" w:lineRule="auto"/>
      <w:outlineLvl w:val="4"/>
    </w:pPr>
    <w:rPr>
      <w:b/>
      <w:sz w:val="28"/>
    </w:rPr>
  </w:style>
  <w:style w:type="paragraph" w:styleId="5">
    <w:name w:val="heading 6"/>
    <w:basedOn w:val="1"/>
    <w:next w:val="1"/>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6">
    <w:name w:val="heading 7"/>
    <w:basedOn w:val="1"/>
    <w:next w:val="1"/>
    <w:unhideWhenUsed/>
    <w:qFormat/>
    <w:uiPriority w:val="0"/>
    <w:pPr>
      <w:keepNext/>
      <w:keepLines/>
      <w:numPr>
        <w:ilvl w:val="6"/>
        <w:numId w:val="1"/>
      </w:numPr>
      <w:spacing w:before="240" w:after="64" w:line="317" w:lineRule="auto"/>
      <w:outlineLvl w:val="6"/>
    </w:pPr>
    <w:rPr>
      <w:b/>
      <w:sz w:val="24"/>
    </w:rPr>
  </w:style>
  <w:style w:type="paragraph" w:styleId="7">
    <w:name w:val="heading 8"/>
    <w:basedOn w:val="1"/>
    <w:next w:val="1"/>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8">
    <w:name w:val="heading 9"/>
    <w:basedOn w:val="1"/>
    <w:next w:val="1"/>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2">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9">
    <w:name w:val="endnote text"/>
    <w:basedOn w:val="1"/>
    <w:qFormat/>
    <w:uiPriority w:val="0"/>
    <w:pPr>
      <w:snapToGrid w:val="0"/>
      <w:spacing w:line="320" w:lineRule="exact"/>
      <w:jc w:val="left"/>
    </w:pPr>
    <w:rPr>
      <w:rFonts w:ascii="Times New Roman" w:hAnsi="Times New Roman" w:eastAsia="宋体"/>
    </w:rPr>
  </w:style>
  <w:style w:type="paragraph" w:styleId="10">
    <w:name w:val="footer"/>
    <w:basedOn w:val="1"/>
    <w:link w:val="25"/>
    <w:qFormat/>
    <w:uiPriority w:val="0"/>
    <w:pPr>
      <w:tabs>
        <w:tab w:val="center" w:pos="4153"/>
        <w:tab w:val="right" w:pos="8306"/>
      </w:tabs>
      <w:snapToGrid w:val="0"/>
      <w:jc w:val="left"/>
    </w:pPr>
    <w:rPr>
      <w:sz w:val="18"/>
      <w:szCs w:val="18"/>
    </w:rPr>
  </w:style>
  <w:style w:type="paragraph" w:styleId="11">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character" w:styleId="13">
    <w:name w:val="endnote reference"/>
    <w:qFormat/>
    <w:uiPriority w:val="0"/>
    <w:rPr>
      <w:rFonts w:ascii="Times New Roman" w:hAnsi="Times New Roman" w:eastAsia="宋体"/>
      <w:vertAlign w:val="superscript"/>
    </w:rPr>
  </w:style>
  <w:style w:type="table" w:styleId="1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customStyle="1" w:styleId="16">
    <w:name w:val="论文正文一级标题"/>
    <w:basedOn w:val="1"/>
    <w:qFormat/>
    <w:uiPriority w:val="0"/>
  </w:style>
  <w:style w:type="paragraph" w:customStyle="1" w:styleId="17">
    <w:name w:val="论文正文标题1"/>
    <w:basedOn w:val="1"/>
    <w:qFormat/>
    <w:uiPriority w:val="0"/>
    <w:pPr>
      <w:numPr>
        <w:ilvl w:val="0"/>
        <w:numId w:val="1"/>
      </w:numPr>
      <w:spacing w:before="480" w:after="360"/>
      <w:outlineLvl w:val="0"/>
    </w:pPr>
    <w:rPr>
      <w:rFonts w:ascii="Times New Roman" w:hAnsi="Times New Roman" w:eastAsia="黑体"/>
    </w:rPr>
  </w:style>
  <w:style w:type="paragraph" w:customStyle="1" w:styleId="18">
    <w:name w:val="论文正文标题2"/>
    <w:basedOn w:val="17"/>
    <w:qFormat/>
    <w:uiPriority w:val="0"/>
    <w:pPr>
      <w:numPr>
        <w:ilvl w:val="1"/>
      </w:numPr>
      <w:spacing w:after="120"/>
      <w:ind w:left="0" w:firstLine="0"/>
      <w:outlineLvl w:val="1"/>
    </w:pPr>
    <w:rPr>
      <w:sz w:val="26"/>
    </w:rPr>
  </w:style>
  <w:style w:type="paragraph" w:customStyle="1" w:styleId="19">
    <w:name w:val="论文正文标题3"/>
    <w:basedOn w:val="18"/>
    <w:qFormat/>
    <w:uiPriority w:val="0"/>
    <w:pPr>
      <w:numPr>
        <w:ilvl w:val="2"/>
      </w:numPr>
      <w:spacing w:before="240"/>
      <w:outlineLvl w:val="2"/>
    </w:pPr>
  </w:style>
  <w:style w:type="paragraph" w:customStyle="1" w:styleId="20">
    <w:name w:val="论文正文"/>
    <w:basedOn w:val="1"/>
    <w:qFormat/>
    <w:uiPriority w:val="0"/>
    <w:pPr>
      <w:spacing w:line="400" w:lineRule="exact"/>
      <w:ind w:firstLine="562" w:firstLineChars="200"/>
    </w:pPr>
    <w:rPr>
      <w:rFonts w:ascii="Times New Roman" w:hAnsi="Times New Roman" w:eastAsia="宋体"/>
      <w:sz w:val="24"/>
    </w:rPr>
  </w:style>
  <w:style w:type="paragraph" w:customStyle="1" w:styleId="21">
    <w:name w:val="章标题"/>
    <w:next w:val="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2">
    <w:name w:val="一级条标题"/>
    <w:next w:val="23"/>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4">
    <w:name w:val="页眉 Char"/>
    <w:basedOn w:val="12"/>
    <w:link w:val="11"/>
    <w:qFormat/>
    <w:uiPriority w:val="0"/>
    <w:rPr>
      <w:rFonts w:eastAsia="仿宋" w:asciiTheme="minorHAnsi" w:hAnsiTheme="minorHAnsi" w:cstheme="minorBidi"/>
      <w:smallCaps/>
      <w:kern w:val="2"/>
      <w:sz w:val="18"/>
      <w:szCs w:val="18"/>
    </w:rPr>
  </w:style>
  <w:style w:type="character" w:customStyle="1" w:styleId="25">
    <w:name w:val="页脚 Char"/>
    <w:basedOn w:val="12"/>
    <w:link w:val="10"/>
    <w:qFormat/>
    <w:uiPriority w:val="0"/>
    <w:rPr>
      <w:rFonts w:eastAsia="仿宋" w:asciiTheme="minorHAnsi" w:hAnsiTheme="minorHAnsi" w:cstheme="minorBidi"/>
      <w:smallCaps/>
      <w:kern w:val="2"/>
      <w:sz w:val="18"/>
      <w:szCs w:val="18"/>
    </w:rPr>
  </w:style>
  <w:style w:type="paragraph" w:styleId="26">
    <w:name w:val="List Paragraph"/>
    <w:basedOn w:val="1"/>
    <w:qFormat/>
    <w:uiPriority w:val="99"/>
    <w:pPr>
      <w:ind w:firstLine="420" w:firstLineChars="200"/>
    </w:pPr>
  </w:style>
  <w:style w:type="paragraph" w:customStyle="1" w:styleId="27">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28">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610b002-348c-4ead-9796-b067cc4bb050}"/>
        <w:style w:val=""/>
        <w:category>
          <w:name w:val="常规"/>
          <w:gallery w:val="placeholder"/>
        </w:category>
        <w:types>
          <w:type w:val="bbPlcHdr"/>
        </w:types>
        <w:behaviors>
          <w:behavior w:val="content"/>
        </w:behaviors>
        <w:description w:val=""/>
        <w:guid w:val="{B610B002-348C-4EAD-9796-B067CC4BB050}"/>
      </w:docPartPr>
      <w:docPartBody>
        <w:p>
          <w:r>
            <w:rPr>
              <w:color w:val="808080"/>
            </w:rPr>
            <w:t>单击此处输入文字。</w:t>
          </w:r>
        </w:p>
      </w:docPartBody>
    </w:docPart>
    <w:docPart>
      <w:docPartPr>
        <w:name w:val="{e1d971fa-5f40-4034-ba1c-5719528a25cc}"/>
        <w:style w:val=""/>
        <w:category>
          <w:name w:val="常规"/>
          <w:gallery w:val="placeholder"/>
        </w:category>
        <w:types>
          <w:type w:val="bbPlcHdr"/>
        </w:types>
        <w:behaviors>
          <w:behavior w:val="content"/>
        </w:behaviors>
        <w:description w:val=""/>
        <w:guid w:val="{E1D971FA-5F40-4034-BA1C-5719528A25CC}"/>
      </w:docPartPr>
      <w:docPartBody>
        <w:p>
          <w:r>
            <w:rPr>
              <w:color w:val="808080"/>
            </w:rPr>
            <w:t>单击此处输入文字。</w:t>
          </w:r>
        </w:p>
      </w:docPartBody>
    </w:docPart>
    <w:docPart>
      <w:docPartPr>
        <w:name w:val="{e570a7c1-c441-452b-9b92-d6aeb36bfc1c}"/>
        <w:style w:val=""/>
        <w:category>
          <w:name w:val="常规"/>
          <w:gallery w:val="placeholder"/>
        </w:category>
        <w:types>
          <w:type w:val="bbPlcHdr"/>
        </w:types>
        <w:behaviors>
          <w:behavior w:val="content"/>
        </w:behaviors>
        <w:description w:val=""/>
        <w:guid w:val="{E570A7C1-C441-452B-9B92-D6AEB36BFC1C}"/>
      </w:docPartPr>
      <w:docPartBody>
        <w:p>
          <w:r>
            <w:rPr>
              <w:color w:val="808080"/>
            </w:rPr>
            <w:t>单击此处输入文字。</w:t>
          </w:r>
        </w:p>
      </w:docPartBody>
    </w:docPart>
    <w:docPart>
      <w:docPartPr>
        <w:name w:val="{cfb5052a-18e2-41f4-8b8f-0f4601a2356d}"/>
        <w:style w:val=""/>
        <w:category>
          <w:name w:val="常规"/>
          <w:gallery w:val="placeholder"/>
        </w:category>
        <w:types>
          <w:type w:val="bbPlcHdr"/>
        </w:types>
        <w:behaviors>
          <w:behavior w:val="content"/>
        </w:behaviors>
        <w:description w:val=""/>
        <w:guid w:val="{CFB5052A-18E2-41F4-8B8F-0F4601A2356D}"/>
      </w:docPartPr>
      <w:docPartBody>
        <w:p>
          <w:r>
            <w:rPr>
              <w:color w:val="808080"/>
            </w:rPr>
            <w:t>单击此处输入文字。</w:t>
          </w:r>
        </w:p>
      </w:docPartBody>
    </w:docPart>
    <w:docPart>
      <w:docPartPr>
        <w:name w:val="{d5afcfbb-2603-47db-82a4-4f598026e1fb}"/>
        <w:style w:val=""/>
        <w:category>
          <w:name w:val="常规"/>
          <w:gallery w:val="placeholder"/>
        </w:category>
        <w:types>
          <w:type w:val="bbPlcHdr"/>
        </w:types>
        <w:behaviors>
          <w:behavior w:val="content"/>
        </w:behaviors>
        <w:description w:val=""/>
        <w:guid w:val="{D5AFCFBB-2603-47DB-82A4-4F598026E1FB}"/>
      </w:docPartPr>
      <w:docPartBody>
        <w:p>
          <w:r>
            <w:rPr>
              <w:color w:val="808080"/>
            </w:rPr>
            <w:t>单击此处输入文字。</w:t>
          </w:r>
        </w:p>
      </w:docPartBody>
    </w:docPart>
    <w:docPart>
      <w:docPartPr>
        <w:name w:val="{4739b297-ab53-477e-833a-0bc0d6a1bea3}"/>
        <w:style w:val=""/>
        <w:category>
          <w:name w:val="常规"/>
          <w:gallery w:val="placeholder"/>
        </w:category>
        <w:types>
          <w:type w:val="bbPlcHdr"/>
        </w:types>
        <w:behaviors>
          <w:behavior w:val="content"/>
        </w:behaviors>
        <w:description w:val=""/>
        <w:guid w:val="{4739B297-AB53-477E-833A-0BC0D6A1BEA3}"/>
      </w:docPartPr>
      <w:docPartBody>
        <w:p>
          <w:r>
            <w:rPr>
              <w:color w:val="808080"/>
            </w:rPr>
            <w:t>单击此处输入文字。</w:t>
          </w:r>
        </w:p>
      </w:docPartBody>
    </w:docPart>
    <w:docPart>
      <w:docPartPr>
        <w:name w:val="{8a88b9b7-09cb-4aae-9301-d039a5b42fb7}"/>
        <w:style w:val=""/>
        <w:category>
          <w:name w:val="常规"/>
          <w:gallery w:val="placeholder"/>
        </w:category>
        <w:types>
          <w:type w:val="bbPlcHdr"/>
        </w:types>
        <w:behaviors>
          <w:behavior w:val="content"/>
        </w:behaviors>
        <w:description w:val=""/>
        <w:guid w:val="{8A88B9B7-09CB-4AAE-9301-D039A5B42FB7}"/>
      </w:docPartPr>
      <w:docPartBody>
        <w:p>
          <w:r>
            <w:rPr>
              <w:color w:val="808080"/>
            </w:rPr>
            <w:t>单击此处输入文字。</w:t>
          </w:r>
        </w:p>
      </w:docPartBody>
    </w:docPart>
    <w:docPart>
      <w:docPartPr>
        <w:name w:val="{987669cd-fc08-4eab-a36d-a57d36cddcde}"/>
        <w:style w:val=""/>
        <w:category>
          <w:name w:val="常规"/>
          <w:gallery w:val="placeholder"/>
        </w:category>
        <w:types>
          <w:type w:val="bbPlcHdr"/>
        </w:types>
        <w:behaviors>
          <w:behavior w:val="content"/>
        </w:behaviors>
        <w:description w:val=""/>
        <w:guid w:val="{987669CD-FC08-4EAB-A36D-A57D36CDDCDE}"/>
      </w:docPartPr>
      <w:docPartBody>
        <w:p>
          <w:r>
            <w:rPr>
              <w:color w:val="808080"/>
            </w:rPr>
            <w:t>单击此处输入文字。</w:t>
          </w:r>
        </w:p>
      </w:docPartBody>
    </w:docPart>
    <w:docPart>
      <w:docPartPr>
        <w:name w:val="{4aa974e3-6ab4-4846-ad80-b9fa3b8295e3}"/>
        <w:style w:val=""/>
        <w:category>
          <w:name w:val="常规"/>
          <w:gallery w:val="placeholder"/>
        </w:category>
        <w:types>
          <w:type w:val="bbPlcHdr"/>
        </w:types>
        <w:behaviors>
          <w:behavior w:val="content"/>
        </w:behaviors>
        <w:description w:val=""/>
        <w:guid w:val="{4AA974E3-6AB4-4846-AD80-B9FA3B8295E3}"/>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79206A"/>
    <w:rsid w:val="00792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2244</Words>
  <Characters>12795</Characters>
  <Lines>106</Lines>
  <Paragraphs>30</Paragraphs>
  <TotalTime>9</TotalTime>
  <ScaleCrop>false</ScaleCrop>
  <LinksUpToDate>false</LinksUpToDate>
  <CharactersWithSpaces>15009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2019-05-31T07:16:00Z</dcterms:created>
  <dc:creator>guangzhi1988</dc:creator>
  <cp:lastModifiedBy>Administrator</cp:lastModifiedBy>
  <dcterms:modified xsi:type="dcterms:W3CDTF">2019-07-29T07:03:57Z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