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C7" w:rsidRDefault="006A081D">
      <w:pPr>
        <w:spacing w:line="59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附件</w:t>
      </w:r>
      <w:r>
        <w:rPr>
          <w:rFonts w:ascii="方正仿宋_GBK" w:eastAsia="方正仿宋_GBK" w:hint="eastAsia"/>
          <w:b/>
          <w:sz w:val="32"/>
          <w:szCs w:val="32"/>
        </w:rPr>
        <w:t>1</w:t>
      </w:r>
    </w:p>
    <w:p w:rsidR="006A17C7" w:rsidRDefault="006A081D">
      <w:pPr>
        <w:suppressAutoHyphens/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部分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不合格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项目的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小知识</w:t>
      </w:r>
    </w:p>
    <w:p w:rsidR="006A17C7" w:rsidRDefault="006A17C7">
      <w:pPr>
        <w:suppressAutoHyphens/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6A17C7" w:rsidRDefault="006A081D">
      <w:pPr>
        <w:pStyle w:val="ac"/>
        <w:spacing w:line="590" w:lineRule="exact"/>
        <w:ind w:left="420"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一、呈味核苷酸二钠</w:t>
      </w:r>
    </w:p>
    <w:p w:rsidR="006A17C7" w:rsidRDefault="006A081D">
      <w:pPr>
        <w:ind w:firstLineChars="200" w:firstLine="640"/>
        <w:rPr>
          <w:rFonts w:ascii="仿宋_GB2312" w:eastAsia="仿宋_GB2312" w:hAnsi="ˎ̥" w:cs="Arial"/>
          <w:sz w:val="32"/>
          <w:szCs w:val="32"/>
        </w:rPr>
      </w:pPr>
      <w:r>
        <w:rPr>
          <w:rFonts w:ascii="仿宋_GB2312" w:eastAsia="仿宋_GB2312" w:hAnsi="ˎ̥" w:cs="Arial" w:hint="eastAsia"/>
          <w:sz w:val="32"/>
          <w:szCs w:val="32"/>
        </w:rPr>
        <w:t>呈味核苷酸二钠是一种</w:t>
      </w:r>
      <w:hyperlink r:id="rId9" w:tgtFrame="http://baike.sogou.com/_blank" w:history="1">
        <w:r>
          <w:rPr>
            <w:rFonts w:ascii="仿宋_GB2312" w:eastAsia="仿宋_GB2312" w:hAnsi="ˎ̥" w:cs="Arial"/>
            <w:sz w:val="32"/>
            <w:szCs w:val="32"/>
          </w:rPr>
          <w:t>增味剂</w:t>
        </w:r>
      </w:hyperlink>
      <w:r>
        <w:rPr>
          <w:rFonts w:ascii="仿宋_GB2312" w:eastAsia="仿宋_GB2312" w:hAnsi="ˎ̥" w:cs="Arial"/>
          <w:sz w:val="32"/>
          <w:szCs w:val="32"/>
        </w:rPr>
        <w:t>（</w:t>
      </w:r>
      <w:hyperlink r:id="rId10" w:tgtFrame="http://baike.sogou.com/_blank" w:history="1">
        <w:r>
          <w:rPr>
            <w:rFonts w:ascii="仿宋_GB2312" w:eastAsia="仿宋_GB2312" w:hAnsi="ˎ̥" w:cs="Arial"/>
            <w:sz w:val="32"/>
            <w:szCs w:val="32"/>
          </w:rPr>
          <w:t>鲜味剂</w:t>
        </w:r>
      </w:hyperlink>
      <w:r>
        <w:rPr>
          <w:rFonts w:ascii="仿宋_GB2312" w:eastAsia="仿宋_GB2312" w:hAnsi="ˎ̥" w:cs="Arial"/>
          <w:sz w:val="32"/>
          <w:szCs w:val="32"/>
        </w:rPr>
        <w:t>）</w:t>
      </w:r>
      <w:r>
        <w:rPr>
          <w:rFonts w:ascii="仿宋_GB2312" w:eastAsia="仿宋_GB2312" w:hAnsi="ˎ̥" w:cs="Arial" w:hint="eastAsia"/>
          <w:sz w:val="32"/>
          <w:szCs w:val="32"/>
        </w:rPr>
        <w:t>，</w:t>
      </w:r>
      <w:r>
        <w:rPr>
          <w:rFonts w:ascii="仿宋_GB2312" w:eastAsia="仿宋_GB2312" w:hAnsi="ˎ̥" w:cs="Arial"/>
          <w:sz w:val="32"/>
          <w:szCs w:val="32"/>
        </w:rPr>
        <w:t>为白色至米黄色结晶或粉末，无臭，味鲜，与</w:t>
      </w:r>
      <w:hyperlink r:id="rId11" w:tgtFrame="http://baike.sogou.com/_blank" w:history="1">
        <w:r>
          <w:rPr>
            <w:rFonts w:ascii="仿宋_GB2312" w:eastAsia="仿宋_GB2312" w:hAnsi="ˎ̥" w:cs="Arial"/>
            <w:sz w:val="32"/>
            <w:szCs w:val="32"/>
          </w:rPr>
          <w:t>谷氨酸钠</w:t>
        </w:r>
      </w:hyperlink>
      <w:r>
        <w:rPr>
          <w:rFonts w:ascii="仿宋_GB2312" w:eastAsia="仿宋_GB2312" w:hAnsi="ˎ̥" w:cs="Arial"/>
          <w:sz w:val="32"/>
          <w:szCs w:val="32"/>
        </w:rPr>
        <w:t>合用有显著的</w:t>
      </w:r>
      <w:hyperlink r:id="rId12" w:tgtFrame="http://baike.sogou.com/_blank" w:history="1">
        <w:r>
          <w:rPr>
            <w:rFonts w:ascii="仿宋_GB2312" w:eastAsia="仿宋_GB2312" w:hAnsi="ˎ̥" w:cs="Arial"/>
            <w:sz w:val="32"/>
            <w:szCs w:val="32"/>
          </w:rPr>
          <w:t>协同作用</w:t>
        </w:r>
      </w:hyperlink>
      <w:r>
        <w:rPr>
          <w:rFonts w:ascii="仿宋_GB2312" w:eastAsia="仿宋_GB2312" w:hAnsi="ˎ̥" w:cs="Arial"/>
          <w:sz w:val="32"/>
          <w:szCs w:val="32"/>
        </w:rPr>
        <w:t>，鲜度大增。可直接加入到食品中，起增鲜作用。是较为经济而且效果最好的鲜味</w:t>
      </w:r>
      <w:hyperlink r:id="rId13" w:tgtFrame="http://baike.sogou.com/_blank" w:history="1">
        <w:r>
          <w:rPr>
            <w:rFonts w:ascii="仿宋_GB2312" w:eastAsia="仿宋_GB2312" w:hAnsi="ˎ̥" w:cs="Arial"/>
            <w:sz w:val="32"/>
            <w:szCs w:val="32"/>
          </w:rPr>
          <w:t>增强剂</w:t>
        </w:r>
      </w:hyperlink>
      <w:r>
        <w:rPr>
          <w:rFonts w:ascii="仿宋_GB2312" w:eastAsia="仿宋_GB2312" w:hAnsi="ˎ̥" w:cs="Arial"/>
          <w:sz w:val="32"/>
          <w:szCs w:val="32"/>
        </w:rPr>
        <w:t>，是方便面调味包、调味品如鸡精、鸡粉和增鲜酱油等的主要呈味成份之一；与谷氨酸钠（味精）混合使用，其用量约为味精的</w:t>
      </w:r>
      <w:r>
        <w:rPr>
          <w:rFonts w:ascii="仿宋_GB2312" w:eastAsia="仿宋_GB2312" w:hAnsi="ˎ̥" w:cs="Arial"/>
          <w:sz w:val="32"/>
          <w:szCs w:val="32"/>
        </w:rPr>
        <w:t>2%-5%</w:t>
      </w:r>
      <w:r>
        <w:rPr>
          <w:rFonts w:ascii="仿宋_GB2312" w:eastAsia="仿宋_GB2312" w:hAnsi="ˎ̥" w:cs="Arial"/>
          <w:sz w:val="32"/>
          <w:szCs w:val="32"/>
        </w:rPr>
        <w:t>，有</w:t>
      </w:r>
      <w:r>
        <w:rPr>
          <w:rFonts w:ascii="仿宋_GB2312" w:eastAsia="仿宋_GB2312" w:hAnsi="ˎ̥" w:cs="Arial"/>
          <w:sz w:val="32"/>
          <w:szCs w:val="32"/>
        </w:rPr>
        <w:t>“</w:t>
      </w:r>
      <w:r>
        <w:rPr>
          <w:rFonts w:ascii="仿宋_GB2312" w:eastAsia="仿宋_GB2312" w:hAnsi="ˎ̥" w:cs="Arial"/>
          <w:sz w:val="32"/>
          <w:szCs w:val="32"/>
        </w:rPr>
        <w:t>强力味精</w:t>
      </w:r>
      <w:r>
        <w:rPr>
          <w:rFonts w:ascii="仿宋_GB2312" w:eastAsia="仿宋_GB2312" w:hAnsi="ˎ̥" w:cs="Arial"/>
          <w:sz w:val="32"/>
          <w:szCs w:val="32"/>
        </w:rPr>
        <w:t>”</w:t>
      </w:r>
      <w:r>
        <w:rPr>
          <w:rFonts w:ascii="仿宋_GB2312" w:eastAsia="仿宋_GB2312" w:hAnsi="ˎ̥" w:cs="Arial"/>
          <w:sz w:val="32"/>
          <w:szCs w:val="32"/>
        </w:rPr>
        <w:t>之称。</w:t>
      </w:r>
    </w:p>
    <w:p w:rsidR="006A17C7" w:rsidRDefault="006A081D">
      <w:pPr>
        <w:spacing w:line="640" w:lineRule="exact"/>
        <w:ind w:firstLineChars="200" w:firstLine="640"/>
        <w:rPr>
          <w:rFonts w:ascii="Times New Roman" w:eastAsia="黑体" w:hAnsi="Times New Roman"/>
          <w:spacing w:val="-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Times New Roman" w:eastAsia="黑体" w:hAnsi="Times New Roman" w:hint="eastAsia"/>
          <w:spacing w:val="-12"/>
          <w:sz w:val="32"/>
          <w:szCs w:val="32"/>
        </w:rPr>
        <w:t>菌落总数</w:t>
      </w:r>
    </w:p>
    <w:p w:rsidR="006A17C7" w:rsidRDefault="006A081D">
      <w:pPr>
        <w:spacing w:line="64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 w:rsidR="006A17C7" w:rsidRDefault="006A081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三、大肠菌群</w:t>
      </w:r>
    </w:p>
    <w:p w:rsidR="006A17C7" w:rsidRDefault="006A081D">
      <w:pPr>
        <w:spacing w:line="360" w:lineRule="auto"/>
        <w:ind w:firstLineChars="200" w:firstLine="640"/>
        <w:rPr>
          <w:rFonts w:ascii="仿宋_GB2312" w:eastAsia="仿宋_GB2312" w:hAnsi="ˎ̥" w:cs="Arial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大肠菌</w:t>
      </w:r>
      <w:r>
        <w:rPr>
          <w:rFonts w:ascii="仿宋_GB2312" w:eastAsia="仿宋_GB2312" w:hint="eastAsia"/>
          <w:sz w:val="32"/>
          <w:szCs w:val="32"/>
        </w:rPr>
        <w:t>群是国内外通用的食品污染常用指示菌之一。食品中检出大肠菌群，提示被致病菌（如沙门氏菌、志贺氏菌、致病性大肠杆菌）污染的可能性较大。大肠菌群超标可能由</w:t>
      </w:r>
      <w:r>
        <w:rPr>
          <w:rFonts w:ascii="仿宋_GB2312" w:eastAsia="仿宋_GB2312" w:hint="eastAsia"/>
          <w:sz w:val="32"/>
          <w:szCs w:val="32"/>
        </w:rPr>
        <w:lastRenderedPageBreak/>
        <w:t>于产品的加工原料、包装材料受污染，或在生产过程中产品受人员、工器具等生产设备、环境的污染、有灭菌工艺的产</w:t>
      </w:r>
      <w:r>
        <w:rPr>
          <w:rFonts w:ascii="仿宋_GB2312" w:eastAsia="仿宋_GB2312" w:hAnsi="ˎ̥" w:cs="Arial" w:hint="eastAsia"/>
          <w:sz w:val="32"/>
          <w:szCs w:val="32"/>
        </w:rPr>
        <w:t>品灭菌不彻底而导致。</w:t>
      </w:r>
    </w:p>
    <w:p w:rsidR="006A17C7" w:rsidRDefault="006A081D">
      <w:pPr>
        <w:spacing w:line="640" w:lineRule="exact"/>
        <w:ind w:firstLineChars="200" w:firstLine="592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pacing w:val="-12"/>
          <w:sz w:val="32"/>
          <w:szCs w:val="32"/>
        </w:rPr>
        <w:t>四</w:t>
      </w:r>
      <w:r>
        <w:rPr>
          <w:rFonts w:ascii="黑体" w:eastAsia="黑体" w:hAnsi="黑体" w:hint="eastAsia"/>
          <w:color w:val="000000" w:themeColor="text1"/>
          <w:spacing w:val="-12"/>
          <w:sz w:val="32"/>
          <w:szCs w:val="32"/>
        </w:rPr>
        <w:t>、</w:t>
      </w:r>
      <w:r>
        <w:rPr>
          <w:rFonts w:ascii="黑体" w:eastAsia="黑体" w:hAnsi="黑体" w:hint="eastAsia"/>
          <w:spacing w:val="-12"/>
          <w:sz w:val="32"/>
          <w:szCs w:val="32"/>
        </w:rPr>
        <w:t>二氧化硫残留量</w:t>
      </w:r>
    </w:p>
    <w:p w:rsidR="006A17C7" w:rsidRDefault="006A081D">
      <w:pPr>
        <w:pStyle w:val="ac"/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二氧化硫（以及焦亚硫酸钾、亚硫酸钠等添加剂）对食品有漂白、防腐和抗氧化作用，是食品加工中常用的漂白剂和防腐剂，使用后均产生二氧化硫残留。摄入少量二氧化硫，可在人体内经酶转化后由尿液排出</w:t>
      </w:r>
      <w:r>
        <w:rPr>
          <w:rFonts w:ascii="Times New Roman" w:eastAsia="仿宋_GB2312" w:hAnsi="Times New Roman" w:cs="Times New Roman"/>
          <w:sz w:val="32"/>
          <w:szCs w:val="32"/>
        </w:rPr>
        <w:t>体外，一般不会对人体健康造成不良影响，但如果长期过量摄入二氧化硫，可能会对健康不利。二氧化硫残留量超标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的原因，</w:t>
      </w:r>
      <w:r>
        <w:rPr>
          <w:rFonts w:ascii="Times New Roman" w:eastAsia="仿宋_GB2312" w:hAnsi="Times New Roman" w:cs="Times New Roman"/>
          <w:sz w:val="32"/>
          <w:szCs w:val="32"/>
        </w:rPr>
        <w:t>可能是加工过程中超范围或超限量使用亚硫酸盐等漂白剂，以达到漂白和防腐的作用，</w:t>
      </w:r>
      <w:r>
        <w:rPr>
          <w:rFonts w:ascii="仿宋_GB2312" w:eastAsia="仿宋_GB2312" w:hint="eastAsia"/>
          <w:sz w:val="32"/>
          <w:szCs w:val="32"/>
        </w:rPr>
        <w:t>从而导致产品中二氧化硫残留不符合要求。</w:t>
      </w:r>
    </w:p>
    <w:p w:rsidR="006A17C7" w:rsidRDefault="006A081D">
      <w:pPr>
        <w:spacing w:line="600" w:lineRule="exact"/>
        <w:ind w:firstLineChars="200" w:firstLine="592"/>
        <w:rPr>
          <w:rFonts w:eastAsia="黑体"/>
          <w:spacing w:val="-12"/>
          <w:sz w:val="32"/>
          <w:szCs w:val="32"/>
        </w:rPr>
      </w:pPr>
      <w:r>
        <w:rPr>
          <w:rFonts w:eastAsia="黑体" w:hint="eastAsia"/>
          <w:spacing w:val="-12"/>
          <w:sz w:val="32"/>
          <w:szCs w:val="32"/>
        </w:rPr>
        <w:t>五</w:t>
      </w:r>
      <w:r>
        <w:rPr>
          <w:rFonts w:eastAsia="黑体"/>
          <w:spacing w:val="-12"/>
          <w:sz w:val="32"/>
          <w:szCs w:val="32"/>
        </w:rPr>
        <w:t>、</w:t>
      </w:r>
      <w:r>
        <w:rPr>
          <w:rFonts w:eastAsia="黑体" w:hint="eastAsia"/>
          <w:spacing w:val="-12"/>
          <w:sz w:val="32"/>
          <w:szCs w:val="32"/>
        </w:rPr>
        <w:t>耗氧量</w:t>
      </w:r>
      <w:r>
        <w:rPr>
          <w:rFonts w:eastAsia="黑体" w:hint="eastAsia"/>
          <w:spacing w:val="-12"/>
          <w:sz w:val="32"/>
          <w:szCs w:val="32"/>
        </w:rPr>
        <w:t>(</w:t>
      </w:r>
      <w:r>
        <w:rPr>
          <w:rFonts w:eastAsia="黑体" w:hint="eastAsia"/>
          <w:spacing w:val="-12"/>
          <w:sz w:val="32"/>
          <w:szCs w:val="32"/>
        </w:rPr>
        <w:t>以</w:t>
      </w:r>
      <w:r w:rsidR="00CE5F3A">
        <w:rPr>
          <w:rFonts w:eastAsia="黑体" w:hint="eastAsia"/>
          <w:spacing w:val="-12"/>
          <w:sz w:val="32"/>
          <w:szCs w:val="32"/>
        </w:rPr>
        <w:t>O</w:t>
      </w:r>
      <w:r w:rsidR="00CE5F3A">
        <w:rPr>
          <w:rFonts w:eastAsia="黑体" w:hint="eastAsia"/>
          <w:spacing w:val="-12"/>
          <w:sz w:val="32"/>
          <w:szCs w:val="32"/>
          <w:vertAlign w:val="subscript"/>
        </w:rPr>
        <w:t>2</w:t>
      </w:r>
      <w:r>
        <w:rPr>
          <w:rFonts w:eastAsia="黑体" w:hint="eastAsia"/>
          <w:spacing w:val="-12"/>
          <w:sz w:val="32"/>
          <w:szCs w:val="32"/>
        </w:rPr>
        <w:t>计</w:t>
      </w:r>
      <w:r>
        <w:rPr>
          <w:rFonts w:eastAsia="黑体" w:hint="eastAsia"/>
          <w:spacing w:val="-12"/>
          <w:sz w:val="32"/>
          <w:szCs w:val="32"/>
        </w:rPr>
        <w:t>)</w:t>
      </w:r>
    </w:p>
    <w:p w:rsidR="006A17C7" w:rsidRDefault="006A08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耗氧量为每升水中在一定条件下被氧化剂氧化时消耗的氧化剂量。</w:t>
      </w:r>
      <w:r>
        <w:rPr>
          <w:rFonts w:ascii="仿宋_GB2312" w:eastAsia="仿宋_GB2312" w:hint="eastAsia"/>
          <w:sz w:val="32"/>
          <w:szCs w:val="32"/>
        </w:rPr>
        <w:t>GB19298-2014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包装饮用水》中规定饮用纯净水中耗氧量（以</w:t>
      </w:r>
      <w:r w:rsidR="00CE5F3A" w:rsidRPr="00CE5F3A">
        <w:rPr>
          <w:rFonts w:ascii="仿宋_GB2312" w:eastAsia="仿宋_GB2312"/>
          <w:sz w:val="32"/>
          <w:szCs w:val="32"/>
        </w:rPr>
        <w:t>O</w:t>
      </w:r>
      <w:r w:rsidR="00CE5F3A" w:rsidRPr="00CE5F3A">
        <w:rPr>
          <w:rFonts w:ascii="仿宋_GB2312" w:eastAsia="仿宋_GB2312"/>
          <w:sz w:val="32"/>
          <w:szCs w:val="32"/>
          <w:vertAlign w:val="subscript"/>
        </w:rPr>
        <w:t>2</w:t>
      </w:r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）不得超过</w:t>
      </w:r>
      <w:r>
        <w:rPr>
          <w:rFonts w:ascii="仿宋_GB2312" w:eastAsia="仿宋_GB2312" w:hint="eastAsia"/>
          <w:sz w:val="32"/>
          <w:szCs w:val="32"/>
        </w:rPr>
        <w:t>2.0mg/L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纯净水中耗氧量超标的原因可能：一是设备受到一定污染所造成的，未对设备进行彻底的保养和清洗或者长期不更换滤膜；二是水质净化设备保养不及时；三是未定期用紫外或臭氧杀菌，有可能是有机污染造成。</w:t>
      </w:r>
    </w:p>
    <w:p w:rsidR="006A17C7" w:rsidRDefault="006A081D">
      <w:pPr>
        <w:numPr>
          <w:ilvl w:val="0"/>
          <w:numId w:val="1"/>
        </w:numPr>
        <w:spacing w:line="600" w:lineRule="exact"/>
        <w:ind w:firstLineChars="200" w:firstLine="592"/>
        <w:rPr>
          <w:rFonts w:eastAsia="黑体"/>
          <w:spacing w:val="-12"/>
          <w:sz w:val="32"/>
          <w:szCs w:val="32"/>
        </w:rPr>
      </w:pPr>
      <w:r>
        <w:rPr>
          <w:rFonts w:eastAsia="黑体" w:hint="eastAsia"/>
          <w:spacing w:val="-12"/>
          <w:sz w:val="32"/>
          <w:szCs w:val="32"/>
        </w:rPr>
        <w:t>苯甲酸及其钠盐</w:t>
      </w:r>
      <w:r>
        <w:rPr>
          <w:rFonts w:eastAsia="黑体" w:hint="eastAsia"/>
          <w:spacing w:val="-12"/>
          <w:sz w:val="32"/>
          <w:szCs w:val="32"/>
        </w:rPr>
        <w:t>(</w:t>
      </w:r>
      <w:r>
        <w:rPr>
          <w:rFonts w:eastAsia="黑体" w:hint="eastAsia"/>
          <w:spacing w:val="-12"/>
          <w:sz w:val="32"/>
          <w:szCs w:val="32"/>
        </w:rPr>
        <w:t>以苯甲酸计</w:t>
      </w:r>
      <w:r>
        <w:rPr>
          <w:rFonts w:eastAsia="黑体" w:hint="eastAsia"/>
          <w:spacing w:val="-12"/>
          <w:sz w:val="32"/>
          <w:szCs w:val="32"/>
        </w:rPr>
        <w:t>)</w:t>
      </w:r>
    </w:p>
    <w:p w:rsidR="006A17C7" w:rsidRDefault="006A081D">
      <w:pPr>
        <w:ind w:firstLineChars="200" w:firstLine="640"/>
        <w:rPr>
          <w:rFonts w:eastAsia="黑体"/>
          <w:spacing w:val="-12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苯甲酸及其钠盐是食品工业中常见的一种防腐保鲜剂，对霉菌、酵母和细菌有较好的抑制作用</w:t>
      </w:r>
      <w:r>
        <w:rPr>
          <w:rFonts w:ascii="仿宋_GB2312" w:eastAsia="仿宋_GB2312" w:hAnsi="宋体" w:hint="eastAsia"/>
          <w:spacing w:val="-20"/>
          <w:kern w:val="0"/>
          <w:sz w:val="32"/>
          <w:szCs w:val="32"/>
        </w:rPr>
        <w:t>。</w:t>
      </w:r>
      <w:r>
        <w:rPr>
          <w:rFonts w:ascii="仿宋_GB2312" w:eastAsia="仿宋_GB2312" w:hAnsi="宋体" w:hint="eastAsia"/>
          <w:kern w:val="0"/>
          <w:sz w:val="32"/>
          <w:szCs w:val="32"/>
        </w:rPr>
        <w:t>苯甲酸及其钠盐的安全性较高，少量苯甲酸对人体无毒害，可随尿液排出体外，在人体内不会蓄积。若长期过量食入苯甲酸超标的食品可能会对肝脏功能产生一定影响。</w:t>
      </w:r>
    </w:p>
    <w:p w:rsidR="006A17C7" w:rsidRDefault="006A081D">
      <w:pPr>
        <w:spacing w:line="600" w:lineRule="exact"/>
        <w:ind w:firstLineChars="200" w:firstLine="592"/>
        <w:rPr>
          <w:rFonts w:eastAsia="黑体"/>
          <w:spacing w:val="-12"/>
          <w:sz w:val="32"/>
          <w:szCs w:val="32"/>
        </w:rPr>
      </w:pPr>
      <w:r>
        <w:rPr>
          <w:rFonts w:eastAsia="黑体" w:hint="eastAsia"/>
          <w:spacing w:val="-12"/>
          <w:sz w:val="32"/>
          <w:szCs w:val="32"/>
        </w:rPr>
        <w:t>七、安赛蜜</w:t>
      </w:r>
    </w:p>
    <w:p w:rsidR="006A17C7" w:rsidRDefault="006A081D">
      <w:pPr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安赛蜜为人工合成甜味剂，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根据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GB2760-201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《食品安全国家标准食品添加剂使用标准》中的规定，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安赛蜜在果汁饮料中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限量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不超过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0.3g/kg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。少量食用对人没有危害，添加到食品中主要是为了刺激食欲，但是摄入过多会对人体产生不良影响，对机体造成负担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。</w:t>
      </w:r>
    </w:p>
    <w:p w:rsidR="006A17C7" w:rsidRDefault="006A081D">
      <w:pPr>
        <w:spacing w:line="600" w:lineRule="exact"/>
        <w:ind w:firstLineChars="200" w:firstLine="592"/>
        <w:rPr>
          <w:rFonts w:eastAsia="黑体"/>
          <w:spacing w:val="-12"/>
          <w:sz w:val="32"/>
          <w:szCs w:val="32"/>
        </w:rPr>
      </w:pPr>
      <w:r>
        <w:rPr>
          <w:rFonts w:eastAsia="黑体" w:hint="eastAsia"/>
          <w:spacing w:val="-12"/>
          <w:sz w:val="32"/>
          <w:szCs w:val="32"/>
        </w:rPr>
        <w:t>八、恩诺沙星</w:t>
      </w:r>
      <w:r>
        <w:rPr>
          <w:rFonts w:eastAsia="黑体" w:hint="eastAsia"/>
          <w:spacing w:val="-12"/>
          <w:sz w:val="32"/>
          <w:szCs w:val="32"/>
        </w:rPr>
        <w:t>(</w:t>
      </w:r>
      <w:r>
        <w:rPr>
          <w:rFonts w:eastAsia="黑体" w:hint="eastAsia"/>
          <w:spacing w:val="-12"/>
          <w:sz w:val="32"/>
          <w:szCs w:val="32"/>
        </w:rPr>
        <w:t>以恩诺沙星与环丙沙星之和计</w:t>
      </w:r>
      <w:r>
        <w:rPr>
          <w:rFonts w:eastAsia="黑体" w:hint="eastAsia"/>
          <w:spacing w:val="-12"/>
          <w:sz w:val="32"/>
          <w:szCs w:val="32"/>
        </w:rPr>
        <w:t>)</w:t>
      </w:r>
    </w:p>
    <w:p w:rsidR="006A17C7" w:rsidRDefault="006A081D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恩诺沙星属于氟喹诺酮类药物，是一类人工合成的广谱抗菌药，用于治疗动物的皮肤感染、呼吸道感染等，是动物专属用药。《动物性食品中兽药最高残留限量》（农业部公告第</w:t>
      </w:r>
      <w:r>
        <w:rPr>
          <w:rFonts w:ascii="Times New Roman" w:eastAsia="仿宋_GB2312" w:hAnsi="Times New Roman"/>
          <w:sz w:val="32"/>
          <w:szCs w:val="32"/>
        </w:rPr>
        <w:t>235</w:t>
      </w:r>
      <w:r>
        <w:rPr>
          <w:rFonts w:ascii="Times New Roman" w:eastAsia="仿宋_GB2312" w:hAnsi="Times New Roman" w:hint="eastAsia"/>
          <w:sz w:val="32"/>
          <w:szCs w:val="32"/>
        </w:rPr>
        <w:t>号）中规定，恩诺沙星（以恩诺沙星和环丙沙星之和计）可用于牛、羊、猪、兔、禽等食用畜禽及其</w:t>
      </w:r>
      <w:r>
        <w:rPr>
          <w:rFonts w:ascii="Times New Roman" w:eastAsia="仿宋_GB2312" w:hAnsi="Times New Roman"/>
          <w:sz w:val="32"/>
          <w:szCs w:val="32"/>
        </w:rPr>
        <w:t>他动物，在牛、禽和其他动物的肌肉及脂肪中的最高残留限量为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  <w:lang/>
        </w:rPr>
        <w:t>μg/kg</w:t>
      </w:r>
      <w:r>
        <w:rPr>
          <w:rFonts w:ascii="Times New Roman" w:eastAsia="仿宋_GB2312" w:hAnsi="Times New Roman"/>
          <w:sz w:val="32"/>
          <w:szCs w:val="32"/>
          <w:lang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在产蛋鸡中禁用（鸡蛋中不得检出）。</w:t>
      </w:r>
      <w:r>
        <w:rPr>
          <w:rFonts w:ascii="Times New Roman" w:eastAsia="仿宋_GB2312" w:hAnsi="Times New Roman" w:hint="eastAsia"/>
          <w:sz w:val="32"/>
          <w:szCs w:val="32"/>
          <w:lang/>
        </w:rPr>
        <w:t>长期食用恩诺沙星残留超标的食品，对人体健康有一定影响。</w:t>
      </w:r>
    </w:p>
    <w:p w:rsidR="006A17C7" w:rsidRDefault="006A17C7">
      <w:pPr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bookmarkStart w:id="0" w:name="_GoBack"/>
      <w:bookmarkEnd w:id="0"/>
    </w:p>
    <w:p w:rsidR="006A17C7" w:rsidRDefault="006A17C7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sectPr w:rsidR="006A17C7" w:rsidSect="006A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81D" w:rsidRDefault="006A081D" w:rsidP="00CE5F3A">
      <w:r>
        <w:separator/>
      </w:r>
    </w:p>
  </w:endnote>
  <w:endnote w:type="continuationSeparator" w:id="1">
    <w:p w:rsidR="006A081D" w:rsidRDefault="006A081D" w:rsidP="00CE5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81D" w:rsidRDefault="006A081D" w:rsidP="00CE5F3A">
      <w:r>
        <w:separator/>
      </w:r>
    </w:p>
  </w:footnote>
  <w:footnote w:type="continuationSeparator" w:id="1">
    <w:p w:rsidR="006A081D" w:rsidRDefault="006A081D" w:rsidP="00CE5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743210"/>
    <w:multiLevelType w:val="singleLevel"/>
    <w:tmpl w:val="D874321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A081D"/>
    <w:rsid w:val="006A17C7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CE5F3A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CE6341"/>
    <w:rsid w:val="0D4279C5"/>
    <w:rsid w:val="0D852F3F"/>
    <w:rsid w:val="0E284B04"/>
    <w:rsid w:val="0F8E03D8"/>
    <w:rsid w:val="0FC01C62"/>
    <w:rsid w:val="107C1AA5"/>
    <w:rsid w:val="11F95E33"/>
    <w:rsid w:val="12F708C4"/>
    <w:rsid w:val="14FB2159"/>
    <w:rsid w:val="153E37EC"/>
    <w:rsid w:val="155E31D5"/>
    <w:rsid w:val="15F30177"/>
    <w:rsid w:val="164271B3"/>
    <w:rsid w:val="16C74C86"/>
    <w:rsid w:val="16E15A77"/>
    <w:rsid w:val="17BC2306"/>
    <w:rsid w:val="187D413F"/>
    <w:rsid w:val="18CE1A06"/>
    <w:rsid w:val="19D1085A"/>
    <w:rsid w:val="1A6251F7"/>
    <w:rsid w:val="1ACE2642"/>
    <w:rsid w:val="1BAD4A7C"/>
    <w:rsid w:val="1C1845BD"/>
    <w:rsid w:val="1CB27E9B"/>
    <w:rsid w:val="1DAD3FFF"/>
    <w:rsid w:val="1DFF41B9"/>
    <w:rsid w:val="207F2166"/>
    <w:rsid w:val="209E7837"/>
    <w:rsid w:val="20DD5D1B"/>
    <w:rsid w:val="21EF72E6"/>
    <w:rsid w:val="227B2998"/>
    <w:rsid w:val="22BF0461"/>
    <w:rsid w:val="22DF1FFB"/>
    <w:rsid w:val="239D0E6B"/>
    <w:rsid w:val="24B573DE"/>
    <w:rsid w:val="25481A61"/>
    <w:rsid w:val="25915938"/>
    <w:rsid w:val="25A92365"/>
    <w:rsid w:val="261F7110"/>
    <w:rsid w:val="26A0668D"/>
    <w:rsid w:val="27332D86"/>
    <w:rsid w:val="27727CA4"/>
    <w:rsid w:val="27F74C72"/>
    <w:rsid w:val="28600ED5"/>
    <w:rsid w:val="28E51ADB"/>
    <w:rsid w:val="290E4770"/>
    <w:rsid w:val="2A066B4A"/>
    <w:rsid w:val="2A0F4184"/>
    <w:rsid w:val="2AB22B74"/>
    <w:rsid w:val="2D7D65C0"/>
    <w:rsid w:val="2EE02088"/>
    <w:rsid w:val="2EEE4150"/>
    <w:rsid w:val="2F9200D3"/>
    <w:rsid w:val="30C52F74"/>
    <w:rsid w:val="31390AFB"/>
    <w:rsid w:val="31727237"/>
    <w:rsid w:val="31E4442C"/>
    <w:rsid w:val="31F75EEE"/>
    <w:rsid w:val="320944EF"/>
    <w:rsid w:val="32671426"/>
    <w:rsid w:val="32B12BD0"/>
    <w:rsid w:val="36731FE9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F2A0A"/>
    <w:rsid w:val="3AA9213C"/>
    <w:rsid w:val="3B6949B8"/>
    <w:rsid w:val="3C87360C"/>
    <w:rsid w:val="3D625FAB"/>
    <w:rsid w:val="3D8F3232"/>
    <w:rsid w:val="3E3A3BD1"/>
    <w:rsid w:val="3E793D02"/>
    <w:rsid w:val="3E974FD9"/>
    <w:rsid w:val="3F944EF2"/>
    <w:rsid w:val="40787187"/>
    <w:rsid w:val="40B86FDC"/>
    <w:rsid w:val="42400E64"/>
    <w:rsid w:val="425665EF"/>
    <w:rsid w:val="426A0D65"/>
    <w:rsid w:val="44F63D12"/>
    <w:rsid w:val="45B97969"/>
    <w:rsid w:val="47492C28"/>
    <w:rsid w:val="494214A7"/>
    <w:rsid w:val="4B5049B4"/>
    <w:rsid w:val="4BC137FA"/>
    <w:rsid w:val="4C297156"/>
    <w:rsid w:val="4CCB074B"/>
    <w:rsid w:val="4D8A2EE5"/>
    <w:rsid w:val="4D9B4661"/>
    <w:rsid w:val="4E0B1BC2"/>
    <w:rsid w:val="4EED2BC8"/>
    <w:rsid w:val="4F932387"/>
    <w:rsid w:val="4FAB5F46"/>
    <w:rsid w:val="50163F73"/>
    <w:rsid w:val="50C17233"/>
    <w:rsid w:val="51896A13"/>
    <w:rsid w:val="52941F38"/>
    <w:rsid w:val="5473169E"/>
    <w:rsid w:val="554D75AB"/>
    <w:rsid w:val="55BE0029"/>
    <w:rsid w:val="566F178F"/>
    <w:rsid w:val="58C52A1E"/>
    <w:rsid w:val="591702CA"/>
    <w:rsid w:val="59203A01"/>
    <w:rsid w:val="5AF17BBB"/>
    <w:rsid w:val="5B7936AC"/>
    <w:rsid w:val="5BDC6E44"/>
    <w:rsid w:val="5C6258A4"/>
    <w:rsid w:val="5E82604C"/>
    <w:rsid w:val="5EB3567B"/>
    <w:rsid w:val="5FB4017C"/>
    <w:rsid w:val="62106968"/>
    <w:rsid w:val="62733EE5"/>
    <w:rsid w:val="62A23EF9"/>
    <w:rsid w:val="62E64A8D"/>
    <w:rsid w:val="645F7C77"/>
    <w:rsid w:val="67C1146A"/>
    <w:rsid w:val="67DF1954"/>
    <w:rsid w:val="67E22ABE"/>
    <w:rsid w:val="681A5C55"/>
    <w:rsid w:val="686B67ED"/>
    <w:rsid w:val="6B0A631F"/>
    <w:rsid w:val="6B2F57E8"/>
    <w:rsid w:val="6C2A5933"/>
    <w:rsid w:val="6C6A3D48"/>
    <w:rsid w:val="70433045"/>
    <w:rsid w:val="71236AF0"/>
    <w:rsid w:val="72C44654"/>
    <w:rsid w:val="731C59A6"/>
    <w:rsid w:val="740B7597"/>
    <w:rsid w:val="75A57FA1"/>
    <w:rsid w:val="76077A0F"/>
    <w:rsid w:val="76C43BAF"/>
    <w:rsid w:val="77450FC0"/>
    <w:rsid w:val="78516857"/>
    <w:rsid w:val="787917F5"/>
    <w:rsid w:val="79425C88"/>
    <w:rsid w:val="79E41CD7"/>
    <w:rsid w:val="7A27777B"/>
    <w:rsid w:val="7B5D2F26"/>
    <w:rsid w:val="7B7721FC"/>
    <w:rsid w:val="7C833972"/>
    <w:rsid w:val="7F4D5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6A17C7"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A17C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A1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A1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6A17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rsid w:val="006A17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3"/>
    <w:link w:val="Char3"/>
    <w:qFormat/>
    <w:rsid w:val="006A17C7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FollowedHyperlink"/>
    <w:basedOn w:val="a0"/>
    <w:uiPriority w:val="99"/>
    <w:unhideWhenUsed/>
    <w:qFormat/>
    <w:rsid w:val="006A17C7"/>
    <w:rPr>
      <w:color w:val="000099"/>
      <w:sz w:val="18"/>
      <w:szCs w:val="18"/>
      <w:u w:val="single"/>
    </w:rPr>
  </w:style>
  <w:style w:type="character" w:styleId="aa">
    <w:name w:val="Emphasis"/>
    <w:uiPriority w:val="20"/>
    <w:qFormat/>
    <w:rsid w:val="006A17C7"/>
    <w:rPr>
      <w:i/>
      <w:iCs/>
    </w:rPr>
  </w:style>
  <w:style w:type="character" w:styleId="ab">
    <w:name w:val="Hyperlink"/>
    <w:basedOn w:val="a0"/>
    <w:uiPriority w:val="99"/>
    <w:unhideWhenUsed/>
    <w:qFormat/>
    <w:rsid w:val="006A17C7"/>
    <w:rPr>
      <w:color w:val="000099"/>
      <w:sz w:val="18"/>
      <w:szCs w:val="18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6A17C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6A17C7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6A17C7"/>
  </w:style>
  <w:style w:type="paragraph" w:customStyle="1" w:styleId="reader-word-layer">
    <w:name w:val="reader-word-layer"/>
    <w:basedOn w:val="a"/>
    <w:qFormat/>
    <w:rsid w:val="006A17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99"/>
    <w:unhideWhenUsed/>
    <w:qFormat/>
    <w:rsid w:val="006A17C7"/>
    <w:pPr>
      <w:ind w:firstLineChars="200" w:firstLine="420"/>
    </w:pPr>
  </w:style>
  <w:style w:type="character" w:customStyle="1" w:styleId="description">
    <w:name w:val="description"/>
    <w:basedOn w:val="a0"/>
    <w:qFormat/>
    <w:rsid w:val="006A17C7"/>
  </w:style>
  <w:style w:type="character" w:customStyle="1" w:styleId="Char0">
    <w:name w:val="批注框文本 Char"/>
    <w:basedOn w:val="a0"/>
    <w:link w:val="a4"/>
    <w:uiPriority w:val="99"/>
    <w:semiHidden/>
    <w:qFormat/>
    <w:rsid w:val="006A17C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sid w:val="006A17C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8"/>
    <w:qFormat/>
    <w:rsid w:val="006A17C7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sid w:val="006A17C7"/>
    <w:rPr>
      <w:i/>
      <w:iCs/>
      <w:color w:val="7F7F7F" w:themeColor="text1" w:themeTint="80"/>
    </w:rPr>
  </w:style>
  <w:style w:type="paragraph" w:styleId="ad">
    <w:name w:val="No Spacing"/>
    <w:uiPriority w:val="1"/>
    <w:qFormat/>
    <w:rsid w:val="006A17C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qFormat/>
    <w:rsid w:val="006A17C7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sz w:val="24"/>
      <w:szCs w:val="24"/>
    </w:rPr>
  </w:style>
  <w:style w:type="character" w:customStyle="1" w:styleId="2">
    <w:name w:val="不明显强调2"/>
    <w:basedOn w:val="a0"/>
    <w:uiPriority w:val="19"/>
    <w:qFormat/>
    <w:rsid w:val="006A17C7"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sid w:val="006A17C7"/>
    <w:rPr>
      <w:i/>
      <w:iCs/>
      <w:color w:val="7F7F7F" w:themeColor="text1" w:themeTint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ike.sogou.com/lemma/ShowInnerLink.htm?lemmaId=55193676&amp;ss_c=ssc.citiao.lin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baike.sogou.com/lemma/ShowInnerLink.htm?lemmaId=7866838&amp;ss_c=ssc.citiao.li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ike.sogou.com/lemma/ShowInnerLink.htm?lemmaId=1282860&amp;ss_c=ssc.citiao.lin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ike.sogou.com/lemma/ShowInnerLink.htm?lemmaId=620398&amp;ss_c=ssc.citiao.link" TargetMode="External"/><Relationship Id="rId4" Type="http://schemas.openxmlformats.org/officeDocument/2006/relationships/styles" Target="styles.xml"/><Relationship Id="rId9" Type="http://schemas.openxmlformats.org/officeDocument/2006/relationships/hyperlink" Target="http://baike.sogou.com/lemma/ShowInnerLink.htm?lemmaId=144421594&amp;ss_c=ssc.citiao.li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52EC1E-4758-4E6B-B008-BC491F078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307</Words>
  <Characters>1750</Characters>
  <Application>Microsoft Office Word</Application>
  <DocSecurity>0</DocSecurity>
  <Lines>14</Lines>
  <Paragraphs>4</Paragraphs>
  <ScaleCrop>false</ScaleCrop>
  <Company>微软中国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4</cp:revision>
  <cp:lastPrinted>2019-01-28T02:50:00Z</cp:lastPrinted>
  <dcterms:created xsi:type="dcterms:W3CDTF">2018-12-24T03:58:00Z</dcterms:created>
  <dcterms:modified xsi:type="dcterms:W3CDTF">2019-08-20T08:56:00Z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KSORubyTemplateID" linkTarget="0">
    <vt:lpwstr>6</vt:lpwstr>
  </property>
</Properties>
</file>