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D8" w:rsidRPr="00976AD8" w:rsidRDefault="00976AD8" w:rsidP="00976AD8">
      <w:pPr>
        <w:rPr>
          <w:rFonts w:ascii="仿宋_GB2312" w:eastAsia="黑体" w:hAnsi="宋体" w:cs="Arial"/>
          <w:kern w:val="18"/>
          <w:sz w:val="32"/>
          <w:szCs w:val="32"/>
        </w:rPr>
      </w:pPr>
      <w:r w:rsidRPr="00976AD8">
        <w:rPr>
          <w:rFonts w:ascii="仿宋_GB2312" w:eastAsia="黑体" w:hAnsi="宋体" w:cs="黑体" w:hint="eastAsia"/>
          <w:kern w:val="18"/>
          <w:sz w:val="32"/>
          <w:szCs w:val="32"/>
        </w:rPr>
        <w:t>附件</w:t>
      </w:r>
      <w:r w:rsidRPr="00976AD8">
        <w:rPr>
          <w:rFonts w:ascii="仿宋_GB2312" w:eastAsia="黑体" w:hAnsi="宋体" w:cs="Arial"/>
          <w:kern w:val="18"/>
          <w:sz w:val="32"/>
          <w:szCs w:val="32"/>
        </w:rPr>
        <w:t>1</w:t>
      </w:r>
    </w:p>
    <w:p w:rsidR="00976AD8" w:rsidRPr="00976AD8" w:rsidRDefault="00976AD8" w:rsidP="00976AD8">
      <w:pPr>
        <w:spacing w:line="560" w:lineRule="exact"/>
        <w:jc w:val="center"/>
        <w:rPr>
          <w:rFonts w:ascii="仿宋_GB2312" w:eastAsia="方正小标宋简体" w:hAnsi="宋体" w:cs="方正小标宋简体" w:hint="eastAsia"/>
          <w:b/>
          <w:bCs/>
          <w:kern w:val="18"/>
          <w:sz w:val="44"/>
          <w:szCs w:val="44"/>
        </w:rPr>
      </w:pPr>
    </w:p>
    <w:p w:rsidR="00976AD8" w:rsidRPr="00976AD8" w:rsidRDefault="00976AD8" w:rsidP="00976AD8">
      <w:pPr>
        <w:spacing w:line="560" w:lineRule="exact"/>
        <w:jc w:val="center"/>
        <w:rPr>
          <w:rFonts w:ascii="仿宋_GB2312" w:eastAsia="方正小标宋简体" w:hAnsi="宋体" w:cs="Arial"/>
          <w:b/>
          <w:bCs/>
          <w:kern w:val="18"/>
          <w:sz w:val="44"/>
          <w:szCs w:val="44"/>
        </w:rPr>
      </w:pPr>
      <w:r w:rsidRPr="00976AD8">
        <w:rPr>
          <w:rFonts w:ascii="仿宋_GB2312" w:eastAsia="方正小标宋简体" w:hAnsi="宋体" w:cs="方正小标宋简体" w:hint="eastAsia"/>
          <w:b/>
          <w:bCs/>
          <w:kern w:val="18"/>
          <w:sz w:val="44"/>
          <w:szCs w:val="44"/>
        </w:rPr>
        <w:t>本次检验项目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黑体" w:eastAsia="黑体" w:hAnsi="宋体" w:cs="Arial" w:hint="eastAsia"/>
          <w:color w:val="000000"/>
          <w:kern w:val="18"/>
          <w:sz w:val="32"/>
          <w:szCs w:val="32"/>
        </w:rPr>
      </w:pPr>
    </w:p>
    <w:p w:rsidR="00976AD8" w:rsidRPr="00976AD8" w:rsidRDefault="00976AD8" w:rsidP="00976AD8">
      <w:pPr>
        <w:spacing w:line="560" w:lineRule="exact"/>
        <w:ind w:firstLineChars="200" w:firstLine="640"/>
        <w:rPr>
          <w:rFonts w:ascii="黑体" w:eastAsia="黑体" w:hAnsi="宋体" w:cs="Arial" w:hint="eastAsia"/>
          <w:color w:val="000000"/>
          <w:kern w:val="18"/>
          <w:sz w:val="32"/>
          <w:szCs w:val="32"/>
        </w:rPr>
      </w:pPr>
      <w:r w:rsidRPr="00976AD8">
        <w:rPr>
          <w:rFonts w:ascii="黑体" w:eastAsia="黑体" w:hAnsi="宋体" w:cs="Arial" w:hint="eastAsia"/>
          <w:color w:val="000000"/>
          <w:kern w:val="18"/>
          <w:sz w:val="32"/>
          <w:szCs w:val="32"/>
        </w:rPr>
        <w:t>食用农产品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楷体_GB2312" w:eastAsia="楷体_GB2312" w:hAnsi="仿宋" w:cs="Arial" w:hint="eastAsia"/>
          <w:kern w:val="18"/>
          <w:sz w:val="32"/>
          <w:szCs w:val="32"/>
        </w:rPr>
      </w:pPr>
      <w:r w:rsidRPr="00976AD8">
        <w:rPr>
          <w:rFonts w:ascii="楷体_GB2312" w:eastAsia="楷体_GB2312" w:hAnsi="仿宋" w:cs="Arial" w:hint="eastAsia"/>
          <w:kern w:val="18"/>
          <w:sz w:val="32"/>
          <w:szCs w:val="32"/>
        </w:rPr>
        <w:t>（一）抽检依据</w:t>
      </w:r>
    </w:p>
    <w:p w:rsidR="00976AD8" w:rsidRPr="00976AD8" w:rsidRDefault="00976AD8" w:rsidP="00976AD8">
      <w:pPr>
        <w:spacing w:line="560" w:lineRule="exact"/>
        <w:rPr>
          <w:rFonts w:ascii="仿宋_GB2312" w:eastAsia="仿宋_GB2312" w:hAnsi="宋体" w:cs="Arial"/>
          <w:kern w:val="18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 xml:space="preserve">    抽检依据是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《食品安全国家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标准 食品添加剂使用标准》（GB 2760-2014）、《食品安全国家标准 食品中污染物限量》（GB 2762-2017）、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《食品安全国家标准 食品中农药最大残留限量》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（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GB 2763-2016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）、《食品中可能违法添加的非食用物质和易滥用的食品添加剂品种名单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（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第四批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）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》（整顿办函〔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201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0〕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50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号）、《动物性食品中兽药最高残留限量》（农业部公告第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235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号）、《兽药地方标准废止目录》（农业部公告第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560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号）、《食品安全国家标准鲜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（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冻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）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畜、禽产品》（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GB 2707-20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16）、《发布在食品动物中停止使用洛美沙星、培氟沙星、氧氟沙星、诺氟沙星4种兽药的决定》（农业部公告第2292号）、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《豆芽卫生标准》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（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GB 22556-2008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）、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《关于豆芽生产过程中禁止使用6-苄基腺嘌呤等物质的公告》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（</w:t>
      </w:r>
      <w:r w:rsidRPr="00976AD8">
        <w:rPr>
          <w:rFonts w:ascii="仿宋_GB2312" w:eastAsia="仿宋_GB2312" w:hAnsi="宋体" w:cs="Arial"/>
          <w:kern w:val="18"/>
          <w:sz w:val="32"/>
          <w:szCs w:val="32"/>
        </w:rPr>
        <w:t>国家食品药品监督管理总局、农业部、国家卫生和计划生育委员会公告2015年第11号</w:t>
      </w:r>
      <w:r w:rsidRPr="00976AD8">
        <w:rPr>
          <w:rFonts w:ascii="仿宋_GB2312" w:eastAsia="仿宋_GB2312" w:hAnsi="宋体" w:cs="Arial" w:hint="eastAsia"/>
          <w:kern w:val="18"/>
          <w:sz w:val="32"/>
          <w:szCs w:val="32"/>
        </w:rPr>
        <w:t>）等标准及产品明示标准和指标的要求。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楷体_GB2312" w:eastAsia="楷体_GB2312" w:hAnsi="宋体" w:cs="Arial" w:hint="eastAsia"/>
          <w:kern w:val="0"/>
          <w:sz w:val="32"/>
          <w:szCs w:val="32"/>
        </w:rPr>
      </w:pPr>
      <w:r w:rsidRPr="00976AD8">
        <w:rPr>
          <w:rFonts w:ascii="楷体_GB2312" w:eastAsia="楷体_GB2312" w:hAnsi="仿宋" w:cs="Arial" w:hint="eastAsia"/>
          <w:kern w:val="18"/>
          <w:sz w:val="32"/>
          <w:szCs w:val="32"/>
        </w:rPr>
        <w:t>（二）</w:t>
      </w:r>
      <w:r w:rsidRPr="00976AD8">
        <w:rPr>
          <w:rFonts w:ascii="楷体_GB2312" w:eastAsia="楷体_GB2312" w:hAnsi="宋体" w:cs="Arial" w:hint="eastAsia"/>
          <w:kern w:val="0"/>
          <w:sz w:val="32"/>
          <w:szCs w:val="32"/>
        </w:rPr>
        <w:t>抽检项目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1.猪肉检验项目包括挥发性盐基氮、克伦特罗、沙丁胺醇、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莱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克多巴胺、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布他林、呋喃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、土霉素、</w:t>
      </w: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lastRenderedPageBreak/>
        <w:t>多西环素（强力霉素）、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乙醇代谢物、利巴韦林。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2.牛肉检验项目包括挥发性盐基氮、克伦特罗、沙丁胺醇、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莱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克多巴胺、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布他林、呋喃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、土霉素、多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西环素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(强力霉素)、地塞米松、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星、氧氟沙星、诺氟沙星、林可霉素、磺胺类(总量)、五氯酚酸钠（以五氯酚计）。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3.羊肉检验项目包括挥发性盐基氮、铅(以</w:t>
      </w:r>
      <w:proofErr w:type="spell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计）、克伦特罗、沙丁胺醇、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莱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克多巴胺、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布他林、呋喃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、土霉素、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星、氧氟沙星、诺氟沙星、磺胺类(总量)、五氯酚酸钠（以五氯酚计）、氟甲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达氟沙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4.猪肝检验项目包括镉（以Cd计）、总砷（以As计）、克伦特罗、沙丁胺醇、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莱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克多巴胺、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布他林、呋喃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、多西环素（强力霉素）、土霉素、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星、氧氟沙星、诺氟沙星、磺胺类（总量）、五氯酚酸钠（以五氯酚计）。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5.猪肾检验项目包括克伦特罗、沙丁胺醇、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莱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克多巴胺、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lastRenderedPageBreak/>
        <w:t>布他林、呋喃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、多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西环素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(强力霉素)、土霉素、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星、氧氟沙星、诺氟沙星、磺胺类(总量)、五氯酚酸钠（以五氯酚计）。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6.其他畜副产品检验项目包括克伦特罗、沙丁胺醇、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莱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克多巴胺、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特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布他林、呋喃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酮代谢物、呋喃它酮代谢物、呋喃西林代谢物、氯霉素、五氯酚酸钠（以五氯酚计）、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7.鸡肉检验项目包括挥发性盐基氮、呋喃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、土霉素、多西环素（强力霉素）、四环素、金霉素、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米考星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、尼卡巴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嗪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残留标志物、金刚烷胺、金刚乙胺、利巴韦林、甲硝唑。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8.鸭肉检验项目包括挥发性盐基氮、呋喃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、土霉素、多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西环素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(强力霉素)、四环素、金霉素、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星、氧氟沙星、诺氟沙星、磺胺类(总量)、五氯酚酸钠（以五氯酚计）。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9.其他禽肉检验项目包括挥发性盐基氮、呋喃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、土霉素、多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西环素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(强力霉素)、四环素、金霉素、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</w:t>
      </w: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lastRenderedPageBreak/>
        <w:t>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星与环丙沙星之和计）、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星、氧氟沙星、诺氟沙星、磺胺类(总量)、五氯酚酸钠（以五氯酚计）。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10.其他禽副产品抽检项目包括铬（以Cr计）、呋喃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酮代谢物、呋喃它酮代谢物、呋喃西林代谢物、呋喃妥因代谢物、氯霉素、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仿宋_GB2312" w:hint="eastAsia"/>
          <w:kern w:val="18"/>
          <w:sz w:val="32"/>
          <w:szCs w:val="32"/>
        </w:rPr>
        <w:t>星、氧氟沙星、诺氟沙星、五氯酚酸钠（以五氯酚计）。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11.结球甘蓝（芸薹属类蔬菜）检验项目包括铅(以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计)、镉(以Cd计)、甲基异柳磷、灭多威、氧乐果、氯氰菊酯和高效氯氰菊酯、氯唑磷、甲氨基阿维菌素苯甲酸盐、氟虫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、氟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吡甲禾灵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和高效氟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吡甲禾灵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硫磷、哒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螨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灵、敌百虫、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硫线磷、噻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虫胺、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噻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啉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、水胺硫磷、甲胺磷、阿维菌素、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肟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菌酯。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12.花椰菜（芸薹属类蔬菜）检验项目包括铅(以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计)、镉(以Cd计)、氯氰菊酯和高效氯氰菊酯、甲拌磷、氯唑磷、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硫磷、敌百虫、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甲霜灵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和精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甲霜灵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、戊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醇、氟虫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、氟酰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脲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硫线磷、杀扑磷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、水胺硫磷、阿维菌素、毒死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蜱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13.菠菜（叶菜类蔬菜）检验项目包括铅(以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计)、镉(以Cd计)、毒死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蜱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、氧乐果、氯氰菊酯和高效氯氰菊酯、氟虫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甲霜灵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和精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甲霜灵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、阿维菌素、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硫磷、二嗪磷、伏杀硫磷、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、灭多威、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克百威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14.芹菜（叶菜类蔬菜）检验项目包括铅(以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计)、镉(以Cd计)、毒死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蜱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克百威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、乐果、辛硫磷、氧乐果、甲拌磷、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氯氟氰菊酯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和高效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氯氟氰菊酯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、百菌清、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、灭多威、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、水胺硫磷、阿维菌素、氯氰菊酯和高效氯氰菊</w:t>
      </w: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酯、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肟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菌酯。 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15.普通白菜（叶菜类蔬菜）检验项目包括铅(以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计)、镉(以Cd计)、毒死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蜱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、久效磷、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克百威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、氧乐果、氯氰菊酯和高效氯氰菊酯、氟虫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、甲拌磷、氯唑磷、内吸磷、阿维菌素、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硫磷、虫酰肼、敌百虫、丙溴磷、虫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螨腈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、甲氨基阿维菌素苯甲酸盐、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、灭多威、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啶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脒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、甲胺磷。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16.油麦菜（叶菜类蔬菜）检验项目铅(以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硫磷、虫酰肼、敌百虫、对硫磷、氟虫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、甲胺磷、甲拌磷、甲基对硫磷、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甲基硫环磷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、甲基异柳磷、甲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萘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威、久效磷、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克百威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硫环磷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、氯菊酯、氯唑磷、灭多威、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灭线磷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、内吸磷、杀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螟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涕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灭威、辛硫磷、氧乐果、乙酰甲胺磷。  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17.豇豆（豆类蔬菜）检验项目包括铅(以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克百威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、氧乐果、氯氰菊酯和高效氯氰菊酯、氯唑磷、内吸磷、甲拌磷、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硫磷、敌百虫、氟虫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、联苯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肼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酯、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、灭多威、灭蝇胺、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、水胺硫磷、甲基异柳磷、阿维菌素、甲胺磷。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18.菜豆（豆类蔬菜）检验项目包括铅(以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计)、镉(以Cd计)、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克百威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、氧乐果、氯氰菊酯和高效氯氰菊酯、甲拌磷、内吸磷、敌百虫、氯唑磷、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嘧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霉胺、溴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螨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酯、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倍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硫磷、氟虫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腈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、联苯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肼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酯、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硫线磷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、灭多威、灭蝇胺、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杀扑磷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、水胺硫磷、阿维菌素。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19.海水鱼、海水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虾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检验项目包括挥发性盐基氮、组胺、镉</w:t>
      </w: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（以Cd计）、甲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砜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霉素、孔雀石绿、氯霉素、氟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、呋喃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星与环丙沙星之和计）、氧氟沙星、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泮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、甲硝唑、地美硝唑、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洛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硝哒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、羟基甲硝唑、羟甲基甲硝咪唑、五氯酚酸钠（以五氯酚计）、二氧化硫残留量。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20.淡水鱼、淡水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虾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检验项目包括镉（以Cd计）、孔雀石绿、氯霉素、甲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砜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霉素、氟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苯尼考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、呋喃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星（以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恩诺沙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星与环丙沙星之和计）、氧氟沙星、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培氟沙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洛美沙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泮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、甲硝唑、地美硝唑、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洛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硝哒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唑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、羟基甲硝唑、羟甲基甲硝咪唑、五氯酚酸钠（以五氯酚计）。</w:t>
      </w:r>
      <w:bookmarkStart w:id="0" w:name="_GoBack"/>
      <w:bookmarkEnd w:id="0"/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0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21.豆芽检验项目包括铅（以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计）、镉（以Cd计）、铬（以Cr计）、亚硫酸盐（以SO</w:t>
      </w:r>
      <w:r w:rsidRPr="00976AD8">
        <w:rPr>
          <w:rFonts w:ascii="仿宋_GB2312" w:eastAsia="仿宋_GB2312" w:hAnsi="宋体" w:cs="Arial" w:hint="eastAsia"/>
          <w:kern w:val="0"/>
          <w:sz w:val="32"/>
          <w:szCs w:val="32"/>
          <w:vertAlign w:val="subscript"/>
        </w:rPr>
        <w:t>2</w:t>
      </w: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计）、6-苄基腺嘌呤（6-BA）、4-氯苯氧乙酸钠（以4-氯苯氧乙酸计）。</w:t>
      </w:r>
    </w:p>
    <w:p w:rsidR="00976AD8" w:rsidRPr="00976AD8" w:rsidRDefault="00976AD8" w:rsidP="00976AD8">
      <w:pPr>
        <w:spacing w:line="560" w:lineRule="exact"/>
        <w:ind w:firstLineChars="200" w:firstLine="640"/>
        <w:rPr>
          <w:rFonts w:ascii="仿宋_GB2312" w:eastAsia="仿宋_GB2312" w:hAnsi="宋体" w:cs="Arial" w:hint="eastAsia"/>
          <w:kern w:val="18"/>
          <w:sz w:val="32"/>
          <w:szCs w:val="32"/>
        </w:rPr>
      </w:pPr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22.鲜食用菌检验项目包括铅（以</w:t>
      </w:r>
      <w:proofErr w:type="spell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Pb</w:t>
      </w:r>
      <w:proofErr w:type="spell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计）、镉（以Cd计）、总汞（以Hg计）、总砷（以As计）、氯氰菊酯和高效氯氰菊酯、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氯氟氰菊酯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和高效</w:t>
      </w:r>
      <w:proofErr w:type="gramStart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氯氟氰菊酯</w:t>
      </w:r>
      <w:proofErr w:type="gramEnd"/>
      <w:r w:rsidRPr="00976AD8">
        <w:rPr>
          <w:rFonts w:ascii="仿宋_GB2312" w:eastAsia="仿宋_GB2312" w:hAnsi="宋体" w:cs="Arial" w:hint="eastAsia"/>
          <w:kern w:val="0"/>
          <w:sz w:val="32"/>
          <w:szCs w:val="32"/>
        </w:rPr>
        <w:t>、氟氯氰菊酯和高效氟氯氰菊酯、二氧化硫残留量。</w:t>
      </w:r>
    </w:p>
    <w:p w:rsidR="007D4DF8" w:rsidRPr="00976AD8" w:rsidRDefault="007D4DF8"/>
    <w:sectPr w:rsidR="007D4DF8" w:rsidRPr="00976AD8">
      <w:headerReference w:type="default" r:id="rId7"/>
      <w:footerReference w:type="even" r:id="rId8"/>
      <w:footerReference w:type="default" r:id="rId9"/>
      <w:pgSz w:w="11906" w:h="16838"/>
      <w:pgMar w:top="1985" w:right="1474" w:bottom="1644" w:left="1474" w:header="851" w:footer="1191" w:gutter="0"/>
      <w:pgNumType w:fmt="numberInDash"/>
      <w:cols w:space="720"/>
      <w:docGrid w:type="linesAndChars" w:linePitch="600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61" w:rsidRDefault="00337F61" w:rsidP="00976AD8">
      <w:r>
        <w:separator/>
      </w:r>
    </w:p>
  </w:endnote>
  <w:endnote w:type="continuationSeparator" w:id="0">
    <w:p w:rsidR="00337F61" w:rsidRDefault="00337F61" w:rsidP="0097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7F61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- 9 -</w:t>
    </w:r>
    <w:r>
      <w:fldChar w:fldCharType="end"/>
    </w:r>
  </w:p>
  <w:p w:rsidR="00000000" w:rsidRDefault="00337F6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7F61">
    <w:pPr>
      <w:pStyle w:val="a4"/>
      <w:framePr w:h="0" w:wrap="around" w:vAnchor="text" w:hAnchor="margin" w:xAlign="outside" w:y="1"/>
      <w:rPr>
        <w:rStyle w:val="a5"/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Style w:val="a5"/>
        <w:rFonts w:ascii="宋体" w:eastAsia="宋体"/>
        <w:sz w:val="28"/>
        <w:szCs w:val="28"/>
      </w:rPr>
      <w:instrText xml:space="preserve">PAGE  </w:instrText>
    </w:r>
    <w:r>
      <w:rPr>
        <w:rFonts w:ascii="宋体" w:eastAsia="宋体"/>
        <w:sz w:val="28"/>
        <w:szCs w:val="28"/>
      </w:rPr>
      <w:fldChar w:fldCharType="separate"/>
    </w:r>
    <w:r w:rsidR="00976AD8">
      <w:rPr>
        <w:rStyle w:val="a5"/>
        <w:rFonts w:ascii="宋体" w:eastAsia="宋体"/>
        <w:noProof/>
        <w:sz w:val="28"/>
        <w:szCs w:val="28"/>
      </w:rPr>
      <w:t>- 1 -</w:t>
    </w:r>
    <w:r>
      <w:rPr>
        <w:rFonts w:ascii="宋体" w:eastAsia="宋体"/>
        <w:sz w:val="28"/>
        <w:szCs w:val="28"/>
      </w:rPr>
      <w:fldChar w:fldCharType="end"/>
    </w:r>
  </w:p>
  <w:p w:rsidR="00000000" w:rsidRDefault="00337F6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61" w:rsidRDefault="00337F61" w:rsidP="00976AD8">
      <w:r>
        <w:separator/>
      </w:r>
    </w:p>
  </w:footnote>
  <w:footnote w:type="continuationSeparator" w:id="0">
    <w:p w:rsidR="00337F61" w:rsidRDefault="00337F61" w:rsidP="0097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7F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DE"/>
    <w:rsid w:val="00337F61"/>
    <w:rsid w:val="007615DE"/>
    <w:rsid w:val="007D4DF8"/>
    <w:rsid w:val="009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AD8"/>
    <w:rPr>
      <w:sz w:val="18"/>
      <w:szCs w:val="18"/>
    </w:rPr>
  </w:style>
  <w:style w:type="character" w:styleId="a5">
    <w:name w:val="page number"/>
    <w:basedOn w:val="a0"/>
    <w:rsid w:val="00976AD8"/>
  </w:style>
  <w:style w:type="paragraph" w:customStyle="1" w:styleId="Style5">
    <w:name w:val="_Style 5"/>
    <w:basedOn w:val="a"/>
    <w:rsid w:val="00976AD8"/>
    <w:pPr>
      <w:spacing w:line="240" w:lineRule="exact"/>
    </w:pPr>
    <w:rPr>
      <w:rFonts w:ascii="仿宋_GB2312" w:eastAsia="仿宋_GB2312" w:hAnsi="宋体" w:cs="Arial"/>
      <w:kern w:val="1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AD8"/>
    <w:rPr>
      <w:sz w:val="18"/>
      <w:szCs w:val="18"/>
    </w:rPr>
  </w:style>
  <w:style w:type="character" w:styleId="a5">
    <w:name w:val="page number"/>
    <w:basedOn w:val="a0"/>
    <w:rsid w:val="00976AD8"/>
  </w:style>
  <w:style w:type="paragraph" w:customStyle="1" w:styleId="Style5">
    <w:name w:val="_Style 5"/>
    <w:basedOn w:val="a"/>
    <w:rsid w:val="00976AD8"/>
    <w:pPr>
      <w:spacing w:line="240" w:lineRule="exact"/>
    </w:pPr>
    <w:rPr>
      <w:rFonts w:ascii="仿宋_GB2312" w:eastAsia="仿宋_GB2312" w:hAnsi="宋体" w:cs="Arial"/>
      <w:kern w:val="1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2019-07-26T09:06:00Z</dcterms:created>
  <dcterms:modified xsi:type="dcterms:W3CDTF">2019-07-26T09:06:00Z</dcterms:modified>
</cp:coreProperties>
</file>