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lang w:val="en-US"/>
        </w:rPr>
      </w:pPr>
      <w:r>
        <w:rPr>
          <w:rFonts w:hint="eastAsia" w:ascii="黑体" w:hAnsi="黑体" w:eastAsia="黑体" w:cs="仿宋"/>
        </w:rPr>
        <w:t>附件</w:t>
      </w:r>
      <w:r>
        <w:rPr>
          <w:rFonts w:hint="eastAsia" w:ascii="黑体" w:hAnsi="黑体" w:eastAsia="黑体" w:cs="仿宋"/>
          <w:lang w:val="en-US" w:eastAsia="zh-CN"/>
        </w:rPr>
        <w:t>13</w:t>
      </w:r>
    </w:p>
    <w:p>
      <w:pPr>
        <w:widowControl/>
        <w:shd w:val="clear" w:color="auto" w:fill="FFFFFF"/>
        <w:snapToGrid w:val="0"/>
        <w:spacing w:line="590" w:lineRule="exact"/>
        <w:ind w:firstLine="864" w:firstLineChars="200"/>
        <w:jc w:val="center"/>
        <w:rPr>
          <w:rFonts w:hint="eastAsia" w:ascii="方正小标宋简体" w:hAnsi="仿宋" w:eastAsia="方正小标宋简体" w:cs="仿宋"/>
          <w:sz w:val="44"/>
          <w:szCs w:val="44"/>
        </w:rPr>
      </w:pPr>
      <w:bookmarkStart w:id="0" w:name="_GoBack"/>
      <w:r>
        <w:rPr>
          <w:rFonts w:hint="eastAsia" w:ascii="方正小标宋简体" w:hAnsi="仿宋" w:eastAsia="方正小标宋简体" w:cs="仿宋"/>
          <w:sz w:val="44"/>
          <w:szCs w:val="44"/>
        </w:rPr>
        <w:t>关于部分检验项目的说明</w:t>
      </w:r>
    </w:p>
    <w:bookmarkEnd w:id="0"/>
    <w:p>
      <w:pPr>
        <w:widowControl/>
        <w:shd w:val="clear" w:color="auto" w:fill="FFFFFF"/>
        <w:snapToGrid w:val="0"/>
        <w:spacing w:line="590" w:lineRule="exact"/>
        <w:rPr>
          <w:rFonts w:hint="eastAsia" w:ascii="仿宋" w:hAnsi="仿宋"/>
        </w:rPr>
      </w:pPr>
      <w:r>
        <w:rPr>
          <w:rFonts w:hint="eastAsia" w:ascii="仿宋" w:hAnsi="仿宋"/>
        </w:rPr>
        <w:t xml:space="preserve">    </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rPr>
        <w:t>一、</w:t>
      </w:r>
      <w:r>
        <w:rPr>
          <w:rFonts w:hint="eastAsia" w:eastAsia="黑体"/>
          <w:bCs/>
          <w:kern w:val="0"/>
          <w:sz w:val="32"/>
          <w:szCs w:val="32"/>
          <w:lang w:val="en-US" w:eastAsia="zh-CN"/>
        </w:rPr>
        <w:t>丙二醇</w:t>
      </w:r>
    </w:p>
    <w:p>
      <w:pPr>
        <w:widowControl/>
        <w:shd w:val="clear" w:color="auto" w:fill="FFFFFF"/>
        <w:snapToGrid w:val="0"/>
        <w:spacing w:line="590" w:lineRule="exact"/>
        <w:ind w:firstLine="624" w:firstLineChars="200"/>
        <w:rPr>
          <w:rFonts w:hint="eastAsia" w:ascii="仿宋" w:hAnsi="仿宋"/>
        </w:rPr>
      </w:pPr>
      <w:r>
        <w:rPr>
          <w:rFonts w:hint="eastAsia" w:ascii="仿宋" w:hAnsi="仿宋"/>
        </w:rPr>
        <w:t>丙二醇的粘性和吸湿性好，广泛应用于食品、医药和化妆品工业中。在食品工业中，丙二醇是一种优良溶剂，可将防腐剂、色素、抗氧化剂等难溶于水的食品添加剂溶解于其中，再加入食品；丙二醇有较强的吸湿性，对食品有保湿和抗冻作用。</w:t>
      </w:r>
    </w:p>
    <w:p>
      <w:pPr>
        <w:widowControl/>
        <w:shd w:val="clear" w:color="auto" w:fill="FFFFFF"/>
        <w:snapToGrid w:val="0"/>
        <w:spacing w:line="590" w:lineRule="exact"/>
        <w:ind w:firstLine="624" w:firstLineChars="200"/>
        <w:rPr>
          <w:rFonts w:hint="eastAsia" w:ascii="仿宋" w:hAnsi="仿宋"/>
        </w:rPr>
      </w:pPr>
      <w:r>
        <w:rPr>
          <w:rFonts w:hint="eastAsia" w:ascii="仿宋" w:hAnsi="仿宋"/>
        </w:rPr>
        <w:t>《食品安全国家标准</w:t>
      </w:r>
      <w:r>
        <w:rPr>
          <w:rFonts w:hint="eastAsia" w:ascii="仿宋" w:hAnsi="仿宋"/>
          <w:lang w:val="en-US" w:eastAsia="zh-CN"/>
        </w:rPr>
        <w:t xml:space="preserve"> </w:t>
      </w:r>
      <w:r>
        <w:rPr>
          <w:rFonts w:hint="eastAsia" w:ascii="仿宋" w:hAnsi="仿宋"/>
        </w:rPr>
        <w:t>食品添加剂使用标准》（GB 2760</w:t>
      </w:r>
      <w:r>
        <w:rPr>
          <w:rFonts w:hint="eastAsia" w:ascii="仿宋" w:hAnsi="仿宋"/>
          <w:lang w:val="en-US" w:eastAsia="zh-CN"/>
        </w:rPr>
        <w:t>-</w:t>
      </w:r>
      <w:r>
        <w:rPr>
          <w:rFonts w:hint="eastAsia" w:ascii="仿宋" w:hAnsi="仿宋"/>
        </w:rPr>
        <w:t>2014）中规定，丙二醇的功能为稳定剂和凝固剂、抗结剂、消泡剂、乳化剂、水分保持剂、增稠剂，糕点中丙二醇的最大使用量为3.0g/kg。</w:t>
      </w:r>
    </w:p>
    <w:p>
      <w:pPr>
        <w:widowControl/>
        <w:shd w:val="clear" w:color="auto" w:fill="FFFFFF"/>
        <w:snapToGrid w:val="0"/>
        <w:spacing w:line="590" w:lineRule="exact"/>
        <w:ind w:firstLine="624" w:firstLineChars="200"/>
        <w:rPr>
          <w:rFonts w:hint="eastAsia" w:ascii="仿宋" w:hAnsi="仿宋"/>
        </w:rPr>
      </w:pPr>
      <w:r>
        <w:rPr>
          <w:rFonts w:hint="eastAsia" w:ascii="仿宋" w:hAnsi="仿宋"/>
        </w:rPr>
        <w:t>丙二醇属于低毒类，长期过量食用可能有引起肾脏障碍的危险。糕点中丙二醇项目不合格的原因，可能是生产厂家未按国标规定，在生产加工过程中超限量使用。</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lang w:eastAsia="zh-CN"/>
        </w:rPr>
        <w:t>二</w:t>
      </w:r>
      <w:r>
        <w:rPr>
          <w:rFonts w:hint="eastAsia" w:ascii="黑体" w:hAnsi="黑体" w:eastAsia="黑体"/>
          <w:highlight w:val="none"/>
        </w:rPr>
        <w:t>、</w:t>
      </w:r>
      <w:r>
        <w:rPr>
          <w:rFonts w:hint="eastAsia" w:ascii="Times New Roman" w:hAnsi="Times New Roman" w:eastAsia="黑体" w:cs="Times New Roman"/>
          <w:spacing w:val="-12"/>
          <w:sz w:val="32"/>
          <w:szCs w:val="32"/>
          <w:highlight w:val="none"/>
          <w:lang w:eastAsia="zh-CN"/>
        </w:rPr>
        <w:t>色值</w:t>
      </w:r>
    </w:p>
    <w:p>
      <w:pPr>
        <w:widowControl/>
        <w:shd w:val="clear" w:color="auto" w:fill="FFFFFF"/>
        <w:snapToGrid w:val="0"/>
        <w:spacing w:line="590" w:lineRule="exact"/>
        <w:ind w:firstLine="624" w:firstLineChars="200"/>
        <w:rPr>
          <w:rFonts w:hint="eastAsia" w:ascii="仿宋" w:hAnsi="仿宋"/>
        </w:rPr>
      </w:pPr>
      <w:r>
        <w:rPr>
          <w:rFonts w:hint="eastAsia" w:ascii="仿宋" w:hAnsi="仿宋"/>
          <w:highlight w:val="none"/>
        </w:rPr>
        <w:t>食糖的品质指标之一，主要影响糖品的外观，是杂质多寡的一种反映，也是生产工艺水平的一种体现。《白砂糖》（GB/T 317-2018）中规定</w:t>
      </w:r>
      <w:r>
        <w:rPr>
          <w:rFonts w:hint="eastAsia" w:ascii="仿宋" w:hAnsi="仿宋"/>
          <w:highlight w:val="none"/>
          <w:lang w:eastAsia="zh-CN"/>
        </w:rPr>
        <w:t>一级</w:t>
      </w:r>
      <w:r>
        <w:rPr>
          <w:rFonts w:hint="eastAsia" w:ascii="仿宋" w:hAnsi="仿宋"/>
          <w:highlight w:val="none"/>
        </w:rPr>
        <w:t>白砂糖的色值</w:t>
      </w:r>
      <w:r>
        <w:rPr>
          <w:rFonts w:hint="eastAsia" w:ascii="仿宋" w:hAnsi="仿宋"/>
          <w:highlight w:val="none"/>
          <w:lang w:eastAsia="zh-CN"/>
        </w:rPr>
        <w:t>要求</w:t>
      </w:r>
      <w:r>
        <w:rPr>
          <w:rFonts w:hint="eastAsia" w:ascii="仿宋" w:hAnsi="仿宋"/>
          <w:highlight w:val="none"/>
        </w:rPr>
        <w:t>≤</w:t>
      </w:r>
      <w:r>
        <w:rPr>
          <w:rFonts w:hint="eastAsia" w:ascii="仿宋" w:hAnsi="仿宋"/>
          <w:highlight w:val="none"/>
          <w:lang w:val="en-US" w:eastAsia="zh-CN"/>
        </w:rPr>
        <w:t>150</w:t>
      </w:r>
      <w:r>
        <w:rPr>
          <w:rFonts w:hint="eastAsia" w:ascii="仿宋" w:hAnsi="仿宋"/>
          <w:highlight w:val="none"/>
        </w:rPr>
        <w:t>IU。</w:t>
      </w:r>
    </w:p>
    <w:p>
      <w:pPr>
        <w:widowControl/>
        <w:shd w:val="clear" w:color="auto" w:fill="FFFFFF"/>
        <w:snapToGrid w:val="0"/>
        <w:spacing w:line="590" w:lineRule="exact"/>
        <w:ind w:firstLine="624" w:firstLineChars="200"/>
        <w:rPr>
          <w:rFonts w:hint="eastAsia" w:ascii="黑体" w:hAnsi="黑体" w:eastAsia="黑体"/>
        </w:rPr>
      </w:pPr>
      <w:r>
        <w:rPr>
          <w:rFonts w:hint="eastAsia" w:ascii="黑体" w:hAnsi="黑体" w:eastAsia="黑体"/>
          <w:highlight w:val="none"/>
          <w:lang w:eastAsia="zh-CN"/>
        </w:rPr>
        <w:t>三</w:t>
      </w:r>
      <w:r>
        <w:rPr>
          <w:rFonts w:hint="eastAsia" w:ascii="黑体" w:hAnsi="黑体" w:eastAsia="黑体"/>
          <w:highlight w:val="none"/>
        </w:rPr>
        <w:t>、</w:t>
      </w:r>
      <w:r>
        <w:rPr>
          <w:rFonts w:hint="eastAsia" w:ascii="Times New Roman" w:hAnsi="Times New Roman" w:eastAsia="黑体" w:cs="Times New Roman"/>
          <w:spacing w:val="-12"/>
          <w:sz w:val="32"/>
          <w:szCs w:val="32"/>
          <w:highlight w:val="none"/>
          <w:lang w:eastAsia="zh-CN"/>
        </w:rPr>
        <w:t>菌落总数</w:t>
      </w:r>
    </w:p>
    <w:p>
      <w:pPr>
        <w:widowControl/>
        <w:shd w:val="clear" w:color="auto" w:fill="FFFFFF"/>
        <w:snapToGrid w:val="0"/>
        <w:spacing w:line="590" w:lineRule="exact"/>
        <w:ind w:firstLine="624" w:firstLineChars="200"/>
        <w:rPr>
          <w:rFonts w:hint="eastAsia" w:ascii="仿宋" w:hAnsi="仿宋"/>
        </w:rPr>
      </w:pPr>
      <w:r>
        <w:rPr>
          <w:rFonts w:hint="eastAsia" w:ascii="仿宋" w:hAnsi="仿宋"/>
          <w:highlight w:val="none"/>
        </w:rPr>
        <w:t>菌落总数是用以判定食品被细菌污染的程度，反映食品的新鲜程度和卫生状况的重要微生物指标之一。如果食品的菌落总数严重超标，说明其产品的卫生状况达不到基本的卫生要求，将会破坏食品的营养成分，加速食品的腐败变质，使食品失去食用价值。消费者食用微生物超标严重的食品，很容易患痢疾等肠道疾病，可能引起呕吐、腹泻等症状，危害人体健康安全。原料、加工场所、包装等食品加工环节受到污染是直接导致菌落总数不合格的主要原因：①杀菌温度、时间控制不当；②生产环境以及设施消毒灭菌不彻底，生产车间卫生条件不满足生产的要求，空气洁净度难以保证，造成大量微生物在车间繁殖，因此产品极容易受到污染；③企业本身的生产硬件条件非常有限，人员操作不卫生、生产过程不规范等原因造成产品的污染；④使用受污染的原材料；⑤产品贮藏、运输环节控制不力、质量把关不严，质量得不到控制</w:t>
      </w:r>
      <w:r>
        <w:rPr>
          <w:rFonts w:hint="eastAsia" w:ascii="仿宋" w:hAnsi="仿宋"/>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HeitiStd-Regular">
    <w:altName w:val="宋体"/>
    <w:panose1 w:val="00000000000000000000"/>
    <w:charset w:val="86"/>
    <w:family w:val="auto"/>
    <w:pitch w:val="default"/>
    <w:sig w:usb0="00000000" w:usb1="00000000" w:usb2="00000000" w:usb3="00000000" w:csb0="00040000" w:csb1="00000000"/>
  </w:font>
  <w:font w:name="E-BZ+ZFKCI1-1">
    <w:altName w:val="宋体"/>
    <w:panose1 w:val="00000000000000000000"/>
    <w:charset w:val="86"/>
    <w:family w:val="auto"/>
    <w:pitch w:val="default"/>
    <w:sig w:usb0="00000000" w:usb1="0000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E-BZ+ZFKCI1-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FZHTK--GBK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DLF-32771-0-294221330+ZLRCrb-43">
    <w:altName w:val="宋体"/>
    <w:panose1 w:val="00000000000000000000"/>
    <w:charset w:val="86"/>
    <w:family w:val="auto"/>
    <w:pitch w:val="default"/>
    <w:sig w:usb0="00000000" w:usb1="00000000" w:usb2="00000000" w:usb3="00000000" w:csb0="00040000" w:csb1="00000000"/>
  </w:font>
  <w:font w:name="AdobeHeitiStd-Regular">
    <w:altName w:val="Segoe Print"/>
    <w:panose1 w:val="00000000000000000000"/>
    <w:charset w:val="00"/>
    <w:family w:val="auto"/>
    <w:pitch w:val="default"/>
    <w:sig w:usb0="00000000" w:usb1="00000000" w:usb2="00000000" w:usb3="00000000" w:csb0="00000000" w:csb1="00000000"/>
  </w:font>
  <w:font w:name="FZHTJW--GB1-0">
    <w:altName w:val="Segoe Print"/>
    <w:panose1 w:val="00000000000000000000"/>
    <w:charset w:val="00"/>
    <w:family w:val="auto"/>
    <w:pitch w:val="default"/>
    <w:sig w:usb0="00000000" w:usb1="00000000" w:usb2="00000000" w:usb3="00000000" w:csb0="00000000" w:csb1="00000000"/>
  </w:font>
  <w:font w:name="DY1+ZHBGhf-1">
    <w:altName w:val="宋体"/>
    <w:panose1 w:val="00000000000000000000"/>
    <w:charset w:val="86"/>
    <w:family w:val="auto"/>
    <w:pitch w:val="default"/>
    <w:sig w:usb0="00000000" w:usb1="00000000" w:usb2="00000000" w:usb3="00000000" w:csb0="00040000" w:csb1="00000000"/>
  </w:font>
  <w:font w:name="DY297+ZHBGii-646">
    <w:altName w:val="宋体"/>
    <w:panose1 w:val="00000000000000000000"/>
    <w:charset w:val="86"/>
    <w:family w:val="auto"/>
    <w:pitch w:val="default"/>
    <w:sig w:usb0="00000000" w:usb1="00000000" w:usb2="00000000" w:usb3="00000000" w:csb0="00040000" w:csb1="00000000"/>
  </w:font>
  <w:font w:name="DY7+ZHBGhg-8">
    <w:altName w:val="宋体"/>
    <w:panose1 w:val="00000000000000000000"/>
    <w:charset w:val="86"/>
    <w:family w:val="auto"/>
    <w:pitch w:val="default"/>
    <w:sig w:usb0="00000000" w:usb1="00000000" w:usb2="00000000" w:usb3="00000000" w:csb0="00040000" w:csb1="00000000"/>
  </w:font>
  <w:font w:name="DY3+ZHBGhf-3">
    <w:altName w:val="宋体"/>
    <w:panose1 w:val="00000000000000000000"/>
    <w:charset w:val="86"/>
    <w:family w:val="auto"/>
    <w:pitch w:val="default"/>
    <w:sig w:usb0="00000000" w:usb1="00000000" w:usb2="00000000" w:usb3="00000000" w:csb0="00040000" w:csb1="00000000"/>
  </w:font>
  <w:font w:name="B9+楷体">
    <w:altName w:val="宋体"/>
    <w:panose1 w:val="00000000000000000000"/>
    <w:charset w:val="86"/>
    <w:family w:val="auto"/>
    <w:pitch w:val="default"/>
    <w:sig w:usb0="00000000" w:usb1="00000000" w:usb2="00000000" w:usb3="00000000" w:csb0="00040000" w:csb1="00000000"/>
  </w:font>
  <w:font w:name="B5+CAJSymbolA">
    <w:altName w:val="宋体"/>
    <w:panose1 w:val="00000000000000000000"/>
    <w:charset w:val="86"/>
    <w:family w:val="auto"/>
    <w:pitch w:val="default"/>
    <w:sig w:usb0="00000000" w:usb1="00000000" w:usb2="00000000" w:usb3="00000000" w:csb0="00040000" w:csb1="00000000"/>
  </w:font>
  <w:font w:name="E-HZ+ZECJcD-2">
    <w:altName w:val="宋体"/>
    <w:panose1 w:val="00000000000000000000"/>
    <w:charset w:val="86"/>
    <w:family w:val="auto"/>
    <w:pitch w:val="default"/>
    <w:sig w:usb0="00000000" w:usb1="00000000" w:usb2="00000000" w:usb3="00000000" w:csb0="00040000" w:csb1="00000000"/>
  </w:font>
  <w:font w:name="zuoyeFont_mathFon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F26C4"/>
    <w:rsid w:val="26153BC5"/>
    <w:rsid w:val="5D0570A9"/>
    <w:rsid w:val="608F26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kern w:val="2"/>
      <w:sz w:val="32"/>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character" w:styleId="4">
    <w:name w:val="page number"/>
    <w:basedOn w:val="3"/>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2019-07-24T08:18:00Z</dcterms:created>
  <dc:creator>陈凯</dc:creator>
  <cp:lastModifiedBy>陈凯</cp:lastModifiedBy>
  <dcterms:modified xsi:type="dcterms:W3CDTF">2019-07-24T08:18:56Z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