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numPr>
          <w:ilvl w:val="0"/>
          <w:numId w:val="0"/>
        </w:numPr>
        <w:spacing w:line="600" w:lineRule="exact"/>
        <w:ind w:leftChars="0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附件2</w:t>
      </w:r>
    </w:p>
    <w:p>
      <w:pPr>
        <w:spacing w:line="594" w:lineRule="exact"/>
        <w:rPr>
          <w:rFonts w:ascii="黑体" w:hAnsi="黑体" w:eastAsia="黑体"/>
          <w:szCs w:val="32"/>
        </w:rPr>
      </w:pPr>
    </w:p>
    <w:p>
      <w:pPr>
        <w:spacing w:line="594" w:lineRule="exact"/>
        <w:jc w:val="center"/>
        <w:outlineLvl w:val="1"/>
        <w:rPr>
          <w:rFonts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部分不合格项目的小知识</w:t>
      </w:r>
    </w:p>
    <w:p>
      <w:pPr>
        <w:spacing w:line="600" w:lineRule="exact"/>
        <w:jc w:val="center"/>
        <w:rPr>
          <w:rFonts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5" w:firstLineChars="200"/>
        <w:jc w:val="left"/>
        <w:textAlignment w:val="auto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-12"/>
          <w:sz w:val="32"/>
          <w:szCs w:val="32"/>
        </w:rPr>
        <w:t>铜</w:t>
      </w:r>
      <w:r>
        <w:rPr>
          <w:rFonts w:hint="eastAsia" w:ascii="黑体" w:hAnsi="黑体" w:eastAsia="黑体"/>
          <w:spacing w:val="-12"/>
          <w:sz w:val="32"/>
          <w:szCs w:val="32"/>
        </w:rPr>
        <w:t>绿假单胞菌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铜绿假单胞菌是一种条件致病菌，广泛分布于各种水、空气、正常人的皮肤、呼吸道和肠道等，易在潮湿的环境中存活。如果桶装水的消费周期较长，营养要求较低的铜绿假单胞菌可生长繁殖，可能会引起味道、气味、浊度的改变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因铜绿假单胞菌对消毒剂、干燥、紫外线等理化因素具有很强的抵抗力，所以对抵抗力较弱的人群存在较大健康风险，容易引起急性肠道炎、脑膜炎、败血症和皮肤炎症等疾病。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《食品安全国家标准 包装饮用水》（</w:t>
      </w:r>
      <w:r>
        <w:rPr>
          <w:rFonts w:hint="eastAsia" w:eastAsia="仿宋_GB2312"/>
          <w:sz w:val="32"/>
          <w:szCs w:val="32"/>
          <w:lang w:val="en-US" w:eastAsia="zh-CN"/>
        </w:rPr>
        <w:t>GB19298-2014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）中规定，一个样品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次检测结果均不得检出铜绿假单胞菌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。包装饮用水中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检出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铜绿假单胞菌污染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主要原因：一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是水源受到污染；二是生产过程中卫生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、工艺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控制不严；三是包装材料清洗消毒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有缺陷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5" w:firstLineChars="200"/>
        <w:jc w:val="left"/>
        <w:textAlignment w:val="auto"/>
        <w:rPr>
          <w:rFonts w:hint="eastAsia" w:ascii="黑体" w:hAnsi="黑体" w:eastAsia="黑体"/>
          <w:b/>
          <w:bCs/>
          <w:spacing w:val="-12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-12"/>
          <w:sz w:val="32"/>
          <w:szCs w:val="32"/>
        </w:rPr>
        <w:t>铅(以 Pb 计)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铅是一种慢性和积累性毒物</w:t>
      </w:r>
      <w:r>
        <w:rPr>
          <w:rFonts w:hint="eastAsia" w:eastAsia="仿宋_GB2312"/>
          <w:sz w:val="32"/>
          <w:szCs w:val="32"/>
        </w:rPr>
        <w:t>。若长期或过多</w:t>
      </w:r>
      <w:r>
        <w:rPr>
          <w:rFonts w:eastAsia="仿宋_GB2312"/>
          <w:sz w:val="32"/>
          <w:szCs w:val="32"/>
        </w:rPr>
        <w:t>摄入铅含量超标的食品，</w:t>
      </w:r>
      <w:r>
        <w:rPr>
          <w:rFonts w:hint="eastAsia" w:eastAsia="仿宋_GB2312"/>
          <w:color w:val="000000"/>
          <w:sz w:val="32"/>
          <w:szCs w:val="32"/>
        </w:rPr>
        <w:t>铅</w:t>
      </w:r>
      <w:r>
        <w:rPr>
          <w:rFonts w:eastAsia="仿宋_GB2312"/>
          <w:sz w:val="32"/>
          <w:szCs w:val="32"/>
        </w:rPr>
        <w:t>会蓄积在体内，</w:t>
      </w:r>
      <w:r>
        <w:rPr>
          <w:rFonts w:hint="eastAsia" w:eastAsia="仿宋_GB2312"/>
          <w:sz w:val="32"/>
          <w:szCs w:val="32"/>
        </w:rPr>
        <w:t>可能会</w:t>
      </w:r>
      <w:r>
        <w:rPr>
          <w:rFonts w:eastAsia="仿宋_GB2312"/>
          <w:sz w:val="32"/>
          <w:szCs w:val="32"/>
        </w:rPr>
        <w:t>影响大脑和神经系统，尤其会对儿童造成智力发育障碍和表现行为异常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《食品安全国家标准 食品中污染物限量》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GB2762-2017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中规定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，其他调味品铅限量值为</w:t>
      </w:r>
      <w:r>
        <w:rPr>
          <w:rFonts w:hint="eastAsia" w:eastAsia="仿宋_GB2312"/>
          <w:sz w:val="32"/>
          <w:szCs w:val="32"/>
          <w:lang w:val="en-US" w:eastAsia="zh-CN"/>
        </w:rPr>
        <w:t>≤3.0mg/kg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。其不合格原因</w:t>
      </w:r>
      <w:r>
        <w:rPr>
          <w:rFonts w:eastAsia="仿宋_GB2312"/>
          <w:sz w:val="32"/>
          <w:szCs w:val="32"/>
        </w:rPr>
        <w:t>主要是环境污染带入原料，说明生产企业对原料把关不严，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使用了铅含量超标的原料，也</w:t>
      </w:r>
      <w:r>
        <w:rPr>
          <w:rFonts w:hint="eastAsia" w:eastAsia="仿宋_GB2312"/>
          <w:sz w:val="32"/>
          <w:szCs w:val="32"/>
        </w:rPr>
        <w:t>可能是</w:t>
      </w:r>
      <w:r>
        <w:rPr>
          <w:rFonts w:eastAsia="仿宋_GB2312"/>
          <w:sz w:val="32"/>
          <w:szCs w:val="32"/>
        </w:rPr>
        <w:t>从生产设备迁移入食品的可能。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酒精度</w:t>
      </w:r>
    </w:p>
    <w:p>
      <w:pPr>
        <w:spacing w:line="56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酒精度又叫酒度，是指在20</w:t>
      </w:r>
      <w:r>
        <w:rPr>
          <w:rFonts w:hint="eastAsia" w:ascii="宋体" w:hAnsi="宋体" w:eastAsia="宋体" w:cs="宋体"/>
          <w:kern w:val="0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时，100毫升酒中含有乙醇（酒精）的毫升数，即体积（容量）的百分数。</w:t>
      </w:r>
      <w:r>
        <w:rPr>
          <w:rFonts w:hint="eastAsia" w:eastAsia="仿宋_GB2312"/>
          <w:sz w:val="32"/>
          <w:szCs w:val="32"/>
          <w:lang w:val="en-US" w:eastAsia="zh-CN"/>
        </w:rPr>
        <w:t>酒类产品的国家标准对酒精度有严格的规定，要求酒精度范围是企业标签明示的±1%（vol）之间，超过了±1%（vol），可以判定为不合格。不合格原因可能是：一是企业产品生产中工艺过程控制不严格；二是出厂检测酒精度不够准确，可能存在有检验人员经验不足，也有可能是酒精计长时间没有进行计量校准，出现了误差。</w:t>
      </w:r>
    </w:p>
    <w:p>
      <w:pPr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52ECC4"/>
    <w:multiLevelType w:val="singleLevel"/>
    <w:tmpl w:val="AB52ECC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3074CC0"/>
    <w:rsid w:val="083119A6"/>
    <w:rsid w:val="08C70051"/>
    <w:rsid w:val="0B23740C"/>
    <w:rsid w:val="0BF55D05"/>
    <w:rsid w:val="0E524ED3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B01321"/>
    <w:rsid w:val="28FE5380"/>
    <w:rsid w:val="293C4333"/>
    <w:rsid w:val="2A266F86"/>
    <w:rsid w:val="2B453547"/>
    <w:rsid w:val="3A066159"/>
    <w:rsid w:val="3CB92E35"/>
    <w:rsid w:val="3D066ED4"/>
    <w:rsid w:val="3D5B7861"/>
    <w:rsid w:val="3DA70F84"/>
    <w:rsid w:val="40DF5746"/>
    <w:rsid w:val="426B3C81"/>
    <w:rsid w:val="449A0830"/>
    <w:rsid w:val="488E348C"/>
    <w:rsid w:val="4AA63504"/>
    <w:rsid w:val="4FAD0645"/>
    <w:rsid w:val="4FC70334"/>
    <w:rsid w:val="54D163A0"/>
    <w:rsid w:val="551A6E5D"/>
    <w:rsid w:val="555F3F9A"/>
    <w:rsid w:val="575B13D1"/>
    <w:rsid w:val="57CB2923"/>
    <w:rsid w:val="5C9E489B"/>
    <w:rsid w:val="5E0540D0"/>
    <w:rsid w:val="5F7B3A23"/>
    <w:rsid w:val="61DD6D44"/>
    <w:rsid w:val="66F41395"/>
    <w:rsid w:val="6BB87E7B"/>
    <w:rsid w:val="75202347"/>
    <w:rsid w:val="76D75FC2"/>
    <w:rsid w:val="77887501"/>
    <w:rsid w:val="77E37BF6"/>
    <w:rsid w:val="79516C02"/>
    <w:rsid w:val="7C965A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毛毛虫1399570649</cp:lastModifiedBy>
  <cp:lastPrinted>2016-09-01T02:58:00Z</cp:lastPrinted>
  <dcterms:modified xsi:type="dcterms:W3CDTF">2019-07-22T09:53:55Z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