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ascii="黑体" w:hAnsi="黑体" w:eastAsia="黑体"/>
        </w:rPr>
      </w:pPr>
      <w:r>
        <w:rPr>
          <w:rFonts w:hint="eastAsia" w:ascii="黑体" w:hAnsi="黑体" w:eastAsia="黑体" w:cs="仿宋"/>
        </w:rPr>
        <w:t>附件1</w:t>
      </w:r>
    </w:p>
    <w:p>
      <w:pPr>
        <w:shd w:val="clear" w:color="auto" w:fill="FFFFFF"/>
        <w:spacing w:line="590" w:lineRule="exact"/>
        <w:ind w:firstLine="864" w:firstLineChars="200"/>
        <w:jc w:val="center"/>
        <w:rPr>
          <w:rFonts w:hint="eastAsia" w:ascii="方正小标宋简体" w:hAnsi="仿宋" w:eastAsia="方正小标宋简体" w:cs="仿宋"/>
          <w:sz w:val="44"/>
          <w:szCs w:val="44"/>
        </w:rPr>
      </w:pPr>
      <w:bookmarkStart w:id="0" w:name="_GoBack"/>
      <w:r>
        <w:rPr>
          <w:rFonts w:hint="eastAsia" w:ascii="方正小标宋简体" w:hAnsi="仿宋" w:eastAsia="方正小标宋简体" w:cs="仿宋"/>
          <w:sz w:val="44"/>
          <w:szCs w:val="44"/>
        </w:rPr>
        <w:t>本次</w:t>
      </w:r>
      <w:r>
        <w:rPr>
          <w:rFonts w:hint="eastAsia" w:ascii="方正小标宋简体" w:hAnsi="仿宋" w:eastAsia="方正小标宋简体" w:cs="仿宋"/>
          <w:sz w:val="44"/>
          <w:szCs w:val="44"/>
          <w:lang w:eastAsia="zh-CN"/>
        </w:rPr>
        <w:t>抽检依据和</w:t>
      </w:r>
      <w:r>
        <w:rPr>
          <w:rFonts w:hint="eastAsia" w:ascii="方正小标宋简体" w:hAnsi="仿宋" w:eastAsia="方正小标宋简体" w:cs="仿宋"/>
          <w:sz w:val="44"/>
          <w:szCs w:val="44"/>
        </w:rPr>
        <w:t>检验项目</w:t>
      </w:r>
    </w:p>
    <w:bookmarkEnd w:id="0"/>
    <w:p>
      <w:pPr>
        <w:shd w:val="clear" w:color="auto" w:fill="FFFFFF"/>
        <w:spacing w:line="590" w:lineRule="exact"/>
        <w:rPr>
          <w:rFonts w:hint="eastAsia" w:ascii="仿宋" w:hAnsi="仿宋"/>
        </w:rPr>
      </w:pPr>
    </w:p>
    <w:p>
      <w:pPr>
        <w:pStyle w:val="6"/>
        <w:numPr>
          <w:ilvl w:val="0"/>
          <w:numId w:val="1"/>
        </w:numPr>
        <w:spacing w:line="600" w:lineRule="exact"/>
        <w:ind w:firstLineChars="0"/>
        <w:rPr>
          <w:rFonts w:eastAsia="黑体"/>
          <w:sz w:val="32"/>
          <w:szCs w:val="32"/>
        </w:rPr>
      </w:pPr>
      <w:r>
        <w:rPr>
          <w:rFonts w:hint="eastAsia" w:eastAsia="黑体"/>
          <w:sz w:val="32"/>
          <w:szCs w:val="32"/>
        </w:rPr>
        <w:t>粮食加工品</w:t>
      </w:r>
    </w:p>
    <w:p>
      <w:pPr>
        <w:spacing w:line="600" w:lineRule="exact"/>
        <w:ind w:firstLine="780" w:firstLineChars="250"/>
        <w:rPr>
          <w:rFonts w:ascii="楷体" w:hAnsi="楷体" w:eastAsia="楷体"/>
          <w:sz w:val="32"/>
          <w:szCs w:val="32"/>
        </w:rPr>
      </w:pPr>
      <w:r>
        <w:rPr>
          <w:rFonts w:hint="eastAsia" w:ascii="楷体" w:hAnsi="楷体" w:eastAsia="楷体"/>
          <w:sz w:val="32"/>
          <w:szCs w:val="32"/>
        </w:rPr>
        <w:t>（一）抽检依据</w:t>
      </w:r>
    </w:p>
    <w:p>
      <w:pPr>
        <w:pStyle w:val="7"/>
        <w:ind w:firstLine="780" w:firstLineChars="250"/>
        <w:rPr>
          <w:rFonts w:hint="eastAsia" w:ascii="仿宋" w:hAnsi="仿宋" w:eastAsia="仿宋" w:cs="仿宋"/>
          <w:color w:val="auto"/>
          <w:sz w:val="32"/>
          <w:szCs w:val="32"/>
        </w:rPr>
      </w:pPr>
      <w:r>
        <w:rPr>
          <w:rFonts w:hint="eastAsia" w:ascii="仿宋" w:hAnsi="仿宋" w:eastAsia="仿宋" w:cs="仿宋"/>
          <w:color w:val="auto"/>
          <w:sz w:val="32"/>
          <w:szCs w:val="32"/>
        </w:rPr>
        <w:t>抽检依据是《食品安全国家标准</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食品添加剂使用标准》（GB 2760-2014）、《食品安全国家标准</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食品中真菌毒素限量》（GB 2761-2017）、《食品安全国家标准</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食品中污染物限量》（GB 2762-2017）、《绿色食品稻米》（NY/T 419-2014）、卫生部公告[2011]第4号卫生部等7部门《关于撤销食品添加剂过氧化苯甲酰、过氧化钙的公告》等标准及产品明示标准和指标的要求。</w:t>
      </w:r>
    </w:p>
    <w:p>
      <w:pPr>
        <w:spacing w:line="600" w:lineRule="exact"/>
        <w:ind w:firstLine="624" w:firstLineChars="200"/>
        <w:rPr>
          <w:rFonts w:hint="eastAsia" w:ascii="仿宋" w:hAnsi="仿宋" w:eastAsia="仿宋" w:cs="仿宋"/>
          <w:sz w:val="32"/>
          <w:szCs w:val="32"/>
        </w:rPr>
      </w:pPr>
      <w:r>
        <w:rPr>
          <w:rFonts w:hint="eastAsia" w:ascii="仿宋" w:hAnsi="仿宋" w:eastAsia="仿宋" w:cs="仿宋"/>
          <w:sz w:val="32"/>
          <w:szCs w:val="32"/>
        </w:rPr>
        <w:t>（二）检验项目</w:t>
      </w:r>
    </w:p>
    <w:p>
      <w:pPr>
        <w:autoSpaceDE w:val="0"/>
        <w:autoSpaceDN w:val="0"/>
        <w:adjustRightInd w:val="0"/>
        <w:ind w:firstLine="624"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cs="仿宋"/>
          <w:sz w:val="32"/>
          <w:szCs w:val="32"/>
          <w:lang w:val="en-US" w:eastAsia="zh-CN"/>
        </w:rPr>
        <w:t>.</w:t>
      </w:r>
      <w:r>
        <w:rPr>
          <w:rFonts w:hint="eastAsia" w:ascii="仿宋" w:hAnsi="仿宋" w:eastAsia="仿宋" w:cs="仿宋"/>
          <w:sz w:val="32"/>
          <w:szCs w:val="32"/>
        </w:rPr>
        <w:t>大米抽检项目包括总汞（以Hg 计）、无机砷（以As 计）、铅（以Pb 计）、铬（以Cr 计）、镉（以Cd 计）、黄曲霉毒素B</w:t>
      </w:r>
      <w:r>
        <w:rPr>
          <w:rFonts w:hint="eastAsia" w:ascii="仿宋" w:hAnsi="仿宋" w:eastAsia="仿宋" w:cs="仿宋"/>
          <w:sz w:val="32"/>
          <w:szCs w:val="32"/>
          <w:vertAlign w:val="subscript"/>
        </w:rPr>
        <w:t>1</w:t>
      </w:r>
      <w:r>
        <w:rPr>
          <w:rFonts w:hint="eastAsia" w:ascii="仿宋" w:hAnsi="仿宋" w:eastAsia="仿宋" w:cs="仿宋"/>
          <w:sz w:val="32"/>
          <w:szCs w:val="32"/>
        </w:rPr>
        <w:t>。</w:t>
      </w:r>
    </w:p>
    <w:p>
      <w:pPr>
        <w:pStyle w:val="7"/>
        <w:ind w:firstLine="624"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挂面抽检项目包括</w:t>
      </w:r>
      <w:r>
        <w:rPr>
          <w:rFonts w:hint="eastAsia" w:ascii="仿宋" w:hAnsi="仿宋" w:eastAsia="仿宋" w:cs="仿宋"/>
          <w:color w:val="auto"/>
          <w:kern w:val="2"/>
          <w:sz w:val="32"/>
          <w:szCs w:val="32"/>
        </w:rPr>
        <w:t>铅（以</w:t>
      </w:r>
      <w:r>
        <w:rPr>
          <w:rFonts w:hint="eastAsia" w:ascii="仿宋" w:hAnsi="仿宋" w:eastAsia="仿宋" w:cs="仿宋"/>
          <w:color w:val="auto"/>
          <w:sz w:val="32"/>
          <w:szCs w:val="32"/>
        </w:rPr>
        <w:t>Pb</w:t>
      </w:r>
      <w:r>
        <w:rPr>
          <w:rFonts w:hint="eastAsia" w:ascii="仿宋" w:hAnsi="仿宋" w:eastAsia="仿宋" w:cs="仿宋"/>
          <w:color w:val="auto"/>
          <w:kern w:val="2"/>
          <w:sz w:val="32"/>
          <w:szCs w:val="32"/>
        </w:rPr>
        <w:t>计）</w:t>
      </w:r>
      <w:r>
        <w:rPr>
          <w:rFonts w:hint="eastAsia" w:ascii="仿宋" w:hAnsi="仿宋" w:eastAsia="仿宋" w:cs="仿宋"/>
          <w:color w:val="auto"/>
          <w:sz w:val="32"/>
          <w:szCs w:val="32"/>
        </w:rPr>
        <w:t>。</w:t>
      </w:r>
    </w:p>
    <w:p>
      <w:pPr>
        <w:pStyle w:val="7"/>
        <w:ind w:firstLine="624"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小麦粉抽检项目包括</w:t>
      </w:r>
      <w:r>
        <w:rPr>
          <w:rFonts w:hint="eastAsia" w:ascii="仿宋" w:hAnsi="仿宋" w:eastAsia="仿宋" w:cs="仿宋"/>
          <w:color w:val="auto"/>
          <w:kern w:val="2"/>
          <w:sz w:val="32"/>
          <w:szCs w:val="32"/>
        </w:rPr>
        <w:t>铅（以Pb计）、镉（以Cd计）、玉米赤霉烯酮、脱氧雪腐镰刀菌烯醇、黄曲霉毒素B1、苯并[a]芘、过氧化苯甲酰</w:t>
      </w:r>
      <w:r>
        <w:rPr>
          <w:rFonts w:hint="eastAsia" w:ascii="仿宋" w:hAnsi="仿宋" w:eastAsia="仿宋" w:cs="仿宋"/>
          <w:color w:val="auto"/>
          <w:sz w:val="32"/>
          <w:szCs w:val="32"/>
        </w:rPr>
        <w:t>。</w:t>
      </w:r>
    </w:p>
    <w:p>
      <w:pPr>
        <w:pStyle w:val="7"/>
        <w:ind w:firstLine="640"/>
        <w:jc w:val="both"/>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谷物粉类制成品抽检项目包括</w:t>
      </w:r>
      <w:r>
        <w:rPr>
          <w:rFonts w:hint="eastAsia" w:ascii="仿宋" w:hAnsi="仿宋" w:eastAsia="仿宋" w:cs="仿宋"/>
          <w:color w:val="auto"/>
          <w:kern w:val="2"/>
          <w:sz w:val="32"/>
          <w:szCs w:val="32"/>
        </w:rPr>
        <w:t>铅（以Pb计）、二氧化硫残留量、沙门氏菌、金黄色葡萄球菌</w:t>
      </w:r>
      <w:r>
        <w:rPr>
          <w:rFonts w:hint="eastAsia" w:ascii="仿宋" w:hAnsi="仿宋" w:eastAsia="仿宋" w:cs="仿宋"/>
          <w:color w:val="auto"/>
          <w:sz w:val="32"/>
          <w:szCs w:val="32"/>
        </w:rPr>
        <w:t>。</w:t>
      </w:r>
    </w:p>
    <w:p>
      <w:pPr>
        <w:pStyle w:val="7"/>
        <w:ind w:firstLine="640"/>
        <w:jc w:val="both"/>
        <w:rPr>
          <w:rFonts w:hint="eastAsia" w:eastAsia="黑体"/>
          <w:highlight w:val="none"/>
          <w:lang w:eastAsia="zh-CN"/>
        </w:rPr>
      </w:pP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eastAsia="zh-CN"/>
        </w:rPr>
        <w:t>谷物碾磨加工品抽检项目包括铅（以Pb计）、二氧化硫残留量、黄曲霉毒素B1、脱氧雪腐镰刀菌烯醇、玉米赤霉烯酮和赭曲霉毒素A。</w:t>
      </w:r>
    </w:p>
    <w:p>
      <w:pPr>
        <w:shd w:val="clear" w:color="auto" w:fill="FFFFFF"/>
        <w:spacing w:line="590" w:lineRule="exact"/>
        <w:ind w:firstLine="624" w:firstLineChars="200"/>
        <w:rPr>
          <w:rFonts w:hint="eastAsia" w:ascii="仿宋" w:hAnsi="仿宋"/>
        </w:rPr>
      </w:pPr>
      <w:r>
        <w:rPr>
          <w:rFonts w:hint="eastAsia" w:eastAsia="黑体"/>
          <w:lang w:eastAsia="zh-CN"/>
        </w:rPr>
        <w:t>二</w:t>
      </w:r>
      <w:r>
        <w:rPr>
          <w:rFonts w:hint="eastAsia" w:eastAsia="黑体"/>
        </w:rPr>
        <w:t>、</w:t>
      </w:r>
      <w:r>
        <w:rPr>
          <w:rFonts w:hint="eastAsia" w:eastAsia="黑体"/>
          <w:lang w:eastAsia="zh-CN"/>
        </w:rPr>
        <w:t>肉制品</w:t>
      </w:r>
    </w:p>
    <w:p>
      <w:pPr>
        <w:shd w:val="clear" w:color="auto" w:fill="FFFFFF"/>
        <w:spacing w:line="590" w:lineRule="exact"/>
        <w:ind w:firstLine="624" w:firstLineChars="200"/>
        <w:rPr>
          <w:rFonts w:hint="eastAsia" w:ascii="仿宋" w:hAnsi="仿宋"/>
        </w:rPr>
      </w:pPr>
      <w:r>
        <w:rPr>
          <w:rFonts w:hint="eastAsia" w:ascii="楷体" w:hAnsi="楷体" w:eastAsia="楷体"/>
        </w:rPr>
        <w:t>（一）抽检依据</w:t>
      </w:r>
    </w:p>
    <w:p>
      <w:pPr>
        <w:shd w:val="clear" w:color="auto" w:fill="FFFFFF"/>
        <w:spacing w:line="590" w:lineRule="exact"/>
        <w:ind w:firstLine="624" w:firstLineChars="200"/>
        <w:rPr>
          <w:rFonts w:hint="eastAsia" w:ascii="仿宋" w:hAnsi="仿宋"/>
          <w:highlight w:val="none"/>
        </w:rPr>
      </w:pPr>
      <w:r>
        <w:rPr>
          <w:rFonts w:hint="eastAsia" w:ascii="仿宋" w:hAnsi="仿宋"/>
          <w:highlight w:val="none"/>
        </w:rPr>
        <w:t>抽检依据是《食品安全国家标准 熟肉制品》</w:t>
      </w:r>
      <w:r>
        <w:rPr>
          <w:rFonts w:hint="eastAsia" w:ascii="仿宋" w:hAnsi="仿宋"/>
          <w:highlight w:val="none"/>
          <w:lang w:eastAsia="zh-CN"/>
        </w:rPr>
        <w:t>（</w:t>
      </w:r>
      <w:r>
        <w:rPr>
          <w:rFonts w:hint="eastAsia" w:ascii="仿宋" w:hAnsi="仿宋"/>
          <w:highlight w:val="none"/>
        </w:rPr>
        <w:t>GB 2726-2016</w:t>
      </w:r>
      <w:r>
        <w:rPr>
          <w:rFonts w:hint="eastAsia" w:ascii="仿宋" w:hAnsi="仿宋"/>
          <w:highlight w:val="none"/>
          <w:lang w:eastAsia="zh-CN"/>
        </w:rPr>
        <w:t>）</w:t>
      </w:r>
      <w:r>
        <w:rPr>
          <w:rFonts w:hint="eastAsia" w:ascii="仿宋" w:hAnsi="仿宋"/>
          <w:highlight w:val="none"/>
        </w:rPr>
        <w:t>、《食品安全国家标准 腌腊肉制品》</w:t>
      </w:r>
      <w:r>
        <w:rPr>
          <w:rFonts w:hint="eastAsia" w:ascii="仿宋" w:hAnsi="仿宋"/>
          <w:highlight w:val="none"/>
          <w:lang w:eastAsia="zh-CN"/>
        </w:rPr>
        <w:t>（</w:t>
      </w:r>
      <w:r>
        <w:rPr>
          <w:rFonts w:hint="eastAsia" w:ascii="仿宋" w:hAnsi="仿宋"/>
          <w:highlight w:val="none"/>
        </w:rPr>
        <w:t>GB 2730-2015</w:t>
      </w:r>
      <w:r>
        <w:rPr>
          <w:rFonts w:hint="eastAsia" w:ascii="仿宋" w:hAnsi="仿宋"/>
          <w:highlight w:val="none"/>
          <w:lang w:eastAsia="zh-CN"/>
        </w:rPr>
        <w:t>）</w:t>
      </w:r>
      <w:r>
        <w:rPr>
          <w:rFonts w:hint="eastAsia" w:ascii="仿宋" w:hAnsi="仿宋"/>
          <w:highlight w:val="none"/>
        </w:rPr>
        <w:t>、《酱卤肉制品》</w:t>
      </w:r>
      <w:r>
        <w:rPr>
          <w:rFonts w:hint="eastAsia" w:ascii="仿宋" w:hAnsi="仿宋"/>
          <w:highlight w:val="none"/>
          <w:lang w:eastAsia="zh-CN"/>
        </w:rPr>
        <w:t>（</w:t>
      </w:r>
      <w:r>
        <w:rPr>
          <w:rFonts w:hint="eastAsia" w:ascii="仿宋" w:hAnsi="仿宋"/>
          <w:highlight w:val="none"/>
        </w:rPr>
        <w:t>GB/T 23586-2009</w:t>
      </w:r>
      <w:r>
        <w:rPr>
          <w:rFonts w:hint="eastAsia" w:ascii="仿宋" w:hAnsi="仿宋"/>
          <w:highlight w:val="none"/>
          <w:lang w:eastAsia="zh-CN"/>
        </w:rPr>
        <w:t>）</w:t>
      </w:r>
      <w:r>
        <w:rPr>
          <w:rFonts w:hint="eastAsia" w:ascii="仿宋" w:hAnsi="仿宋"/>
          <w:highlight w:val="none"/>
        </w:rPr>
        <w:t>、《食品安全国家标准 食品添加剂使用标准》</w:t>
      </w:r>
      <w:r>
        <w:rPr>
          <w:rFonts w:hint="eastAsia" w:ascii="仿宋" w:hAnsi="仿宋"/>
          <w:highlight w:val="none"/>
          <w:lang w:eastAsia="zh-CN"/>
        </w:rPr>
        <w:t>（</w:t>
      </w:r>
      <w:r>
        <w:rPr>
          <w:rFonts w:hint="eastAsia" w:ascii="仿宋" w:hAnsi="仿宋"/>
          <w:highlight w:val="none"/>
        </w:rPr>
        <w:t>GB 2760-2014</w:t>
      </w:r>
      <w:r>
        <w:rPr>
          <w:rFonts w:hint="eastAsia" w:ascii="仿宋" w:hAnsi="仿宋"/>
          <w:highlight w:val="none"/>
          <w:lang w:eastAsia="zh-CN"/>
        </w:rPr>
        <w:t>）</w:t>
      </w:r>
      <w:r>
        <w:rPr>
          <w:rFonts w:hint="eastAsia" w:ascii="仿宋" w:hAnsi="仿宋"/>
          <w:highlight w:val="none"/>
        </w:rPr>
        <w:t>、《食品安全国家标准 食品中污染物限量》</w:t>
      </w:r>
      <w:r>
        <w:rPr>
          <w:rFonts w:hint="eastAsia" w:ascii="仿宋" w:hAnsi="仿宋"/>
          <w:highlight w:val="none"/>
          <w:lang w:eastAsia="zh-CN"/>
        </w:rPr>
        <w:t>（</w:t>
      </w:r>
      <w:r>
        <w:rPr>
          <w:rFonts w:hint="eastAsia" w:ascii="仿宋" w:hAnsi="仿宋"/>
          <w:highlight w:val="none"/>
        </w:rPr>
        <w:t>GB 2762-2017</w:t>
      </w:r>
      <w:r>
        <w:rPr>
          <w:rFonts w:hint="eastAsia" w:ascii="仿宋" w:hAnsi="仿宋"/>
          <w:highlight w:val="none"/>
          <w:lang w:eastAsia="zh-CN"/>
        </w:rPr>
        <w:t>）</w:t>
      </w:r>
      <w:r>
        <w:rPr>
          <w:rFonts w:hint="eastAsia" w:ascii="仿宋" w:hAnsi="仿宋"/>
          <w:highlight w:val="none"/>
        </w:rPr>
        <w:t>、《食品安全国家标准 食品中致病菌限量》</w:t>
      </w:r>
      <w:r>
        <w:rPr>
          <w:rFonts w:hint="eastAsia" w:ascii="仿宋" w:hAnsi="仿宋"/>
          <w:highlight w:val="none"/>
          <w:lang w:eastAsia="zh-CN"/>
        </w:rPr>
        <w:t>（</w:t>
      </w:r>
      <w:r>
        <w:rPr>
          <w:rFonts w:hint="eastAsia" w:ascii="仿宋" w:hAnsi="仿宋"/>
          <w:highlight w:val="none"/>
        </w:rPr>
        <w:t>GB 29921-2013</w:t>
      </w:r>
      <w:r>
        <w:rPr>
          <w:rFonts w:hint="eastAsia" w:ascii="仿宋" w:hAnsi="仿宋"/>
          <w:highlight w:val="none"/>
          <w:lang w:eastAsia="zh-CN"/>
        </w:rPr>
        <w:t>）</w:t>
      </w:r>
      <w:r>
        <w:rPr>
          <w:rFonts w:hint="eastAsia" w:ascii="仿宋" w:hAnsi="仿宋"/>
          <w:highlight w:val="none"/>
        </w:rPr>
        <w:t>、整顿办函[2011]1号《食品中可能违法添加的非食用物质和易滥用的食品添加剂品种名单(第五批)》等标准及产品明示标准和指标的要求。</w:t>
      </w:r>
    </w:p>
    <w:p>
      <w:pPr>
        <w:shd w:val="clear" w:color="auto" w:fill="FFFFFF"/>
        <w:spacing w:line="590" w:lineRule="exact"/>
        <w:ind w:firstLine="624" w:firstLineChars="200"/>
        <w:rPr>
          <w:rFonts w:hint="eastAsia" w:ascii="仿宋" w:hAnsi="仿宋"/>
          <w:highlight w:val="none"/>
        </w:rPr>
      </w:pPr>
      <w:r>
        <w:rPr>
          <w:rFonts w:hint="eastAsia" w:ascii="楷体" w:hAnsi="楷体" w:eastAsia="楷体"/>
          <w:highlight w:val="none"/>
        </w:rPr>
        <w:t>（二）检验项目</w:t>
      </w:r>
    </w:p>
    <w:p>
      <w:pPr>
        <w:shd w:val="clear" w:color="auto" w:fill="FFFFFF"/>
        <w:snapToGrid w:val="0"/>
        <w:spacing w:line="590" w:lineRule="exact"/>
        <w:ind w:firstLine="624" w:firstLineChars="200"/>
        <w:rPr>
          <w:rFonts w:hint="eastAsia" w:ascii="仿宋" w:hAnsi="仿宋" w:cs="仿宋"/>
          <w:sz w:val="32"/>
          <w:szCs w:val="32"/>
          <w:highlight w:val="none"/>
          <w:lang w:val="en-US" w:eastAsia="zh-CN"/>
        </w:rPr>
      </w:pPr>
      <w:r>
        <w:rPr>
          <w:rFonts w:hint="eastAsia" w:ascii="仿宋" w:hAnsi="仿宋" w:cs="仿宋"/>
          <w:sz w:val="32"/>
          <w:szCs w:val="32"/>
          <w:highlight w:val="none"/>
          <w:lang w:val="en-US" w:eastAsia="zh-CN"/>
        </w:rPr>
        <w:t>1.酱卤肉制品抽检项目包括铅（以Pb计）、镉（以Cd计）、铬（以Cr计）、总砷（以As计）、氯霉素、酸性橙Ⅱ、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O157:H7、商业无菌。</w:t>
      </w:r>
    </w:p>
    <w:p>
      <w:pPr>
        <w:shd w:val="clear" w:color="auto" w:fill="FFFFFF"/>
        <w:snapToGrid w:val="0"/>
        <w:spacing w:line="590" w:lineRule="exact"/>
        <w:ind w:firstLine="624" w:firstLineChars="200"/>
        <w:rPr>
          <w:rFonts w:hint="eastAsia" w:ascii="仿宋" w:hAnsi="仿宋" w:cs="仿宋"/>
          <w:sz w:val="32"/>
          <w:szCs w:val="32"/>
          <w:highlight w:val="none"/>
          <w:lang w:val="en-US" w:eastAsia="zh-CN"/>
        </w:rPr>
      </w:pPr>
      <w:r>
        <w:rPr>
          <w:rFonts w:hint="eastAsia" w:ascii="仿宋" w:hAnsi="仿宋" w:cs="仿宋"/>
          <w:sz w:val="32"/>
          <w:szCs w:val="32"/>
          <w:highlight w:val="none"/>
          <w:lang w:val="en-US" w:eastAsia="zh-CN"/>
        </w:rPr>
        <w:t>2.熟肉干制品抽检项目包括铅（以Pb计）、镉（以Cd计）、铬（以Cr计）、氯霉素、苯甲酸及其钠盐（以苯甲酸计）、山梨酸及其钾盐（以山梨酸计）、脱氢乙酸及其钠盐（以脱氢乙酸计）、防腐剂混合使用时各自用量占其最大使用量的比例之和、菌落总数、大肠菌群、沙门氏菌、金黄色葡萄球菌、单核细胞增生李斯特氏菌、大肠埃希氏菌O157:H7。</w:t>
      </w:r>
    </w:p>
    <w:p>
      <w:pPr>
        <w:shd w:val="clear" w:color="auto" w:fill="FFFFFF"/>
        <w:snapToGrid w:val="0"/>
        <w:spacing w:line="590" w:lineRule="exact"/>
        <w:ind w:firstLine="624" w:firstLineChars="200"/>
        <w:rPr>
          <w:rFonts w:hint="eastAsia" w:ascii="仿宋" w:hAnsi="仿宋" w:eastAsia="仿宋" w:cs="仿宋"/>
          <w:color w:val="auto"/>
          <w:sz w:val="32"/>
          <w:szCs w:val="32"/>
          <w:highlight w:val="none"/>
        </w:rPr>
      </w:pPr>
      <w:r>
        <w:rPr>
          <w:rFonts w:hint="eastAsia" w:ascii="仿宋" w:hAnsi="仿宋" w:cs="仿宋"/>
          <w:sz w:val="32"/>
          <w:szCs w:val="32"/>
          <w:highlight w:val="none"/>
          <w:lang w:val="en-US" w:eastAsia="zh-CN"/>
        </w:rPr>
        <w:t>3.腌腊肉制品抽检项目包括三甲胺氮、过氧化值（以脂肪计）、铅（以Pb计）、铬（以Cr计）、总砷（以As计）、N-二甲基亚硝胺、氯霉素、亚硝酸盐（以亚硝酸钠计）、苯甲酸及其钠盐（以苯甲酸计）、山梨酸及其钾盐（以山梨酸计）、脱氢乙酸及其钠盐（以脱氢乙酸计）、防腐剂混合使用时各自用量占其最大使用量的比例之和、胭脂红、糖精钠（以糖精计）</w:t>
      </w:r>
      <w:r>
        <w:rPr>
          <w:rFonts w:hint="eastAsia" w:ascii="仿宋" w:hAnsi="仿宋" w:eastAsia="仿宋" w:cs="仿宋"/>
          <w:color w:val="auto"/>
          <w:sz w:val="32"/>
          <w:szCs w:val="32"/>
          <w:highlight w:val="none"/>
        </w:rPr>
        <w:t>。</w:t>
      </w:r>
    </w:p>
    <w:p>
      <w:pPr>
        <w:shd w:val="clear" w:color="auto" w:fill="FFFFFF"/>
        <w:snapToGrid w:val="0"/>
        <w:spacing w:line="590" w:lineRule="exact"/>
        <w:ind w:firstLine="624" w:firstLineChars="200"/>
        <w:rPr>
          <w:rFonts w:hint="eastAsia" w:ascii="仿宋" w:hAnsi="仿宋" w:cs="仿宋"/>
          <w:color w:val="auto"/>
          <w:sz w:val="32"/>
          <w:szCs w:val="32"/>
          <w:highlight w:val="none"/>
          <w:lang w:val="en-US" w:eastAsia="zh-CN"/>
        </w:rPr>
      </w:pPr>
      <w:r>
        <w:rPr>
          <w:rFonts w:hint="eastAsia" w:ascii="仿宋" w:hAnsi="仿宋" w:cs="仿宋"/>
          <w:color w:val="auto"/>
          <w:sz w:val="32"/>
          <w:szCs w:val="32"/>
          <w:highlight w:val="none"/>
          <w:lang w:val="en-US" w:eastAsia="zh-CN"/>
        </w:rPr>
        <w:t>4.熏煮香肠火腿制品抽检项目包括铅（以Pb计）、镉（以Cd计）、铬（以Cr计）、氯霉素、亚硝酸盐（以亚硝酸钠计）、苯甲酸及其钠盐（以苯甲酸计）、山梨酸及其钾盐（以山梨酸计）、脱氢乙酸及其钠盐（以脱氢乙酸计）、防腐剂混合使用时各自用量占其最大使用量的比例之和、糖精钠（以糖精计）、菌落总数、大肠菌群、沙门氏菌、金黄色葡萄球菌、单核细胞增生李斯特氏菌、大肠埃希氏菌O157:H7。</w:t>
      </w:r>
    </w:p>
    <w:p>
      <w:pPr>
        <w:shd w:val="clear" w:color="auto" w:fill="FFFFFF"/>
        <w:spacing w:line="590" w:lineRule="exact"/>
        <w:ind w:firstLine="624" w:firstLineChars="200"/>
        <w:rPr>
          <w:rFonts w:hint="eastAsia" w:ascii="仿宋" w:hAnsi="仿宋"/>
        </w:rPr>
      </w:pPr>
      <w:r>
        <w:rPr>
          <w:rFonts w:hint="eastAsia" w:eastAsia="黑体"/>
          <w:lang w:eastAsia="zh-CN"/>
        </w:rPr>
        <w:t>三</w:t>
      </w:r>
      <w:r>
        <w:rPr>
          <w:rFonts w:hint="eastAsia" w:eastAsia="黑体"/>
        </w:rPr>
        <w:t>、</w:t>
      </w:r>
      <w:r>
        <w:rPr>
          <w:rFonts w:hint="eastAsia" w:eastAsia="黑体"/>
          <w:lang w:eastAsia="zh-CN"/>
        </w:rPr>
        <w:t>罐头</w:t>
      </w:r>
    </w:p>
    <w:p>
      <w:pPr>
        <w:shd w:val="clear" w:color="auto" w:fill="FFFFFF"/>
        <w:spacing w:line="590" w:lineRule="exact"/>
        <w:ind w:firstLine="624" w:firstLineChars="200"/>
        <w:rPr>
          <w:rFonts w:hint="eastAsia" w:ascii="仿宋" w:hAnsi="仿宋"/>
        </w:rPr>
      </w:pPr>
      <w:r>
        <w:rPr>
          <w:rFonts w:hint="eastAsia" w:ascii="楷体" w:hAnsi="楷体" w:eastAsia="楷体"/>
        </w:rPr>
        <w:t>（一）抽检依据</w:t>
      </w:r>
    </w:p>
    <w:p>
      <w:pPr>
        <w:shd w:val="clear" w:color="auto" w:fill="FFFFFF"/>
        <w:spacing w:line="590" w:lineRule="exact"/>
        <w:ind w:firstLine="624" w:firstLineChars="200"/>
        <w:rPr>
          <w:rFonts w:hint="eastAsia" w:ascii="仿宋" w:hAnsi="仿宋"/>
        </w:rPr>
      </w:pPr>
      <w:r>
        <w:rPr>
          <w:rFonts w:hint="eastAsia" w:ascii="仿宋" w:hAnsi="仿宋"/>
        </w:rPr>
        <w:t>抽检依据是《食品安全国家标准 食品添加剂使用标准》</w:t>
      </w:r>
      <w:r>
        <w:rPr>
          <w:rFonts w:hint="eastAsia" w:ascii="仿宋" w:hAnsi="仿宋"/>
          <w:lang w:eastAsia="zh-CN"/>
        </w:rPr>
        <w:t>（</w:t>
      </w:r>
      <w:r>
        <w:rPr>
          <w:rFonts w:hint="eastAsia" w:ascii="仿宋" w:hAnsi="仿宋"/>
        </w:rPr>
        <w:t>GB 2760</w:t>
      </w:r>
      <w:r>
        <w:rPr>
          <w:rFonts w:hint="eastAsia" w:ascii="仿宋" w:hAnsi="仿宋"/>
          <w:lang w:val="en-US" w:eastAsia="zh-CN"/>
        </w:rPr>
        <w:t>-</w:t>
      </w:r>
      <w:r>
        <w:rPr>
          <w:rFonts w:hint="eastAsia" w:ascii="仿宋" w:hAnsi="仿宋"/>
        </w:rPr>
        <w:t>2014</w:t>
      </w:r>
      <w:r>
        <w:rPr>
          <w:rFonts w:hint="eastAsia" w:ascii="仿宋" w:hAnsi="仿宋"/>
          <w:lang w:eastAsia="zh-CN"/>
        </w:rPr>
        <w:t>）</w:t>
      </w:r>
      <w:r>
        <w:rPr>
          <w:rFonts w:hint="eastAsia" w:ascii="仿宋" w:hAnsi="仿宋"/>
        </w:rPr>
        <w:t>、《食品安全国家标准 食品中污染物限量》</w:t>
      </w:r>
      <w:r>
        <w:rPr>
          <w:rFonts w:hint="eastAsia" w:ascii="仿宋" w:hAnsi="仿宋"/>
          <w:lang w:eastAsia="zh-CN"/>
        </w:rPr>
        <w:t>（</w:t>
      </w:r>
      <w:r>
        <w:rPr>
          <w:rFonts w:hint="eastAsia" w:ascii="仿宋" w:hAnsi="仿宋"/>
        </w:rPr>
        <w:t>GB 2762</w:t>
      </w:r>
      <w:r>
        <w:rPr>
          <w:rFonts w:hint="eastAsia" w:ascii="仿宋" w:hAnsi="仿宋"/>
          <w:lang w:val="en-US" w:eastAsia="zh-CN"/>
        </w:rPr>
        <w:t>-</w:t>
      </w:r>
      <w:r>
        <w:rPr>
          <w:rFonts w:hint="eastAsia" w:ascii="仿宋" w:hAnsi="仿宋"/>
        </w:rPr>
        <w:t>2017</w:t>
      </w:r>
      <w:r>
        <w:rPr>
          <w:rFonts w:hint="eastAsia" w:ascii="仿宋" w:hAnsi="仿宋"/>
          <w:lang w:eastAsia="zh-CN"/>
        </w:rPr>
        <w:t>）</w:t>
      </w:r>
      <w:r>
        <w:rPr>
          <w:rFonts w:hint="eastAsia" w:ascii="仿宋" w:hAnsi="仿宋"/>
        </w:rPr>
        <w:t>、《食品安全国家标准 罐头食品》</w:t>
      </w:r>
      <w:r>
        <w:rPr>
          <w:rFonts w:hint="eastAsia" w:ascii="仿宋" w:hAnsi="仿宋"/>
          <w:lang w:eastAsia="zh-CN"/>
        </w:rPr>
        <w:t>（</w:t>
      </w:r>
      <w:r>
        <w:rPr>
          <w:rFonts w:hint="eastAsia" w:ascii="仿宋" w:hAnsi="仿宋"/>
        </w:rPr>
        <w:t>GB 7098</w:t>
      </w:r>
      <w:r>
        <w:rPr>
          <w:rFonts w:hint="eastAsia" w:ascii="仿宋" w:hAnsi="仿宋"/>
          <w:lang w:val="en-US" w:eastAsia="zh-CN"/>
        </w:rPr>
        <w:t>-</w:t>
      </w:r>
      <w:r>
        <w:rPr>
          <w:rFonts w:hint="eastAsia" w:ascii="仿宋" w:hAnsi="仿宋"/>
        </w:rPr>
        <w:t>2015</w:t>
      </w:r>
      <w:r>
        <w:rPr>
          <w:rFonts w:hint="eastAsia" w:ascii="仿宋" w:hAnsi="仿宋"/>
          <w:lang w:eastAsia="zh-CN"/>
        </w:rPr>
        <w:t>）</w:t>
      </w:r>
      <w:r>
        <w:rPr>
          <w:rFonts w:hint="eastAsia" w:ascii="仿宋" w:hAnsi="仿宋"/>
        </w:rPr>
        <w:t>等标准及产品明示标准和指标的要求。</w:t>
      </w:r>
    </w:p>
    <w:p>
      <w:pPr>
        <w:shd w:val="clear" w:color="auto" w:fill="FFFFFF"/>
        <w:spacing w:line="590" w:lineRule="exact"/>
        <w:ind w:firstLine="624" w:firstLineChars="200"/>
        <w:rPr>
          <w:rFonts w:hint="eastAsia" w:ascii="仿宋" w:hAnsi="仿宋"/>
        </w:rPr>
      </w:pPr>
      <w:r>
        <w:rPr>
          <w:rFonts w:hint="eastAsia" w:ascii="楷体" w:hAnsi="楷体" w:eastAsia="楷体"/>
        </w:rPr>
        <w:t>（二）检验项目</w:t>
      </w:r>
    </w:p>
    <w:p>
      <w:pPr>
        <w:shd w:val="clear" w:color="auto" w:fill="FFFFFF"/>
        <w:snapToGrid w:val="0"/>
        <w:spacing w:line="590" w:lineRule="exact"/>
        <w:ind w:firstLine="624" w:firstLineChars="200"/>
        <w:rPr>
          <w:rFonts w:hint="eastAsia" w:ascii="仿宋" w:hAnsi="仿宋"/>
          <w:lang w:val="en-US" w:eastAsia="zh-CN"/>
        </w:rPr>
      </w:pPr>
      <w:r>
        <w:rPr>
          <w:rFonts w:hint="eastAsia" w:ascii="仿宋" w:hAnsi="仿宋"/>
          <w:lang w:val="en-US" w:eastAsia="zh-CN"/>
        </w:rPr>
        <w:t>1.水产动物类罐头抽检项目包括组胺、无机砷（以As计）、镉（以Cd计）、甲基汞（以Hg计）、脱氢乙酸及其钠盐（以脱氢乙酸计）、苯甲酸及其钠盐（以苯甲酸计）、山梨酸及其钾盐（以山梨酸计）、糖精钠（以糖精计）、商业无菌。</w:t>
      </w:r>
    </w:p>
    <w:p>
      <w:pPr>
        <w:shd w:val="clear" w:color="auto" w:fill="FFFFFF"/>
        <w:snapToGrid w:val="0"/>
        <w:spacing w:line="590" w:lineRule="exact"/>
        <w:ind w:firstLine="624" w:firstLineChars="200"/>
        <w:rPr>
          <w:rFonts w:hint="eastAsia" w:ascii="仿宋" w:hAnsi="仿宋"/>
          <w:lang w:val="en-US" w:eastAsia="zh-CN"/>
        </w:rPr>
      </w:pPr>
      <w:r>
        <w:rPr>
          <w:rFonts w:hint="eastAsia" w:ascii="仿宋" w:hAnsi="仿宋"/>
          <w:lang w:val="en-US" w:eastAsia="zh-CN"/>
        </w:rPr>
        <w:t>2.其他罐头抽检项目包括铅（以Pb计）、黄曲霉毒素B1、二氧化硫残留量、脱氢乙酸及其钠盐（以脱氢乙酸计）、苯甲酸及其钠盐（以苯甲酸计）、山梨酸及其钾盐（以山梨酸计）、糖精钠（以糖精计）、阿斯巴甜、乙二胺四乙酸二钠、商业无菌。</w:t>
      </w:r>
    </w:p>
    <w:p>
      <w:pPr>
        <w:shd w:val="clear" w:color="auto" w:fill="FFFFFF"/>
        <w:snapToGrid w:val="0"/>
        <w:spacing w:line="590" w:lineRule="exact"/>
        <w:ind w:firstLine="624" w:firstLineChars="200"/>
        <w:rPr>
          <w:rFonts w:hint="eastAsia" w:ascii="仿宋" w:hAnsi="仿宋"/>
          <w:lang w:val="en-US" w:eastAsia="zh-CN"/>
        </w:rPr>
      </w:pPr>
      <w:r>
        <w:rPr>
          <w:rFonts w:hint="eastAsia" w:ascii="仿宋" w:hAnsi="仿宋"/>
          <w:lang w:val="en-US" w:eastAsia="zh-CN"/>
        </w:rPr>
        <w:t>3.</w:t>
      </w:r>
      <w:r>
        <w:rPr>
          <w:rFonts w:hint="eastAsia" w:eastAsia="仿宋_GB2312" w:cs="仿宋_GB2312"/>
          <w:sz w:val="32"/>
          <w:szCs w:val="32"/>
        </w:rPr>
        <w:t>水果罐头抽检项目包括展青霉素、二氧化硫残留量、柠檬黄、日落黄、苋菜红、胭脂红、赤藓红、诱惑红、亮蓝、靛蓝、脱氢乙酸及其钠盐（以脱氢乙酸计）、苯甲酸及其钠盐（以苯甲酸计）、山梨酸及其钾盐（以山梨酸计）、糖精钠（以糖精计）、甜蜜素（以环己基氨基磺酸计）、商业无菌</w:t>
      </w:r>
      <w:r>
        <w:rPr>
          <w:rFonts w:hint="eastAsia" w:eastAsia="仿宋_GB2312" w:cs="仿宋_GB2312"/>
          <w:sz w:val="32"/>
          <w:szCs w:val="32"/>
          <w:lang w:eastAsia="zh-CN"/>
        </w:rPr>
        <w:t>。</w:t>
      </w:r>
    </w:p>
    <w:p>
      <w:pPr>
        <w:shd w:val="clear" w:color="auto" w:fill="FFFFFF"/>
        <w:spacing w:line="590" w:lineRule="exact"/>
        <w:ind w:firstLine="624" w:firstLineChars="200"/>
        <w:rPr>
          <w:rFonts w:hint="eastAsia" w:ascii="仿宋" w:hAnsi="仿宋"/>
          <w:highlight w:val="none"/>
        </w:rPr>
      </w:pPr>
      <w:r>
        <w:rPr>
          <w:rFonts w:hint="eastAsia" w:eastAsia="黑体"/>
          <w:highlight w:val="none"/>
          <w:lang w:eastAsia="zh-CN"/>
        </w:rPr>
        <w:t>四</w:t>
      </w:r>
      <w:r>
        <w:rPr>
          <w:rFonts w:hint="eastAsia" w:eastAsia="黑体"/>
          <w:highlight w:val="none"/>
        </w:rPr>
        <w:t>、</w:t>
      </w:r>
      <w:r>
        <w:rPr>
          <w:rFonts w:hint="eastAsia" w:eastAsia="黑体"/>
          <w:highlight w:val="none"/>
          <w:lang w:eastAsia="zh-CN"/>
        </w:rPr>
        <w:t>糕点</w:t>
      </w:r>
    </w:p>
    <w:p>
      <w:pPr>
        <w:shd w:val="clear" w:color="auto" w:fill="FFFFFF"/>
        <w:spacing w:line="590" w:lineRule="exact"/>
        <w:ind w:firstLine="624" w:firstLineChars="200"/>
        <w:rPr>
          <w:rFonts w:hint="eastAsia" w:ascii="仿宋" w:hAnsi="仿宋"/>
        </w:rPr>
      </w:pPr>
      <w:r>
        <w:rPr>
          <w:rFonts w:hint="eastAsia" w:ascii="楷体" w:hAnsi="楷体" w:eastAsia="楷体"/>
        </w:rPr>
        <w:t>（一）抽检依据</w:t>
      </w:r>
    </w:p>
    <w:p>
      <w:pPr>
        <w:shd w:val="clear" w:color="auto" w:fill="FFFFFF"/>
        <w:spacing w:line="590" w:lineRule="exact"/>
        <w:ind w:firstLine="624" w:firstLineChars="200"/>
        <w:rPr>
          <w:rFonts w:hint="eastAsia" w:ascii="仿宋" w:hAnsi="仿宋"/>
        </w:rPr>
      </w:pPr>
      <w:r>
        <w:rPr>
          <w:rFonts w:hint="eastAsia" w:ascii="仿宋" w:hAnsi="仿宋"/>
        </w:rPr>
        <w:t>抽检依据是《食品安全国家标准 食品添加剂使用标准》（GB 2760-2014）、《食品安全国家标准 食品中污染物限量》（GB 2762-2017）、《食品安全国家标准 食品中致病菌限量》（GB 29921-2013）</w:t>
      </w:r>
      <w:r>
        <w:rPr>
          <w:rFonts w:hint="eastAsia" w:ascii="仿宋" w:hAnsi="仿宋"/>
          <w:lang w:eastAsia="zh-CN"/>
        </w:rPr>
        <w:t>、</w:t>
      </w:r>
      <w:r>
        <w:rPr>
          <w:rFonts w:hint="eastAsia" w:ascii="仿宋" w:hAnsi="仿宋" w:eastAsia="仿宋" w:cs="仿宋"/>
          <w:color w:val="000000"/>
          <w:sz w:val="32"/>
          <w:szCs w:val="32"/>
        </w:rPr>
        <w:t>食品整治办〔2009〕5号全国打击违法添加非食用物质和滥用食品添加剂专项整治领导小组关于印发《食品中可能违法添加的非食用物质名单（第二批）》的通知</w:t>
      </w:r>
      <w:r>
        <w:rPr>
          <w:rFonts w:hint="eastAsia" w:ascii="仿宋" w:hAnsi="仿宋" w:cs="仿宋"/>
          <w:color w:val="000000"/>
          <w:sz w:val="32"/>
          <w:szCs w:val="32"/>
          <w:lang w:eastAsia="zh-CN"/>
        </w:rPr>
        <w:t>、</w:t>
      </w:r>
      <w:r>
        <w:rPr>
          <w:rFonts w:hint="default" w:ascii="仿宋" w:hAnsi="仿宋" w:eastAsia="仿宋" w:cs="仿宋"/>
          <w:color w:val="000000"/>
          <w:sz w:val="32"/>
          <w:szCs w:val="32"/>
        </w:rPr>
        <w:t>整顿办函〔2011〕1号全国食品安全整顿工作办公室关于印发《食品中可能违法添加的非食用物质和易滥用的食品添加剂品种名单（第五批）》的通知</w:t>
      </w:r>
      <w:r>
        <w:rPr>
          <w:rFonts w:hint="eastAsia" w:ascii="仿宋" w:hAnsi="仿宋"/>
        </w:rPr>
        <w:t>等标准及产品明示标准和指标的要求。</w:t>
      </w:r>
    </w:p>
    <w:p>
      <w:pPr>
        <w:shd w:val="clear" w:color="auto" w:fill="FFFFFF"/>
        <w:spacing w:line="590" w:lineRule="exact"/>
        <w:ind w:firstLine="624" w:firstLineChars="200"/>
        <w:rPr>
          <w:rFonts w:hint="eastAsia" w:ascii="仿宋" w:hAnsi="仿宋"/>
        </w:rPr>
      </w:pPr>
      <w:r>
        <w:rPr>
          <w:rFonts w:hint="eastAsia" w:ascii="楷体" w:hAnsi="楷体" w:eastAsia="楷体"/>
        </w:rPr>
        <w:t>（二）检验项目</w:t>
      </w:r>
    </w:p>
    <w:p>
      <w:pPr>
        <w:shd w:val="clear" w:color="auto" w:fill="FFFFFF"/>
        <w:snapToGrid w:val="0"/>
        <w:spacing w:line="590" w:lineRule="exact"/>
        <w:ind w:firstLine="624" w:firstLineChars="200"/>
        <w:rPr>
          <w:rFonts w:hint="eastAsia" w:ascii="仿宋" w:hAnsi="仿宋"/>
        </w:rPr>
      </w:pPr>
      <w:r>
        <w:rPr>
          <w:rFonts w:hint="eastAsia" w:ascii="仿宋" w:hAnsi="仿宋"/>
          <w:lang w:val="en-US" w:eastAsia="zh-CN"/>
        </w:rPr>
        <w:t>糕点抽检项目包括酸价（以脂肪计）、过氧化值（以脂肪计）、铅（以Pb计</w:t>
      </w:r>
      <w:r>
        <w:rPr>
          <w:rFonts w:hint="eastAsia" w:ascii="仿宋" w:hAnsi="仿宋"/>
          <w:highlight w:val="none"/>
          <w:lang w:val="en-US" w:eastAsia="zh-CN"/>
        </w:rPr>
        <w:t>）、富马酸二甲酯、苏丹红I-IV、苯甲酸及其钠盐</w:t>
      </w:r>
      <w:r>
        <w:rPr>
          <w:rFonts w:hint="eastAsia" w:ascii="仿宋" w:hAnsi="仿宋"/>
          <w:lang w:val="en-US" w:eastAsia="zh-CN"/>
        </w:rPr>
        <w:t>（以苯甲酸计）、山梨酸及其钾盐（以山梨酸计）、糖精钠（以糖精计）、甜蜜素（以环己基氨基磺酸计）、安赛蜜、铝的残留量（干样品，以A1计）、丙酸及其钠盐、钙盐(以丙酸计)、脱氢乙酸及其钠盐(以脱氢乙酸计)、纳他霉素、三氯蔗糖、丙二醇、防腐剂各自用量占其最大使用量的比例之和、菌落总数、大肠菌群、金黄色葡萄球菌、沙门氏菌、霉菌</w:t>
      </w:r>
      <w:r>
        <w:rPr>
          <w:rFonts w:hint="eastAsia" w:ascii="仿宋" w:hAnsi="仿宋"/>
        </w:rPr>
        <w:t>。</w:t>
      </w:r>
    </w:p>
    <w:p>
      <w:pPr>
        <w:shd w:val="clear" w:color="auto" w:fill="FFFFFF"/>
        <w:spacing w:line="590" w:lineRule="exact"/>
        <w:ind w:firstLine="624" w:firstLineChars="200"/>
        <w:rPr>
          <w:rFonts w:hint="eastAsia" w:ascii="仿宋" w:hAnsi="仿宋"/>
          <w:highlight w:val="none"/>
        </w:rPr>
      </w:pPr>
      <w:r>
        <w:rPr>
          <w:rFonts w:hint="eastAsia" w:eastAsia="黑体"/>
          <w:highlight w:val="none"/>
          <w:lang w:eastAsia="zh-CN"/>
        </w:rPr>
        <w:t>五</w:t>
      </w:r>
      <w:r>
        <w:rPr>
          <w:rFonts w:hint="eastAsia" w:eastAsia="黑体"/>
          <w:highlight w:val="none"/>
        </w:rPr>
        <w:t>、</w:t>
      </w:r>
      <w:r>
        <w:rPr>
          <w:rFonts w:hint="eastAsia" w:eastAsia="黑体"/>
          <w:highlight w:val="none"/>
          <w:lang w:eastAsia="zh-CN"/>
        </w:rPr>
        <w:t>豆制品</w:t>
      </w:r>
    </w:p>
    <w:p>
      <w:pPr>
        <w:shd w:val="clear" w:color="auto" w:fill="FFFFFF"/>
        <w:spacing w:line="590" w:lineRule="exact"/>
        <w:ind w:firstLine="624" w:firstLineChars="200"/>
        <w:rPr>
          <w:rFonts w:hint="eastAsia" w:ascii="仿宋" w:hAnsi="仿宋"/>
        </w:rPr>
      </w:pPr>
      <w:r>
        <w:rPr>
          <w:rFonts w:hint="eastAsia" w:ascii="楷体" w:hAnsi="楷体" w:eastAsia="楷体"/>
        </w:rPr>
        <w:t>（一）抽检依据</w:t>
      </w:r>
    </w:p>
    <w:p>
      <w:pPr>
        <w:shd w:val="clear" w:color="auto" w:fill="FFFFFF"/>
        <w:spacing w:line="590" w:lineRule="exact"/>
        <w:ind w:firstLine="624" w:firstLineChars="200"/>
        <w:rPr>
          <w:rFonts w:hint="eastAsia" w:ascii="仿宋" w:hAnsi="仿宋"/>
          <w:highlight w:val="none"/>
        </w:rPr>
      </w:pPr>
      <w:r>
        <w:rPr>
          <w:rFonts w:hint="eastAsia" w:ascii="仿宋" w:hAnsi="仿宋"/>
          <w:highlight w:val="none"/>
        </w:rPr>
        <w:t>抽检依据是《食品安全国家标准 食品添加剂使用标准》（GB 2760-2014）、《食品安全国家标准 食品中污染物限量》（GB 2762-2017）、《食品安全国家标准 食品中真菌毒素限量》（GB 2761-2017）、《食品安全国家标准 豆制品》（GB 2712-2014）、《食品安全国家标准 食品中致病菌限量》（GB 29921-2013）。</w:t>
      </w:r>
    </w:p>
    <w:p>
      <w:pPr>
        <w:shd w:val="clear" w:color="auto" w:fill="FFFFFF"/>
        <w:spacing w:line="590" w:lineRule="exact"/>
        <w:ind w:firstLine="624" w:firstLineChars="200"/>
        <w:rPr>
          <w:rFonts w:hint="eastAsia" w:ascii="仿宋" w:hAnsi="仿宋"/>
          <w:highlight w:val="none"/>
        </w:rPr>
      </w:pPr>
      <w:r>
        <w:rPr>
          <w:rFonts w:hint="eastAsia" w:ascii="楷体" w:hAnsi="楷体" w:eastAsia="楷体"/>
          <w:highlight w:val="none"/>
        </w:rPr>
        <w:t>（二）检验项目</w:t>
      </w:r>
    </w:p>
    <w:p>
      <w:pPr>
        <w:shd w:val="clear" w:color="auto" w:fill="FFFFFF"/>
        <w:snapToGrid w:val="0"/>
        <w:spacing w:line="590" w:lineRule="exact"/>
        <w:ind w:firstLine="624" w:firstLineChars="200"/>
        <w:rPr>
          <w:rFonts w:hint="eastAsia" w:ascii="仿宋" w:hAnsi="仿宋"/>
          <w:highlight w:val="none"/>
          <w:lang w:val="en-US" w:eastAsia="zh-CN"/>
        </w:rPr>
      </w:pPr>
      <w:r>
        <w:rPr>
          <w:rFonts w:hint="eastAsia" w:ascii="仿宋" w:hAnsi="仿宋"/>
          <w:highlight w:val="none"/>
          <w:lang w:val="en-US" w:eastAsia="zh-CN"/>
        </w:rPr>
        <w:t>1.腐乳、豆豉、纳豆等抽检项目包括铅（以Pb计）、黄曲霉毒素B1、苯甲酸及其钠盐（以苯甲酸计）、山梨酸及其钾盐（以山梨酸计）、脱氢乙酸及其钠盐（以脱氢乙酸计）糖精钠（以糖精计）、甜蜜素（以环己基氨基磺酸计）（限腐乳类产品检测）、铝的残留量（干样品，以Al计）、大肠菌群（限即食预包装食品检测）、沙门氏菌（限即食预包装食品检测）、金黄色葡萄球菌（限即食预包装食品检测）。</w:t>
      </w:r>
    </w:p>
    <w:p>
      <w:pPr>
        <w:shd w:val="clear" w:color="auto" w:fill="FFFFFF"/>
        <w:snapToGrid w:val="0"/>
        <w:spacing w:line="590" w:lineRule="exact"/>
        <w:ind w:firstLine="624" w:firstLineChars="200"/>
        <w:rPr>
          <w:rFonts w:hint="eastAsia" w:ascii="仿宋" w:hAnsi="仿宋"/>
          <w:highlight w:val="none"/>
        </w:rPr>
      </w:pPr>
      <w:r>
        <w:rPr>
          <w:rFonts w:hint="eastAsia" w:ascii="仿宋" w:hAnsi="仿宋"/>
          <w:highlight w:val="none"/>
          <w:lang w:val="en-US" w:eastAsia="zh-CN"/>
        </w:rPr>
        <w:t>2.腐竹、油皮抽检项目包括铅（以Pb计）、苯甲酸及其钠盐（以苯甲酸计）、山梨酸及其钾盐（以山梨酸计）、脱氢乙酸及其钠盐（以脱氢乙酸计）、糖精钠（以糖精计）（限即食食品检测）、三氯蔗糖（限即食食品检测）、二氧化硫残留量、铝的残留量（干样品，以Al计）、大肠菌群（限即食预包装食品检测）、沙门氏菌（限即食预包装食品检测）、金黄色葡萄球菌（限即食预包装食品检测）</w:t>
      </w:r>
      <w:r>
        <w:rPr>
          <w:rFonts w:hint="eastAsia" w:ascii="仿宋" w:hAnsi="仿宋"/>
          <w:highlight w:val="none"/>
        </w:rPr>
        <w:t>。</w:t>
      </w:r>
    </w:p>
    <w:p>
      <w:pPr>
        <w:shd w:val="clear" w:color="auto" w:fill="FFFFFF"/>
        <w:spacing w:line="590" w:lineRule="exact"/>
        <w:ind w:firstLine="624" w:firstLineChars="200"/>
        <w:rPr>
          <w:rFonts w:hint="eastAsia" w:ascii="仿宋" w:hAnsi="仿宋"/>
          <w:highlight w:val="none"/>
        </w:rPr>
      </w:pPr>
      <w:r>
        <w:rPr>
          <w:rFonts w:hint="eastAsia" w:eastAsia="黑体"/>
          <w:highlight w:val="none"/>
          <w:lang w:eastAsia="zh-CN"/>
        </w:rPr>
        <w:t>六</w:t>
      </w:r>
      <w:r>
        <w:rPr>
          <w:rFonts w:hint="eastAsia" w:eastAsia="黑体"/>
          <w:highlight w:val="none"/>
        </w:rPr>
        <w:t>、</w:t>
      </w:r>
      <w:r>
        <w:rPr>
          <w:rFonts w:hint="eastAsia" w:eastAsia="黑体"/>
          <w:highlight w:val="none"/>
          <w:lang w:eastAsia="zh-CN"/>
        </w:rPr>
        <w:t>蜂产品</w:t>
      </w:r>
    </w:p>
    <w:p>
      <w:pPr>
        <w:shd w:val="clear" w:color="auto" w:fill="FFFFFF"/>
        <w:spacing w:line="590" w:lineRule="exact"/>
        <w:ind w:firstLine="624" w:firstLineChars="200"/>
        <w:rPr>
          <w:rFonts w:hint="eastAsia" w:ascii="仿宋" w:hAnsi="仿宋"/>
        </w:rPr>
      </w:pPr>
      <w:r>
        <w:rPr>
          <w:rFonts w:hint="eastAsia" w:ascii="楷体" w:hAnsi="楷体" w:eastAsia="楷体"/>
        </w:rPr>
        <w:t>（一）抽检依据</w:t>
      </w:r>
    </w:p>
    <w:p>
      <w:pPr>
        <w:shd w:val="clear" w:color="auto" w:fill="FFFFFF"/>
        <w:spacing w:line="590" w:lineRule="exact"/>
        <w:ind w:firstLine="624" w:firstLineChars="200"/>
        <w:rPr>
          <w:rFonts w:hint="eastAsia" w:ascii="仿宋" w:hAnsi="仿宋"/>
          <w:highlight w:val="none"/>
        </w:rPr>
      </w:pPr>
      <w:r>
        <w:rPr>
          <w:rFonts w:hint="eastAsia" w:ascii="仿宋" w:hAnsi="仿宋"/>
          <w:highlight w:val="none"/>
        </w:rPr>
        <w:t>抽检依据是《食品安全国家标准 蜂蜜》</w:t>
      </w:r>
      <w:r>
        <w:rPr>
          <w:rFonts w:hint="eastAsia" w:ascii="仿宋" w:hAnsi="仿宋"/>
          <w:highlight w:val="none"/>
          <w:lang w:eastAsia="zh-CN"/>
        </w:rPr>
        <w:t>（</w:t>
      </w:r>
      <w:r>
        <w:rPr>
          <w:rFonts w:hint="eastAsia" w:ascii="仿宋" w:hAnsi="仿宋"/>
          <w:highlight w:val="none"/>
        </w:rPr>
        <w:t>GB 14963</w:t>
      </w:r>
      <w:r>
        <w:rPr>
          <w:rFonts w:hint="eastAsia" w:ascii="仿宋" w:hAnsi="仿宋"/>
          <w:highlight w:val="none"/>
          <w:lang w:val="en-US" w:eastAsia="zh-CN"/>
        </w:rPr>
        <w:t>-</w:t>
      </w:r>
      <w:r>
        <w:rPr>
          <w:rFonts w:hint="eastAsia" w:ascii="仿宋" w:hAnsi="仿宋"/>
          <w:highlight w:val="none"/>
        </w:rPr>
        <w:t>2011</w:t>
      </w:r>
      <w:r>
        <w:rPr>
          <w:rFonts w:hint="eastAsia" w:ascii="仿宋" w:hAnsi="仿宋"/>
          <w:highlight w:val="none"/>
          <w:lang w:eastAsia="zh-CN"/>
        </w:rPr>
        <w:t>）</w:t>
      </w:r>
      <w:r>
        <w:rPr>
          <w:rFonts w:hint="eastAsia" w:ascii="仿宋" w:hAnsi="仿宋"/>
          <w:highlight w:val="none"/>
        </w:rPr>
        <w:t>、《食品安全国家标准 食品添加剂使用标准》</w:t>
      </w:r>
      <w:r>
        <w:rPr>
          <w:rFonts w:hint="eastAsia" w:ascii="仿宋" w:hAnsi="仿宋"/>
          <w:highlight w:val="none"/>
          <w:lang w:eastAsia="zh-CN"/>
        </w:rPr>
        <w:t>（</w:t>
      </w:r>
      <w:r>
        <w:rPr>
          <w:rFonts w:hint="eastAsia" w:ascii="仿宋" w:hAnsi="仿宋"/>
          <w:highlight w:val="none"/>
        </w:rPr>
        <w:t>GB 2760</w:t>
      </w:r>
      <w:r>
        <w:rPr>
          <w:rFonts w:hint="eastAsia" w:ascii="仿宋" w:hAnsi="仿宋"/>
          <w:highlight w:val="none"/>
          <w:lang w:val="en-US" w:eastAsia="zh-CN"/>
        </w:rPr>
        <w:t>-</w:t>
      </w:r>
      <w:r>
        <w:rPr>
          <w:rFonts w:hint="eastAsia" w:ascii="仿宋" w:hAnsi="仿宋"/>
          <w:highlight w:val="none"/>
        </w:rPr>
        <w:t>2014</w:t>
      </w:r>
      <w:r>
        <w:rPr>
          <w:rFonts w:hint="eastAsia" w:ascii="仿宋" w:hAnsi="仿宋"/>
          <w:highlight w:val="none"/>
          <w:lang w:eastAsia="zh-CN"/>
        </w:rPr>
        <w:t>）</w:t>
      </w:r>
      <w:r>
        <w:rPr>
          <w:rFonts w:hint="eastAsia" w:ascii="仿宋" w:hAnsi="仿宋"/>
          <w:highlight w:val="none"/>
        </w:rPr>
        <w:t>、《食品安全国家标准 食品中污染物限量》</w:t>
      </w:r>
      <w:r>
        <w:rPr>
          <w:rFonts w:hint="eastAsia" w:ascii="仿宋" w:hAnsi="仿宋"/>
          <w:highlight w:val="none"/>
          <w:lang w:eastAsia="zh-CN"/>
        </w:rPr>
        <w:t>（</w:t>
      </w:r>
      <w:r>
        <w:rPr>
          <w:rFonts w:hint="eastAsia" w:ascii="仿宋" w:hAnsi="仿宋"/>
          <w:highlight w:val="none"/>
        </w:rPr>
        <w:t>GB 2762</w:t>
      </w:r>
      <w:r>
        <w:rPr>
          <w:rFonts w:hint="eastAsia" w:ascii="仿宋" w:hAnsi="仿宋"/>
          <w:highlight w:val="none"/>
          <w:lang w:val="en-US" w:eastAsia="zh-CN"/>
        </w:rPr>
        <w:t>-</w:t>
      </w:r>
      <w:r>
        <w:rPr>
          <w:rFonts w:hint="eastAsia" w:ascii="仿宋" w:hAnsi="仿宋"/>
          <w:highlight w:val="none"/>
        </w:rPr>
        <w:t>2017</w:t>
      </w:r>
      <w:r>
        <w:rPr>
          <w:rFonts w:hint="eastAsia" w:ascii="仿宋" w:hAnsi="仿宋"/>
          <w:highlight w:val="none"/>
          <w:lang w:eastAsia="zh-CN"/>
        </w:rPr>
        <w:t>）</w:t>
      </w:r>
      <w:r>
        <w:rPr>
          <w:rFonts w:hint="eastAsia" w:ascii="仿宋" w:hAnsi="仿宋"/>
          <w:highlight w:val="none"/>
        </w:rPr>
        <w:t>、农业部公告第235号《动物性食品中兽药最高残留限量》、中华人民共和国农业部公告 第2292号《食品动物中停止使用洛美沙星、培氟沙星、氧氟沙星、诺氟沙星4种兽药的决定》等标准及产品明示标准和指标的要求。</w:t>
      </w:r>
    </w:p>
    <w:p>
      <w:pPr>
        <w:shd w:val="clear" w:color="auto" w:fill="FFFFFF"/>
        <w:spacing w:line="590" w:lineRule="exact"/>
        <w:ind w:firstLine="624" w:firstLineChars="200"/>
        <w:rPr>
          <w:rFonts w:hint="eastAsia" w:ascii="仿宋" w:hAnsi="仿宋"/>
          <w:highlight w:val="none"/>
        </w:rPr>
      </w:pPr>
      <w:r>
        <w:rPr>
          <w:rFonts w:hint="eastAsia" w:ascii="楷体" w:hAnsi="楷体" w:eastAsia="楷体"/>
          <w:highlight w:val="none"/>
        </w:rPr>
        <w:t>（二）检验项目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eastAsia" w:ascii="仿宋" w:hAnsi="仿宋"/>
          <w:highlight w:val="none"/>
          <w:lang w:val="en-US" w:eastAsia="zh-CN"/>
        </w:rPr>
        <w:t>蜂蜜抽检项目包括果糖和葡萄糖、铅（以Pb计）、氯霉素、洛美沙星、诺氟沙星、培氟沙星、氧氟沙星、山梨酸及其钾盐（以山梨酸计）、嗜渗酵母计数、霉菌计数、菌落总数、大肠菌群、蔗糖</w:t>
      </w:r>
      <w:r>
        <w:rPr>
          <w:rFonts w:hint="eastAsia" w:ascii="仿宋" w:hAnsi="仿宋"/>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dobeHeitiStd-Regular">
    <w:altName w:val="宋体"/>
    <w:panose1 w:val="00000000000000000000"/>
    <w:charset w:val="86"/>
    <w:family w:val="auto"/>
    <w:pitch w:val="default"/>
    <w:sig w:usb0="00000000" w:usb1="00000000" w:usb2="00000000" w:usb3="00000000" w:csb0="00040000" w:csb1="00000000"/>
  </w:font>
  <w:font w:name="E-BZ+ZFKCI1-1">
    <w:altName w:val="宋体"/>
    <w:panose1 w:val="00000000000000000000"/>
    <w:charset w:val="86"/>
    <w:family w:val="auto"/>
    <w:pitch w:val="default"/>
    <w:sig w:usb0="00000000" w:usb1="0000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E-BZ+ZFKCI1-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00" w:usb3="00000000" w:csb0="00040000" w:csb1="00000000"/>
  </w:font>
  <w:font w:name="FZKTJW--GB1-0">
    <w:altName w:val="宋体"/>
    <w:panose1 w:val="00000000000000000000"/>
    <w:charset w:val="86"/>
    <w:family w:val="auto"/>
    <w:pitch w:val="default"/>
    <w:sig w:usb0="00000000" w:usb1="00000000" w:usb2="00000000" w:usb3="00000000" w:csb0="00040000" w:csb1="00000000"/>
  </w:font>
  <w:font w:name="FZHTJW--GB1-0">
    <w:altName w:val="宋体"/>
    <w:panose1 w:val="00000000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DLF-32771-0-294221330+ZLRCrb-43">
    <w:altName w:val="宋体"/>
    <w:panose1 w:val="00000000000000000000"/>
    <w:charset w:val="86"/>
    <w:family w:val="auto"/>
    <w:pitch w:val="default"/>
    <w:sig w:usb0="00000000" w:usb1="00000000" w:usb2="00000000" w:usb3="00000000" w:csb0="00040000" w:csb1="00000000"/>
  </w:font>
  <w:font w:name="AdobeHeitiStd-Regular">
    <w:altName w:val="Segoe Print"/>
    <w:panose1 w:val="00000000000000000000"/>
    <w:charset w:val="00"/>
    <w:family w:val="auto"/>
    <w:pitch w:val="default"/>
    <w:sig w:usb0="00000000" w:usb1="00000000" w:usb2="00000000" w:usb3="00000000" w:csb0="00000000" w:csb1="00000000"/>
  </w:font>
  <w:font w:name="FZHTJW--GB1-0">
    <w:altName w:val="Segoe Print"/>
    <w:panose1 w:val="00000000000000000000"/>
    <w:charset w:val="00"/>
    <w:family w:val="auto"/>
    <w:pitch w:val="default"/>
    <w:sig w:usb0="00000000" w:usb1="00000000" w:usb2="00000000" w:usb3="00000000" w:csb0="00000000" w:csb1="00000000"/>
  </w:font>
  <w:font w:name="DY1+ZHBGhf-1">
    <w:altName w:val="宋体"/>
    <w:panose1 w:val="00000000000000000000"/>
    <w:charset w:val="86"/>
    <w:family w:val="auto"/>
    <w:pitch w:val="default"/>
    <w:sig w:usb0="00000000" w:usb1="00000000" w:usb2="00000000" w:usb3="00000000" w:csb0="00040000" w:csb1="00000000"/>
  </w:font>
  <w:font w:name="DY297+ZHBGii-646">
    <w:altName w:val="宋体"/>
    <w:panose1 w:val="00000000000000000000"/>
    <w:charset w:val="86"/>
    <w:family w:val="auto"/>
    <w:pitch w:val="default"/>
    <w:sig w:usb0="00000000" w:usb1="00000000" w:usb2="00000000" w:usb3="00000000" w:csb0="00040000" w:csb1="00000000"/>
  </w:font>
  <w:font w:name="DY7+ZHBGhg-8">
    <w:altName w:val="宋体"/>
    <w:panose1 w:val="00000000000000000000"/>
    <w:charset w:val="86"/>
    <w:family w:val="auto"/>
    <w:pitch w:val="default"/>
    <w:sig w:usb0="00000000" w:usb1="00000000" w:usb2="00000000" w:usb3="00000000" w:csb0="00040000" w:csb1="00000000"/>
  </w:font>
  <w:font w:name="DY3+ZHBGhf-3">
    <w:altName w:val="宋体"/>
    <w:panose1 w:val="00000000000000000000"/>
    <w:charset w:val="86"/>
    <w:family w:val="auto"/>
    <w:pitch w:val="default"/>
    <w:sig w:usb0="00000000" w:usb1="00000000" w:usb2="00000000" w:usb3="00000000" w:csb0="00040000" w:csb1="00000000"/>
  </w:font>
  <w:font w:name="B9+楷体">
    <w:altName w:val="宋体"/>
    <w:panose1 w:val="00000000000000000000"/>
    <w:charset w:val="86"/>
    <w:family w:val="auto"/>
    <w:pitch w:val="default"/>
    <w:sig w:usb0="00000000" w:usb1="00000000" w:usb2="00000000" w:usb3="00000000" w:csb0="00040000" w:csb1="00000000"/>
  </w:font>
  <w:font w:name="B5+CAJSymbolA">
    <w:altName w:val="宋体"/>
    <w:panose1 w:val="00000000000000000000"/>
    <w:charset w:val="86"/>
    <w:family w:val="auto"/>
    <w:pitch w:val="default"/>
    <w:sig w:usb0="00000000" w:usb1="00000000" w:usb2="00000000" w:usb3="00000000" w:csb0="00040000" w:csb1="00000000"/>
  </w:font>
  <w:font w:name="E-HZ+ZECJcD-2">
    <w:altName w:val="宋体"/>
    <w:panose1 w:val="00000000000000000000"/>
    <w:charset w:val="86"/>
    <w:family w:val="auto"/>
    <w:pitch w:val="default"/>
    <w:sig w:usb0="00000000" w:usb1="00000000" w:usb2="00000000" w:usb3="00000000" w:csb0="00040000" w:csb1="00000000"/>
  </w:font>
  <w:font w:name="zuoyeFont_mathFont">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659A1"/>
    <w:multiLevelType w:val="multilevel"/>
    <w:tmpl w:val="3D0659A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A2037"/>
    <w:rsid w:val="26153BC5"/>
    <w:rsid w:val="5D0570A9"/>
    <w:rsid w:val="625A20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kern w:val="2"/>
      <w:sz w:val="32"/>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character" w:styleId="4">
    <w:name w:val="page number"/>
    <w:basedOn w:val="3"/>
    <w:uiPriority w:val="0"/>
    <w:rPr>
      <w:rFonts w:ascii="Times New Roman" w:hAnsi="Times New Roman" w:eastAsia="宋体" w:cs="Times New Roman"/>
    </w:rPr>
  </w:style>
  <w:style w:type="paragraph" w:customStyle="1" w:styleId="6">
    <w:name w:val="List Paragraph"/>
    <w:basedOn w:val="1"/>
    <w:uiPriority w:val="0"/>
    <w:pPr>
      <w:ind w:firstLine="420" w:firstLineChars="200"/>
    </w:pPr>
    <w:rPr>
      <w:rFonts w:ascii="Times New Roman" w:hAnsi="Times New Roman" w:eastAsia="宋体" w:cs="Times New Roman"/>
    </w:rPr>
  </w:style>
  <w:style w:type="paragraph" w:customStyle="1" w:styleId="7">
    <w:name w:val="Default"/>
    <w:uiPriority w:val="0"/>
    <w:pPr>
      <w:widowControl w:val="0"/>
      <w:autoSpaceDE w:val="0"/>
      <w:autoSpaceDN w:val="0"/>
      <w:adjustRightInd w:val="0"/>
    </w:pPr>
    <w:rPr>
      <w:rFonts w:hint="eastAsia" w:ascii="MS Mincho" w:hAnsi="MS Mincho" w:eastAsia="MS Mincho"/>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2019-07-10T03:10:00Z</dcterms:created>
  <dc:creator>陆江成</dc:creator>
  <cp:lastModifiedBy>陆江成</cp:lastModifiedBy>
  <dcterms:modified xsi:type="dcterms:W3CDTF">2019-07-10T03:11:59Z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