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7"/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361" w:left="1418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titlePg/>
          <w:docGrid w:type="lines" w:linePitch="312" w:charSpace="0"/>
        </w:sectPr>
      </w:pPr>
      <w:bookmarkStart w:id="0" w:name="SectionMark0"/>
      <w:r>
        <w:pict>
          <v:shape id="_x0000_s1038" o:spid="_x0000_s1038" o:spt="32" type="#_x0000_t32" style="position:absolute;left:0pt;flip:y;margin-left:1.5pt;margin-top:700.65pt;height:2pt;width:481.9pt;z-index:25166950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37" o:spid="_x0000_s1037" o:spt="32" type="#_x0000_t32" style="position:absolute;left:0pt;flip:y;margin-left:0pt;margin-top:175pt;height:2pt;width:478.1pt;z-index:25166848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line id="_x0000_s1035" o:spid="_x0000_s1035" o:spt="20" style="position:absolute;left:0pt;margin-left:0pt;margin-top:700pt;height:0pt;width:482pt;z-index:251667456;mso-width-relative:page;mso-height-relative:page;" stroked="t" coordsize="21600,21600">
            <v:path arrowok="t"/>
            <v:fill focussize="0,0"/>
            <v:stroke weight="1pt" color="#FFFFFF"/>
            <v:imagedata o:title=""/>
            <o:lock v:ext="edit"/>
          </v:line>
        </w:pict>
      </w:r>
      <w:r>
        <w:pict>
          <v:line id="_x0000_s1034" o:spid="_x0000_s1034" o:spt="20" style="position:absolute;left:0pt;margin-left:0pt;margin-top:179pt;height:0pt;width:482pt;z-index:251666432;mso-width-relative:page;mso-height-relative:page;" stroked="t" coordsize="21600,21600">
            <v:path arrowok="t"/>
            <v:fill focussize="0,0"/>
            <v:stroke weight="1pt" color="#FFFFFF"/>
            <v:imagedata o:title=""/>
            <o:lock v:ext="edit"/>
          </v:line>
        </w:pict>
      </w:r>
      <w:r>
        <w:pict>
          <v:shape id="fmFrame7" o:spid="_x0000_s1033" o:spt="202" type="#_x0000_t202" style="position:absolute;left:0pt;margin-left:0pt;margin-top:717.2pt;height:28.6pt;width:481.9pt;mso-position-horizontal-relative:margin;mso-position-vertical-relative:margin;z-index:25166540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84"/>
                  </w:pPr>
                  <w:r>
                    <w:rPr>
                      <w:rFonts w:hint="eastAsia" w:ascii="华文中宋" w:hAnsi="华文中宋" w:eastAsia="华文中宋"/>
                      <w:szCs w:val="36"/>
                    </w:rPr>
                    <w:t>黑龙江省质量技术监督局</w:t>
                  </w:r>
                  <w:r>
                    <w:rPr>
                      <w:rStyle w:val="56"/>
                      <w:rFonts w:hint="eastAsia"/>
                    </w:rPr>
                    <w:t>　发布</w:t>
                  </w:r>
                </w:p>
              </w:txbxContent>
            </v:textbox>
            <w10:anchorlock/>
          </v:shape>
        </w:pict>
      </w:r>
      <w:r>
        <w:pict>
          <v:shape id="fmFrame6" o:spid="_x0000_s1032" o:spt="202" type="#_x0000_t202" style="position:absolute;left:0pt;margin-left:322.9pt;margin-top:674.3pt;height:24.6pt;width:159pt;mso-position-horizontal-relative:margin;mso-position-vertical-relative:margin;z-index:25166438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86"/>
                    <w:rPr>
                      <w:rFonts w:ascii="黑体" w:hAnsi="黑体"/>
                    </w:rPr>
                  </w:pPr>
                  <w:r>
                    <w:rPr>
                      <w:rFonts w:hint="eastAsia" w:ascii="黑体" w:hAnsi="黑体"/>
                    </w:rPr>
                    <w:t>××××-××-××实施</w:t>
                  </w:r>
                </w:p>
              </w:txbxContent>
            </v:textbox>
            <w10:anchorlock/>
          </v:shape>
        </w:pict>
      </w:r>
      <w:r>
        <w:pict>
          <v:shape id="fmFrame5" o:spid="_x0000_s1031" o:spt="202" type="#_x0000_t202" style="position:absolute;left:0pt;margin-left:0pt;margin-top:674.3pt;height:24.6pt;width:159pt;mso-position-horizontal-relative:margin;mso-position-vertical-relative:margin;z-index:25166336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58"/>
                    <w:rPr>
                      <w:rFonts w:ascii="黑体" w:hAnsi="黑体"/>
                    </w:rPr>
                  </w:pPr>
                  <w:r>
                    <w:rPr>
                      <w:rFonts w:hint="eastAsia" w:ascii="黑体" w:hAnsi="黑体"/>
                    </w:rPr>
                    <w:t>××××-××-××发布</w:t>
                  </w:r>
                </w:p>
              </w:txbxContent>
            </v:textbox>
            <w10:anchorlock/>
          </v:shape>
        </w:pict>
      </w:r>
      <w:r>
        <w:pict>
          <v:shape id="fmFrame4" o:spid="_x0000_s1030" o:spt="202" type="#_x0000_t202" style="position:absolute;left:0pt;margin-left:0pt;margin-top:286.25pt;height:368.6pt;width:470pt;mso-position-horizontal-relative:margin;mso-position-vertical-relative:margin;z-index:25166233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6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大棚早春番茄老株更新套种菜豆</w:t>
                  </w:r>
                </w:p>
                <w:p>
                  <w:pPr>
                    <w:pStyle w:val="62"/>
                  </w:pPr>
                  <w:r>
                    <w:rPr>
                      <w:rFonts w:hint="eastAsia"/>
                    </w:rPr>
                    <w:t>技术规程</w:t>
                  </w:r>
                </w:p>
                <w:p>
                  <w:pPr>
                    <w:pStyle w:val="65"/>
                  </w:pPr>
                </w:p>
                <w:p>
                  <w:pPr>
                    <w:pStyle w:val="66"/>
                  </w:pPr>
                </w:p>
                <w:p>
                  <w:pPr>
                    <w:pStyle w:val="64"/>
                  </w:pPr>
                </w:p>
                <w:p>
                  <w:pPr>
                    <w:pStyle w:val="63"/>
                  </w:pPr>
                </w:p>
              </w:txbxContent>
            </v:textbox>
            <w10:anchorlock/>
          </v:shape>
        </w:pict>
      </w:r>
      <w:r>
        <w:pict>
          <v:shape id="fmFrame3" o:spid="_x0000_s1029" o:spt="202" type="#_x0000_t202" style="position:absolute;left:0pt;margin-left:0pt;margin-top:110.35pt;height:67.75pt;width:456.9pt;mso-position-horizontal-relative:margin;mso-position-vertical-relative:margin;z-index:25166131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59"/>
                    <w:rPr>
                      <w:rFonts w:ascii="黑体" w:hAnsi="黑体" w:eastAsia="黑体"/>
                      <w:szCs w:val="28"/>
                    </w:rPr>
                  </w:pPr>
                  <w:r>
                    <w:rPr>
                      <w:rFonts w:ascii="黑体" w:hAnsi="黑体" w:eastAsia="黑体"/>
                      <w:szCs w:val="28"/>
                    </w:rPr>
                    <w:t>DB23/T ××××—××××</w:t>
                  </w:r>
                </w:p>
              </w:txbxContent>
            </v:textbox>
            <w10:anchorlock/>
          </v:shape>
        </w:pict>
      </w:r>
      <w:r>
        <w:pict>
          <v:shape id="fmFrame8" o:spid="_x0000_s1028" o:spt="202" type="#_x0000_t202" style="position:absolute;left:0pt;margin-left:200.75pt;margin-top:8.45pt;height:56.7pt;width:250pt;mso-position-horizontal-relative:margin;mso-position-vertical-relative:margin;z-index:25166028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3"/>
                  </w:pPr>
                  <w:r>
                    <w:t>DB23</w:t>
                  </w:r>
                </w:p>
              </w:txbxContent>
            </v:textbox>
            <w10:anchorlock/>
          </v:shape>
        </w:pict>
      </w:r>
      <w:r>
        <w:pict>
          <v:shape id="fmFrame2" o:spid="_x0000_s1027" o:spt="202" type="#_x0000_t202" style="position:absolute;left:0pt;margin-left:0pt;margin-top:79.6pt;height:30.8pt;width:481.9pt;mso-position-horizontal-relative:margin;mso-position-vertical-relative:margin;z-index:25165926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83"/>
                  </w:pPr>
                  <w:r>
                    <w:rPr>
                      <w:rFonts w:hint="eastAsia"/>
                    </w:rPr>
                    <w:t>黑龙江省地方标准</w:t>
                  </w:r>
                </w:p>
              </w:txbxContent>
            </v:textbox>
            <w10:anchorlock/>
          </v:shape>
        </w:pict>
      </w:r>
      <w:r>
        <w:pict>
          <v:shape id="fmFrame1" o:spid="_x0000_s1026" o:spt="202" type="#_x0000_t202" style="position:absolute;left:0pt;margin-left:0pt;margin-top:0pt;height:51.8pt;width:200pt;mso-position-horizontal-relative:margin;mso-position-vertical-relative:margin;z-index:25165824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92"/>
                    <w:rPr>
                      <w:rFonts w:ascii="黑体" w:hAnsi="黑体"/>
                      <w:sz w:val="21"/>
                      <w:szCs w:val="21"/>
                    </w:rPr>
                  </w:pPr>
                  <w:r>
                    <w:rPr>
                      <w:rFonts w:ascii="黑体" w:hAnsi="黑体"/>
                      <w:sz w:val="21"/>
                      <w:szCs w:val="21"/>
                    </w:rPr>
                    <w:t>ICS</w:t>
                  </w:r>
                  <w:r>
                    <w:rPr>
                      <w:rFonts w:hint="eastAsia" w:ascii="黑体" w:hAnsi="黑体"/>
                      <w:sz w:val="21"/>
                      <w:szCs w:val="21"/>
                    </w:rPr>
                    <w:t xml:space="preserve"> 65.020.20    </w:t>
                  </w:r>
                </w:p>
                <w:p>
                  <w:pPr>
                    <w:pStyle w:val="92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黑体" w:hAnsi="黑体"/>
                      <w:sz w:val="21"/>
                      <w:szCs w:val="21"/>
                    </w:rPr>
                    <w:t>B 05</w:t>
                  </w:r>
                </w:p>
                <w:p>
                  <w:pPr>
                    <w:pStyle w:val="92"/>
                  </w:pPr>
                  <w:r>
                    <w:t>备案号</w:t>
                  </w:r>
                </w:p>
              </w:txbxContent>
            </v:textbox>
            <w10:anchorlock/>
          </v:shape>
        </w:pict>
      </w:r>
    </w:p>
    <w:bookmarkEnd w:id="0"/>
    <w:p>
      <w:pPr>
        <w:pStyle w:val="50"/>
      </w:pPr>
      <w:bookmarkStart w:id="1" w:name="SectionMark2"/>
      <w:r>
        <w:rPr>
          <w:rFonts w:hint="eastAsia"/>
        </w:rPr>
        <w:t>前    言</w:t>
      </w:r>
    </w:p>
    <w:p>
      <w:pPr>
        <w:pStyle w:val="52"/>
        <w:ind w:firstLine="420"/>
      </w:pPr>
      <w:r>
        <w:rPr>
          <w:rFonts w:hint="eastAsia"/>
        </w:rPr>
        <w:t>本标准依据GB/T 1.1-2009编写规则起草。</w:t>
      </w:r>
    </w:p>
    <w:p>
      <w:pPr>
        <w:pStyle w:val="52"/>
        <w:ind w:firstLine="420"/>
      </w:pPr>
      <w:r>
        <w:rPr>
          <w:rFonts w:hint="eastAsia"/>
        </w:rPr>
        <w:t>本标准由黑龙江省农业标准化委员会提出。</w:t>
      </w:r>
    </w:p>
    <w:p>
      <w:pPr>
        <w:pStyle w:val="52"/>
        <w:ind w:firstLine="420"/>
      </w:pPr>
      <w:r>
        <w:rPr>
          <w:rFonts w:hint="eastAsia"/>
        </w:rPr>
        <w:t>本标准起草单位：东北农业大学。</w:t>
      </w:r>
    </w:p>
    <w:p>
      <w:pPr>
        <w:pStyle w:val="52"/>
        <w:ind w:firstLine="420"/>
        <w:sectPr>
          <w:headerReference r:id="rId8" w:type="default"/>
          <w:footerReference r:id="rId9" w:type="default"/>
          <w:pgSz w:w="11907" w:h="16839"/>
          <w:pgMar w:top="1418" w:right="1134" w:bottom="1134" w:left="1418" w:header="1418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425" w:num="1"/>
          <w:docGrid w:type="lines" w:linePitch="312" w:charSpace="0"/>
        </w:sectPr>
      </w:pPr>
      <w:r>
        <w:rPr>
          <w:rFonts w:hint="eastAsia"/>
        </w:rPr>
        <w:t>本标准主要起草人：吴凤芝、刘守伟、李乃荟、潘凯、周新刚、李文慧。</w:t>
      </w:r>
    </w:p>
    <w:bookmarkEnd w:id="1"/>
    <w:p>
      <w:pPr>
        <w:pStyle w:val="81"/>
      </w:pPr>
      <w:bookmarkStart w:id="2" w:name="SectionMark4"/>
      <w:r>
        <w:rPr>
          <w:rFonts w:hint="eastAsia"/>
        </w:rPr>
        <w:t>大棚早春番茄老株更新套种菜豆</w:t>
      </w:r>
      <w:bookmarkStart w:id="6" w:name="_GoBack"/>
      <w:bookmarkEnd w:id="6"/>
      <w:r>
        <w:rPr>
          <w:rFonts w:hint="eastAsia"/>
        </w:rPr>
        <w:t>技术规程</w:t>
      </w:r>
    </w:p>
    <w:p>
      <w:pPr>
        <w:pStyle w:val="53"/>
        <w:spacing w:before="312" w:beforeLines="100" w:after="312" w:afterLines="100"/>
      </w:pPr>
      <w:r>
        <w:rPr>
          <w:rFonts w:hint="eastAsia"/>
        </w:rPr>
        <w:t>范围</w:t>
      </w:r>
    </w:p>
    <w:p>
      <w:pPr>
        <w:pStyle w:val="52"/>
        <w:tabs>
          <w:tab w:val="center" w:pos="4201"/>
          <w:tab w:val="right" w:leader="dot" w:pos="9298"/>
        </w:tabs>
        <w:rPr>
          <w:rFonts w:hAnsi="宋体"/>
          <w:szCs w:val="21"/>
        </w:rPr>
      </w:pPr>
      <w:r>
        <w:rPr>
          <w:rFonts w:hAnsi="宋体"/>
          <w:szCs w:val="21"/>
        </w:rPr>
        <w:t>本标准规定了大棚春番茄</w:t>
      </w:r>
      <w:r>
        <w:rPr>
          <w:rFonts w:hint="eastAsia" w:hAnsi="宋体"/>
          <w:szCs w:val="21"/>
        </w:rPr>
        <w:t>老株更新套种菜豆栽培</w:t>
      </w:r>
      <w:r>
        <w:rPr>
          <w:rFonts w:hAnsi="宋体"/>
          <w:szCs w:val="21"/>
        </w:rPr>
        <w:t>的产地环境和生产管理措施。</w:t>
      </w:r>
    </w:p>
    <w:p>
      <w:pPr>
        <w:pStyle w:val="52"/>
        <w:tabs>
          <w:tab w:val="center" w:pos="4201"/>
          <w:tab w:val="right" w:leader="dot" w:pos="9298"/>
        </w:tabs>
        <w:rPr>
          <w:rFonts w:ascii="宋体" w:hAnsi="宋体"/>
        </w:rPr>
      </w:pPr>
      <w:r>
        <w:rPr>
          <w:rFonts w:hAnsi="宋体"/>
          <w:szCs w:val="21"/>
        </w:rPr>
        <w:t>本标准适用于大棚春番茄</w:t>
      </w:r>
      <w:r>
        <w:rPr>
          <w:rFonts w:hint="eastAsia" w:hAnsi="宋体"/>
          <w:szCs w:val="21"/>
        </w:rPr>
        <w:t>老株更新套种菜豆</w:t>
      </w:r>
      <w:r>
        <w:rPr>
          <w:rFonts w:hAnsi="宋体"/>
          <w:szCs w:val="21"/>
        </w:rPr>
        <w:t>的生产。</w:t>
      </w:r>
    </w:p>
    <w:p>
      <w:pPr>
        <w:pStyle w:val="53"/>
        <w:spacing w:before="312" w:beforeLines="100" w:after="312" w:afterLines="100"/>
      </w:pPr>
      <w:r>
        <w:rPr>
          <w:rFonts w:hint="eastAsia"/>
        </w:rPr>
        <w:t>规范性引用文件</w:t>
      </w:r>
    </w:p>
    <w:p>
      <w:pPr>
        <w:pStyle w:val="52"/>
        <w:ind w:firstLine="420"/>
        <w:rPr>
          <w:rFonts w:hint="eastAsia"/>
        </w:rPr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pStyle w:val="52"/>
        <w:tabs>
          <w:tab w:val="center" w:pos="4201"/>
          <w:tab w:val="right" w:leader="dot" w:pos="9298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GB 3095  环境空气质量标准</w:t>
      </w:r>
    </w:p>
    <w:p>
      <w:pPr>
        <w:pStyle w:val="52"/>
        <w:tabs>
          <w:tab w:val="center" w:pos="4201"/>
          <w:tab w:val="right" w:leader="dot" w:pos="9298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GB 3838  地表水环境质量标准</w:t>
      </w:r>
    </w:p>
    <w:p>
      <w:pPr>
        <w:pStyle w:val="52"/>
        <w:tabs>
          <w:tab w:val="center" w:pos="4201"/>
          <w:tab w:val="right" w:leader="dot" w:pos="9298"/>
        </w:tabs>
        <w:rPr>
          <w:rFonts w:hint="default" w:ascii="Times New Roman" w:hAnsi="Times New Roman" w:cs="Times New Roman"/>
          <w:szCs w:val="22"/>
        </w:rPr>
      </w:pPr>
      <w:r>
        <w:rPr>
          <w:rFonts w:hint="default" w:ascii="Times New Roman" w:hAnsi="Times New Roman" w:cs="Times New Roman"/>
          <w:szCs w:val="22"/>
        </w:rPr>
        <w:t>GB 4404.2  粮食作物种子　第2部分：豆类</w:t>
      </w:r>
    </w:p>
    <w:p>
      <w:pPr>
        <w:pStyle w:val="52"/>
        <w:tabs>
          <w:tab w:val="center" w:pos="4201"/>
          <w:tab w:val="right" w:leader="dot" w:pos="9298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GB 5084  农田灌溉水质标准</w:t>
      </w:r>
    </w:p>
    <w:p>
      <w:pPr>
        <w:pStyle w:val="52"/>
        <w:tabs>
          <w:tab w:val="center" w:pos="4201"/>
          <w:tab w:val="right" w:leader="dot" w:pos="9298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/>
          <w:szCs w:val="21"/>
        </w:rPr>
        <w:t>GB 15618  土壤环境质量标准</w:t>
      </w:r>
    </w:p>
    <w:p>
      <w:pPr>
        <w:pStyle w:val="52"/>
        <w:tabs>
          <w:tab w:val="center" w:pos="4201"/>
          <w:tab w:val="right" w:leader="dot" w:pos="9298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GB 16715.3  瓜菜作物种子  第3部分：茄果类</w:t>
      </w:r>
    </w:p>
    <w:p>
      <w:pPr>
        <w:pStyle w:val="52"/>
        <w:tabs>
          <w:tab w:val="center" w:pos="4201"/>
          <w:tab w:val="right" w:leader="dot" w:pos="9298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GB/T 8321（所有部分）  农药合理使用准则</w:t>
      </w:r>
    </w:p>
    <w:p>
      <w:pPr>
        <w:pStyle w:val="52"/>
        <w:tabs>
          <w:tab w:val="center" w:pos="4201"/>
          <w:tab w:val="right" w:leader="dot" w:pos="9298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NY/T 496  肥料合理使用准则  通则</w:t>
      </w:r>
    </w:p>
    <w:p>
      <w:pPr>
        <w:pStyle w:val="52"/>
        <w:tabs>
          <w:tab w:val="center" w:pos="4201"/>
          <w:tab w:val="right" w:leader="dot" w:pos="9298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NY/T 1276  农药安全使用规范</w:t>
      </w:r>
    </w:p>
    <w:p>
      <w:pPr>
        <w:pStyle w:val="52"/>
        <w:tabs>
          <w:tab w:val="center" w:pos="4201"/>
          <w:tab w:val="right" w:leader="dot" w:pos="9298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NY/T 2118  蔬菜育苗基质</w:t>
      </w:r>
    </w:p>
    <w:p>
      <w:pPr>
        <w:pStyle w:val="5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asciiTheme="minorEastAsia" w:hAnsiTheme="minorEastAsia" w:eastAsiaTheme="minorEastAsia" w:cstheme="minorEastAsia"/>
          <w:color w:val="FF0000"/>
          <w:sz w:val="24"/>
          <w:szCs w:val="24"/>
        </w:rPr>
      </w:pPr>
      <w:bookmarkStart w:id="3" w:name="_Toc466367648"/>
      <w:bookmarkStart w:id="4" w:name="_Toc468790821"/>
      <w:bookmarkStart w:id="5" w:name="_Toc6343"/>
      <w:r>
        <w:rPr>
          <w:rFonts w:hint="eastAsia"/>
        </w:rPr>
        <w:t xml:space="preserve">3  术语和定义         </w:t>
      </w:r>
    </w:p>
    <w:p>
      <w:pPr>
        <w:pStyle w:val="52"/>
        <w:tabs>
          <w:tab w:val="center" w:pos="4201"/>
          <w:tab w:val="right" w:leader="dot" w:pos="9298"/>
        </w:tabs>
      </w:pPr>
      <w:r>
        <w:rPr>
          <w:rFonts w:hint="eastAsia"/>
        </w:rPr>
        <w:t>下列术语和定义适用于本文件。</w:t>
      </w:r>
    </w:p>
    <w:p>
      <w:pPr>
        <w:pStyle w:val="52"/>
        <w:tabs>
          <w:tab w:val="center" w:pos="4201"/>
          <w:tab w:val="right" w:leader="dot" w:pos="9298"/>
        </w:tabs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老株更新    </w:t>
      </w:r>
    </w:p>
    <w:p>
      <w:pPr>
        <w:ind w:firstLine="420" w:firstLineChars="200"/>
        <w:rPr>
          <w:b/>
          <w:bCs/>
          <w:color w:val="FF0000"/>
          <w:sz w:val="24"/>
        </w:rPr>
      </w:pPr>
      <w:r>
        <w:rPr>
          <w:rFonts w:hint="eastAsia" w:ascii="宋体"/>
          <w:kern w:val="0"/>
          <w:szCs w:val="22"/>
        </w:rPr>
        <w:t>用新生侧枝代替主枝作为结果枝，利用原作物根系，调整植株长势和结果时期来获得更高产量的一种栽培方法。</w:t>
      </w:r>
      <w:r>
        <w:rPr>
          <w:rFonts w:hint="eastAsia"/>
          <w:color w:val="FF0000"/>
        </w:rPr>
        <w:t xml:space="preserve">  </w:t>
      </w:r>
    </w:p>
    <w:p>
      <w:pPr>
        <w:pStyle w:val="5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/>
          <w:szCs w:val="22"/>
        </w:rPr>
      </w:pPr>
      <w:r>
        <w:rPr>
          <w:rFonts w:hint="eastAsia"/>
          <w:szCs w:val="22"/>
        </w:rPr>
        <w:t>4  产地环境</w:t>
      </w:r>
    </w:p>
    <w:p>
      <w:pPr>
        <w:pStyle w:val="52"/>
        <w:tabs>
          <w:tab w:val="center" w:pos="4201"/>
          <w:tab w:val="right" w:leader="dot" w:pos="9298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>选择地势高燥，排灌方便，土层深厚、疏松、肥沃的地块，</w:t>
      </w:r>
      <w:r>
        <w:rPr>
          <w:rFonts w:hint="default" w:ascii="Times New Roman" w:hAnsi="Times New Roman" w:cs="Times New Roman"/>
        </w:rPr>
        <w:t>大气应符合GB 3095的规定，土壤应符合</w:t>
      </w:r>
      <w:r>
        <w:rPr>
          <w:rFonts w:hint="default" w:ascii="Times New Roman" w:hAnsi="Times New Roman" w:cs="Times New Roman"/>
          <w:bCs/>
          <w:szCs w:val="21"/>
        </w:rPr>
        <w:t>GB 15618的规定</w: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  <w:szCs w:val="21"/>
        </w:rPr>
        <w:t>水质应符合</w:t>
      </w:r>
      <w:r>
        <w:rPr>
          <w:rFonts w:hint="default" w:ascii="Times New Roman" w:hAnsi="Times New Roman" w:cs="Times New Roman"/>
        </w:rPr>
        <w:t>GB 3838、GB 5084的规定。</w:t>
      </w:r>
    </w:p>
    <w:p>
      <w:pPr>
        <w:pStyle w:val="53"/>
        <w:numPr>
          <w:ilvl w:val="1"/>
          <w:numId w:val="0"/>
        </w:numPr>
        <w:spacing w:before="312" w:beforeLines="100" w:after="312" w:afterLines="100"/>
        <w:ind w:leftChars="0"/>
        <w:rPr>
          <w:rFonts w:hint="eastAsia"/>
          <w:szCs w:val="22"/>
        </w:rPr>
      </w:pPr>
      <w:r>
        <w:rPr>
          <w:rFonts w:hint="eastAsia"/>
          <w:szCs w:val="22"/>
        </w:rPr>
        <w:t>5  园艺设施</w:t>
      </w:r>
    </w:p>
    <w:p>
      <w:pPr>
        <w:pStyle w:val="52"/>
        <w:tabs>
          <w:tab w:val="center" w:pos="4201"/>
          <w:tab w:val="right" w:leader="dot" w:pos="9298"/>
        </w:tabs>
      </w:pPr>
      <w:r>
        <w:rPr>
          <w:rFonts w:hint="eastAsia"/>
        </w:rPr>
        <w:t>塑料大棚。</w:t>
      </w:r>
    </w:p>
    <w:p>
      <w:pPr>
        <w:pStyle w:val="53"/>
        <w:numPr>
          <w:ilvl w:val="1"/>
          <w:numId w:val="0"/>
        </w:numPr>
        <w:spacing w:before="312" w:beforeLines="100" w:after="312" w:afterLines="100"/>
        <w:ind w:leftChars="0"/>
        <w:rPr>
          <w:rFonts w:hint="eastAsia"/>
          <w:szCs w:val="22"/>
        </w:rPr>
      </w:pPr>
      <w:r>
        <w:rPr>
          <w:rFonts w:hint="eastAsia"/>
          <w:szCs w:val="22"/>
        </w:rPr>
        <w:t>6  品种选择</w:t>
      </w:r>
    </w:p>
    <w:p>
      <w:pPr>
        <w:pStyle w:val="52"/>
        <w:tabs>
          <w:tab w:val="center" w:pos="4201"/>
          <w:tab w:val="right" w:leader="dot" w:pos="9298"/>
        </w:tabs>
        <w:rPr>
          <w:rFonts w:ascii="Times New Roman"/>
        </w:rPr>
      </w:pPr>
      <w:r>
        <w:rPr>
          <w:rFonts w:hint="eastAsia" w:ascii="Times New Roman"/>
        </w:rPr>
        <w:t>番茄品种</w:t>
      </w:r>
      <w:r>
        <w:rPr>
          <w:rFonts w:ascii="Times New Roman"/>
        </w:rPr>
        <w:t>选用早熟高产</w:t>
      </w:r>
      <w:r>
        <w:rPr>
          <w:rFonts w:hint="eastAsia" w:ascii="Times New Roman"/>
        </w:rPr>
        <w:t>抗病抗逆性强</w:t>
      </w:r>
      <w:r>
        <w:rPr>
          <w:rFonts w:ascii="Times New Roman"/>
        </w:rPr>
        <w:t>的品种，如东农</w:t>
      </w:r>
      <w:r>
        <w:rPr>
          <w:rFonts w:hint="eastAsia" w:ascii="Times New Roman"/>
        </w:rPr>
        <w:t>系列品种、欧顿、光彩303等。</w:t>
      </w:r>
    </w:p>
    <w:p>
      <w:pPr>
        <w:pStyle w:val="52"/>
        <w:tabs>
          <w:tab w:val="center" w:pos="4201"/>
          <w:tab w:val="right" w:leader="dot" w:pos="9298"/>
        </w:tabs>
        <w:rPr>
          <w:rFonts w:ascii="Times New Roman"/>
        </w:rPr>
      </w:pPr>
      <w:r>
        <w:rPr>
          <w:rFonts w:hint="eastAsia" w:hAnsi="宋体"/>
          <w:szCs w:val="21"/>
        </w:rPr>
        <w:t>菜豆</w:t>
      </w:r>
      <w:r>
        <w:rPr>
          <w:rFonts w:ascii="Times New Roman"/>
        </w:rPr>
        <w:t>选用当地</w:t>
      </w:r>
      <w:r>
        <w:rPr>
          <w:rFonts w:hint="eastAsia" w:ascii="Times New Roman"/>
        </w:rPr>
        <w:t>主栽</w:t>
      </w:r>
      <w:r>
        <w:rPr>
          <w:rFonts w:ascii="Times New Roman"/>
        </w:rPr>
        <w:t>品种。</w:t>
      </w:r>
    </w:p>
    <w:p>
      <w:pPr>
        <w:pStyle w:val="53"/>
        <w:numPr>
          <w:ilvl w:val="1"/>
          <w:numId w:val="0"/>
        </w:numPr>
        <w:spacing w:before="312" w:beforeLines="100" w:after="312" w:afterLines="100"/>
        <w:ind w:leftChars="0"/>
        <w:rPr>
          <w:rFonts w:hint="eastAsia"/>
          <w:szCs w:val="22"/>
        </w:rPr>
      </w:pPr>
      <w:r>
        <w:rPr>
          <w:rFonts w:hint="eastAsia"/>
          <w:szCs w:val="22"/>
        </w:rPr>
        <w:t>7  育苗</w:t>
      </w:r>
    </w:p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>7.1  壮苗标准</w:t>
      </w:r>
    </w:p>
    <w:p>
      <w:pPr>
        <w:pStyle w:val="52"/>
        <w:tabs>
          <w:tab w:val="center" w:pos="4201"/>
          <w:tab w:val="right" w:leader="dot" w:pos="9298"/>
        </w:tabs>
        <w:rPr>
          <w:rFonts w:ascii="Times New Roman"/>
        </w:rPr>
      </w:pPr>
      <w:r>
        <w:rPr>
          <w:rFonts w:ascii="Times New Roman"/>
        </w:rPr>
        <w:t>日历苗龄</w:t>
      </w:r>
      <w:r>
        <w:rPr>
          <w:rFonts w:hint="eastAsia" w:ascii="Times New Roman"/>
        </w:rPr>
        <w:t>55d</w:t>
      </w:r>
      <w:r>
        <w:rPr>
          <w:rFonts w:ascii="Times New Roman"/>
        </w:rPr>
        <w:t>~</w:t>
      </w:r>
      <w:r>
        <w:rPr>
          <w:rFonts w:hint="eastAsia" w:ascii="Times New Roman"/>
        </w:rPr>
        <w:t>60d</w:t>
      </w:r>
      <w:r>
        <w:rPr>
          <w:rFonts w:ascii="Times New Roman"/>
        </w:rPr>
        <w:t>，</w:t>
      </w:r>
      <w:r>
        <w:rPr>
          <w:rFonts w:hint="eastAsia" w:ascii="Times New Roman"/>
        </w:rPr>
        <w:t>株高20cm~25cm，</w:t>
      </w:r>
      <w:r>
        <w:rPr>
          <w:rFonts w:ascii="Times New Roman"/>
        </w:rPr>
        <w:t>生理苗龄</w:t>
      </w:r>
      <w:r>
        <w:rPr>
          <w:rFonts w:hint="eastAsia" w:ascii="Times New Roman"/>
        </w:rPr>
        <w:t>6片叶</w:t>
      </w:r>
      <w:r>
        <w:rPr>
          <w:rFonts w:ascii="Times New Roman"/>
        </w:rPr>
        <w:t>~</w:t>
      </w:r>
      <w:r>
        <w:rPr>
          <w:rFonts w:hint="eastAsia" w:ascii="Times New Roman"/>
        </w:rPr>
        <w:t>7</w:t>
      </w:r>
      <w:r>
        <w:rPr>
          <w:rFonts w:ascii="Times New Roman"/>
        </w:rPr>
        <w:t>片叶</w:t>
      </w:r>
      <w:r>
        <w:rPr>
          <w:rFonts w:hint="eastAsia" w:ascii="Times New Roman"/>
        </w:rPr>
        <w:t>。</w:t>
      </w:r>
    </w:p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>7.2  育苗设施的选择</w:t>
      </w:r>
    </w:p>
    <w:p>
      <w:pPr>
        <w:pStyle w:val="52"/>
        <w:tabs>
          <w:tab w:val="center" w:pos="4201"/>
          <w:tab w:val="right" w:leader="dot" w:pos="9298"/>
        </w:tabs>
        <w:rPr>
          <w:rFonts w:ascii="Times New Roman"/>
        </w:rPr>
      </w:pPr>
      <w:r>
        <w:rPr>
          <w:rFonts w:ascii="Times New Roman"/>
        </w:rPr>
        <w:t>日光温室</w:t>
      </w:r>
      <w:r>
        <w:rPr>
          <w:rFonts w:hint="eastAsia" w:ascii="Times New Roman"/>
        </w:rPr>
        <w:t>。</w:t>
      </w:r>
    </w:p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>7.3  育苗基质配制</w:t>
      </w:r>
    </w:p>
    <w:p>
      <w:pPr>
        <w:pStyle w:val="52"/>
        <w:tabs>
          <w:tab w:val="center" w:pos="4201"/>
          <w:tab w:val="right" w:leader="dot" w:pos="9298"/>
        </w:tabs>
        <w:rPr>
          <w:rFonts w:ascii="Times New Roman"/>
        </w:rPr>
      </w:pPr>
      <w:r>
        <w:rPr>
          <w:rFonts w:ascii="Times New Roman"/>
        </w:rPr>
        <w:t>草炭加蛭石按体积比2</w:t>
      </w:r>
      <w:r>
        <w:rPr>
          <w:rFonts w:hint="eastAsia" w:ascii="Times New Roman"/>
        </w:rPr>
        <w:t>:</w:t>
      </w:r>
      <w:r>
        <w:rPr>
          <w:rFonts w:ascii="Times New Roman"/>
        </w:rPr>
        <w:t>1</w:t>
      </w:r>
      <w:r>
        <w:rPr>
          <w:rFonts w:hint="eastAsia" w:ascii="Times New Roman"/>
        </w:rPr>
        <w:t>混合均匀</w:t>
      </w:r>
      <w:r>
        <w:rPr>
          <w:rFonts w:ascii="Times New Roman"/>
        </w:rPr>
        <w:t>，</w:t>
      </w:r>
      <w:r>
        <w:rPr>
          <w:rFonts w:hint="eastAsia" w:ascii="Times New Roman"/>
        </w:rPr>
        <w:t>基质</w:t>
      </w:r>
      <w:r>
        <w:rPr>
          <w:rFonts w:ascii="Times New Roman"/>
        </w:rPr>
        <w:t xml:space="preserve">应符合NY/T </w:t>
      </w:r>
      <w:r>
        <w:rPr>
          <w:rFonts w:hint="eastAsia" w:ascii="Times New Roman"/>
        </w:rPr>
        <w:t>2118</w:t>
      </w:r>
      <w:r>
        <w:rPr>
          <w:rFonts w:ascii="Times New Roman"/>
        </w:rPr>
        <w:t>的规定。</w:t>
      </w:r>
    </w:p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>7.4  种子选择及处理</w:t>
      </w:r>
    </w:p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>7.4.1  种子选择</w:t>
      </w:r>
    </w:p>
    <w:p>
      <w:pPr>
        <w:pStyle w:val="52"/>
        <w:tabs>
          <w:tab w:val="center" w:pos="4201"/>
          <w:tab w:val="right" w:leader="dot" w:pos="9298"/>
        </w:tabs>
      </w:pPr>
      <w:r>
        <w:rPr>
          <w:rFonts w:hint="eastAsia"/>
        </w:rPr>
        <w:t>应符</w:t>
      </w:r>
      <w:r>
        <w:rPr>
          <w:rFonts w:hint="default" w:ascii="Times New Roman" w:hAnsi="Times New Roman" w:cs="Times New Roman"/>
        </w:rPr>
        <w:t>合</w:t>
      </w:r>
      <w:r>
        <w:rPr>
          <w:rFonts w:hint="default" w:ascii="Times New Roman" w:hAnsi="Times New Roman" w:cs="Times New Roman"/>
          <w:szCs w:val="22"/>
        </w:rPr>
        <w:t>GB 4404.2、</w:t>
      </w:r>
      <w:r>
        <w:rPr>
          <w:rFonts w:hint="default" w:ascii="Times New Roman" w:hAnsi="Times New Roman" w:cs="Times New Roman"/>
        </w:rPr>
        <w:t>GB 16715.3的要求</w:t>
      </w:r>
      <w:r>
        <w:rPr>
          <w:rFonts w:hint="eastAsia"/>
        </w:rPr>
        <w:t>。</w:t>
      </w:r>
    </w:p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>7.4.2  种子处理</w:t>
      </w:r>
    </w:p>
    <w:p>
      <w:pPr>
        <w:pStyle w:val="52"/>
        <w:tabs>
          <w:tab w:val="center" w:pos="4201"/>
          <w:tab w:val="right" w:leader="dot" w:pos="9298"/>
        </w:tabs>
        <w:rPr>
          <w:rFonts w:ascii="Times New Roman"/>
        </w:rPr>
      </w:pPr>
      <w:r>
        <w:rPr>
          <w:rFonts w:hint="eastAsia" w:ascii="Times New Roman"/>
        </w:rPr>
        <w:t>番茄种子采用</w:t>
      </w:r>
      <w:r>
        <w:rPr>
          <w:rFonts w:ascii="Times New Roman"/>
        </w:rPr>
        <w:t>温汤浸种</w:t>
      </w:r>
      <w:r>
        <w:rPr>
          <w:rFonts w:hint="eastAsia" w:ascii="Times New Roman"/>
        </w:rPr>
        <w:t>，</w:t>
      </w:r>
      <w:r>
        <w:rPr>
          <w:rFonts w:ascii="Times New Roman"/>
        </w:rPr>
        <w:t>先用</w:t>
      </w:r>
      <w:r>
        <w:rPr>
          <w:rFonts w:hint="eastAsia" w:ascii="Times New Roman"/>
        </w:rPr>
        <w:t>室温清水</w:t>
      </w:r>
      <w:r>
        <w:rPr>
          <w:rFonts w:ascii="Times New Roman"/>
        </w:rPr>
        <w:t>浸泡种子10</w:t>
      </w:r>
      <w:r>
        <w:rPr>
          <w:rFonts w:hint="eastAsia" w:ascii="Times New Roman"/>
        </w:rPr>
        <w:t>min</w:t>
      </w:r>
      <w:r>
        <w:rPr>
          <w:rFonts w:ascii="Times New Roman"/>
        </w:rPr>
        <w:t>~20</w:t>
      </w:r>
      <w:r>
        <w:rPr>
          <w:rFonts w:hint="eastAsia" w:ascii="Times New Roman"/>
        </w:rPr>
        <w:t>min后，</w:t>
      </w:r>
      <w:r>
        <w:rPr>
          <w:rFonts w:ascii="Times New Roman"/>
        </w:rPr>
        <w:t>用50℃~55℃热水烫种</w:t>
      </w:r>
      <w:r>
        <w:rPr>
          <w:rFonts w:hint="eastAsia" w:ascii="Times New Roman"/>
        </w:rPr>
        <w:t>2</w:t>
      </w:r>
      <w:r>
        <w:rPr>
          <w:rFonts w:ascii="Times New Roman"/>
        </w:rPr>
        <w:t>0</w:t>
      </w:r>
      <w:r>
        <w:rPr>
          <w:rFonts w:hint="eastAsia" w:ascii="Times New Roman"/>
        </w:rPr>
        <w:t>min</w:t>
      </w:r>
      <w:r>
        <w:rPr>
          <w:rFonts w:ascii="Times New Roman"/>
        </w:rPr>
        <w:t>，</w:t>
      </w:r>
      <w:r>
        <w:rPr>
          <w:rFonts w:hint="eastAsia" w:ascii="Times New Roman"/>
        </w:rPr>
        <w:t>再</w:t>
      </w:r>
      <w:r>
        <w:rPr>
          <w:rFonts w:ascii="Times New Roman"/>
        </w:rPr>
        <w:t>把种子</w:t>
      </w:r>
      <w:r>
        <w:rPr>
          <w:rFonts w:hint="eastAsia" w:ascii="Times New Roman"/>
        </w:rPr>
        <w:t>迅速</w:t>
      </w:r>
      <w:r>
        <w:rPr>
          <w:rFonts w:ascii="Times New Roman"/>
        </w:rPr>
        <w:t>放入</w:t>
      </w:r>
      <w:r>
        <w:rPr>
          <w:rFonts w:hint="eastAsia" w:ascii="Times New Roman"/>
        </w:rPr>
        <w:t>室温清水</w:t>
      </w:r>
      <w:r>
        <w:rPr>
          <w:rFonts w:ascii="Times New Roman"/>
        </w:rPr>
        <w:t>中</w:t>
      </w:r>
      <w:r>
        <w:rPr>
          <w:rFonts w:hint="eastAsia" w:ascii="Times New Roman"/>
        </w:rPr>
        <w:t>冷却</w:t>
      </w:r>
      <w:r>
        <w:rPr>
          <w:rFonts w:ascii="Times New Roman"/>
        </w:rPr>
        <w:t>，</w:t>
      </w:r>
      <w:r>
        <w:rPr>
          <w:rFonts w:hint="eastAsia" w:ascii="Times New Roman"/>
        </w:rPr>
        <w:t>然后</w:t>
      </w:r>
      <w:r>
        <w:rPr>
          <w:rFonts w:ascii="Times New Roman"/>
        </w:rPr>
        <w:t>浸种催芽</w:t>
      </w:r>
      <w:r>
        <w:rPr>
          <w:rFonts w:hint="eastAsia" w:ascii="Times New Roman"/>
        </w:rPr>
        <w:t>，或</w:t>
      </w:r>
      <w:r>
        <w:rPr>
          <w:rFonts w:ascii="Times New Roman"/>
        </w:rPr>
        <w:t>Na</w:t>
      </w:r>
      <w:r>
        <w:rPr>
          <w:rFonts w:ascii="Times New Roman"/>
          <w:vertAlign w:val="subscript"/>
        </w:rPr>
        <w:t>3</w:t>
      </w:r>
      <w:r>
        <w:rPr>
          <w:rFonts w:ascii="Times New Roman"/>
        </w:rPr>
        <w:t>PO</w:t>
      </w:r>
      <w:r>
        <w:rPr>
          <w:rFonts w:ascii="Times New Roman"/>
          <w:vertAlign w:val="subscript"/>
        </w:rPr>
        <w:t>3</w:t>
      </w:r>
      <w:r>
        <w:rPr>
          <w:rFonts w:ascii="Times New Roman"/>
        </w:rPr>
        <w:t>浸种</w:t>
      </w:r>
      <w:r>
        <w:rPr>
          <w:rFonts w:hint="eastAsia" w:ascii="Times New Roman"/>
        </w:rPr>
        <w:t>，即</w:t>
      </w:r>
      <w:r>
        <w:rPr>
          <w:rFonts w:ascii="Times New Roman"/>
        </w:rPr>
        <w:t>用10%的Na</w:t>
      </w:r>
      <w:r>
        <w:rPr>
          <w:rFonts w:ascii="Times New Roman"/>
          <w:vertAlign w:val="subscript"/>
        </w:rPr>
        <w:t>3</w:t>
      </w:r>
      <w:r>
        <w:rPr>
          <w:rFonts w:ascii="Times New Roman"/>
        </w:rPr>
        <w:t>PO</w:t>
      </w:r>
      <w:r>
        <w:rPr>
          <w:rFonts w:ascii="Times New Roman"/>
          <w:vertAlign w:val="subscript"/>
        </w:rPr>
        <w:t>3</w:t>
      </w:r>
      <w:r>
        <w:rPr>
          <w:rFonts w:ascii="Times New Roman"/>
        </w:rPr>
        <w:t>浸种1</w:t>
      </w:r>
      <w:r>
        <w:rPr>
          <w:rFonts w:hint="eastAsia" w:ascii="Times New Roman"/>
        </w:rPr>
        <w:t>5min~25min</w:t>
      </w:r>
      <w:r>
        <w:rPr>
          <w:rFonts w:ascii="Times New Roman"/>
        </w:rPr>
        <w:t>，</w:t>
      </w:r>
      <w:r>
        <w:rPr>
          <w:rFonts w:hint="eastAsia" w:ascii="Times New Roman"/>
        </w:rPr>
        <w:t>用清水投洗干净，包衣种子直播，药剂应符合</w:t>
      </w:r>
      <w:r>
        <w:t>GB/T 8321</w:t>
      </w:r>
      <w:r>
        <w:rPr>
          <w:rFonts w:hint="eastAsia"/>
        </w:rPr>
        <w:t>、</w:t>
      </w:r>
      <w:r>
        <w:t xml:space="preserve">NY/T </w:t>
      </w:r>
      <w:r>
        <w:rPr>
          <w:rFonts w:hint="eastAsia"/>
        </w:rPr>
        <w:t>127</w:t>
      </w:r>
      <w:r>
        <w:t>6</w:t>
      </w:r>
      <w:r>
        <w:rPr>
          <w:rFonts w:hint="eastAsia"/>
        </w:rPr>
        <w:t>的规定。</w:t>
      </w:r>
    </w:p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>7.4.3  浸种催芽</w:t>
      </w:r>
    </w:p>
    <w:p>
      <w:pPr>
        <w:pStyle w:val="52"/>
        <w:tabs>
          <w:tab w:val="center" w:pos="4201"/>
          <w:tab w:val="right" w:leader="dot" w:pos="9298"/>
        </w:tabs>
        <w:rPr>
          <w:rFonts w:ascii="Times New Roman"/>
        </w:rPr>
      </w:pPr>
      <w:r>
        <w:rPr>
          <w:rFonts w:hint="eastAsia" w:ascii="Times New Roman"/>
        </w:rPr>
        <w:t>番茄</w:t>
      </w:r>
      <w:r>
        <w:rPr>
          <w:rFonts w:ascii="Times New Roman"/>
        </w:rPr>
        <w:t>在</w:t>
      </w:r>
      <w:r>
        <w:rPr>
          <w:rFonts w:hint="eastAsia" w:ascii="Times New Roman"/>
        </w:rPr>
        <w:t>2</w:t>
      </w:r>
      <w:r>
        <w:rPr>
          <w:rFonts w:ascii="Times New Roman"/>
        </w:rPr>
        <w:t>0℃</w:t>
      </w:r>
      <w:r>
        <w:rPr>
          <w:rFonts w:hint="eastAsia" w:ascii="Times New Roman"/>
        </w:rPr>
        <w:t>~25</w:t>
      </w:r>
      <w:r>
        <w:rPr>
          <w:rFonts w:ascii="Times New Roman"/>
        </w:rPr>
        <w:t>℃左右温水中浸种</w:t>
      </w:r>
      <w:r>
        <w:rPr>
          <w:rFonts w:hint="eastAsia" w:ascii="Times New Roman"/>
        </w:rPr>
        <w:t>8h~10h</w:t>
      </w:r>
      <w:r>
        <w:rPr>
          <w:rFonts w:ascii="Times New Roman"/>
        </w:rPr>
        <w:t>左右，捞出后在28℃~30℃温度下催芽</w:t>
      </w:r>
      <w:r>
        <w:rPr>
          <w:rFonts w:hint="eastAsia" w:ascii="Times New Roman"/>
        </w:rPr>
        <w:t>2d~3d</w:t>
      </w:r>
      <w:r>
        <w:rPr>
          <w:rFonts w:ascii="Times New Roman"/>
        </w:rPr>
        <w:t>，每天</w:t>
      </w:r>
      <w:r>
        <w:rPr>
          <w:rFonts w:hint="eastAsia" w:ascii="Times New Roman"/>
        </w:rPr>
        <w:t>投洗2</w:t>
      </w:r>
      <w:r>
        <w:rPr>
          <w:rFonts w:hint="eastAsia" w:ascii="Times New Roman"/>
          <w:lang w:eastAsia="zh-CN"/>
        </w:rPr>
        <w:t>次</w:t>
      </w:r>
      <w:r>
        <w:rPr>
          <w:rFonts w:hint="eastAsia" w:ascii="Times New Roman"/>
        </w:rPr>
        <w:t>~3</w:t>
      </w:r>
      <w:r>
        <w:rPr>
          <w:rFonts w:ascii="Times New Roman"/>
        </w:rPr>
        <w:t>次</w:t>
      </w:r>
      <w:r>
        <w:rPr>
          <w:rFonts w:hint="eastAsia" w:ascii="Times New Roman"/>
        </w:rPr>
        <w:t>。</w:t>
      </w:r>
    </w:p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>7.5  播种</w:t>
      </w:r>
    </w:p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>7.5.1  播期</w:t>
      </w:r>
    </w:p>
    <w:p>
      <w:pPr>
        <w:pStyle w:val="52"/>
        <w:tabs>
          <w:tab w:val="center" w:pos="4201"/>
          <w:tab w:val="right" w:leader="dot" w:pos="9298"/>
        </w:tabs>
        <w:rPr>
          <w:rFonts w:ascii="Times New Roman"/>
        </w:rPr>
      </w:pPr>
      <w:r>
        <w:rPr>
          <w:rFonts w:hint="eastAsia" w:ascii="Times New Roman"/>
        </w:rPr>
        <w:t>根据大棚</w:t>
      </w:r>
      <w:r>
        <w:rPr>
          <w:rFonts w:ascii="Times New Roman"/>
        </w:rPr>
        <w:t>的覆盖保温方式不同，</w:t>
      </w:r>
      <w:r>
        <w:rPr>
          <w:rFonts w:hint="eastAsia" w:ascii="Times New Roman"/>
        </w:rPr>
        <w:t>番茄</w:t>
      </w:r>
      <w:r>
        <w:rPr>
          <w:rFonts w:ascii="Times New Roman"/>
        </w:rPr>
        <w:t>播期也不同，</w:t>
      </w:r>
      <w:r>
        <w:rPr>
          <w:rFonts w:hint="eastAsia" w:ascii="Times New Roman"/>
        </w:rPr>
        <w:t>单层覆盖的2月上旬，双层覆盖的1月下旬，多层覆盖的1月上旬。</w:t>
      </w:r>
    </w:p>
    <w:p>
      <w:pPr>
        <w:pStyle w:val="52"/>
        <w:tabs>
          <w:tab w:val="center" w:pos="4201"/>
          <w:tab w:val="right" w:leader="dot" w:pos="9298"/>
        </w:tabs>
        <w:rPr>
          <w:rFonts w:ascii="Times New Roman"/>
        </w:rPr>
      </w:pPr>
      <w:r>
        <w:rPr>
          <w:rFonts w:hint="eastAsia" w:ascii="Times New Roman"/>
        </w:rPr>
        <w:t>菜豆在6月底前播种。</w:t>
      </w:r>
    </w:p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>7.5.2  播种量</w:t>
      </w:r>
    </w:p>
    <w:p>
      <w:pPr>
        <w:pStyle w:val="52"/>
        <w:tabs>
          <w:tab w:val="center" w:pos="4201"/>
          <w:tab w:val="right" w:leader="dot" w:pos="9298"/>
        </w:tabs>
        <w:rPr>
          <w:rFonts w:ascii="Times New Roman"/>
        </w:rPr>
      </w:pPr>
      <w:r>
        <w:rPr>
          <w:rFonts w:hint="eastAsia"/>
        </w:rPr>
        <w:t>番茄</w:t>
      </w:r>
      <w:r>
        <w:rPr>
          <w:rFonts w:ascii="Times New Roman"/>
        </w:rPr>
        <w:t>每666.7m</w:t>
      </w:r>
      <w:r>
        <w:rPr>
          <w:rFonts w:ascii="Times New Roman"/>
          <w:vertAlign w:val="superscript"/>
        </w:rPr>
        <w:t>2</w:t>
      </w:r>
      <w:r>
        <w:rPr>
          <w:rFonts w:ascii="Times New Roman"/>
        </w:rPr>
        <w:t>栽培面积的用种量</w:t>
      </w:r>
      <w:r>
        <w:rPr>
          <w:rFonts w:hint="eastAsia" w:ascii="Times New Roman"/>
        </w:rPr>
        <w:t>10</w:t>
      </w:r>
      <w:r>
        <w:rPr>
          <w:rFonts w:hint="eastAsia" w:ascii="Times New Roman"/>
          <w:lang w:val="en-US" w:eastAsia="zh-CN"/>
        </w:rPr>
        <w:t>g</w:t>
      </w:r>
      <w:r>
        <w:rPr>
          <w:rFonts w:hint="eastAsia" w:ascii="Times New Roman"/>
        </w:rPr>
        <w:t>~12</w:t>
      </w:r>
      <w:r>
        <w:rPr>
          <w:rFonts w:ascii="Times New Roman"/>
        </w:rPr>
        <w:t>g</w:t>
      </w:r>
      <w:r>
        <w:rPr>
          <w:rFonts w:hint="eastAsia" w:ascii="Times New Roman"/>
        </w:rPr>
        <w:t>，</w:t>
      </w:r>
      <w:r>
        <w:rPr>
          <w:rFonts w:hint="eastAsia" w:hAnsi="宋体"/>
          <w:szCs w:val="21"/>
        </w:rPr>
        <w:t>菜豆</w:t>
      </w:r>
      <w:r>
        <w:rPr>
          <w:rFonts w:hint="eastAsia" w:ascii="Times New Roman"/>
        </w:rPr>
        <w:t>1.5kg左右，根据种子大小不同而不同。</w:t>
      </w:r>
    </w:p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>7.5.3  播种方法</w:t>
      </w:r>
    </w:p>
    <w:p>
      <w:pPr>
        <w:pStyle w:val="52"/>
        <w:tabs>
          <w:tab w:val="center" w:pos="4201"/>
          <w:tab w:val="right" w:leader="dot" w:pos="9298"/>
        </w:tabs>
        <w:rPr>
          <w:rFonts w:ascii="Times New Roman"/>
        </w:rPr>
      </w:pPr>
      <w:r>
        <w:rPr>
          <w:rFonts w:hint="eastAsia" w:ascii="Times New Roman"/>
        </w:rPr>
        <w:t>番茄</w:t>
      </w:r>
      <w:r>
        <w:rPr>
          <w:rFonts w:ascii="Times New Roman"/>
        </w:rPr>
        <w:t>播前用沙子拌种，</w:t>
      </w:r>
      <w:r>
        <w:rPr>
          <w:rFonts w:hint="eastAsia" w:ascii="Times New Roman"/>
        </w:rPr>
        <w:t>用开水打透育苗箱床土底水，待水渗下后，铺撒0.5cm厚的药土（多菌灵拌土），然后播种，播后覆盖1cm药土，最后</w:t>
      </w:r>
      <w:r>
        <w:rPr>
          <w:rFonts w:ascii="Times New Roman"/>
        </w:rPr>
        <w:t>苗床覆盖不织布，70%番茄苗出土后揭去不织布</w:t>
      </w:r>
      <w:r>
        <w:rPr>
          <w:rFonts w:hint="eastAsia" w:ascii="Times New Roman"/>
        </w:rPr>
        <w:t>。</w:t>
      </w:r>
    </w:p>
    <w:p>
      <w:pPr>
        <w:pStyle w:val="52"/>
        <w:tabs>
          <w:tab w:val="center" w:pos="4201"/>
          <w:tab w:val="right" w:leader="dot" w:pos="9298"/>
        </w:tabs>
      </w:pPr>
      <w:r>
        <w:rPr>
          <w:rFonts w:hint="eastAsia" w:ascii="Times New Roman"/>
        </w:rPr>
        <w:t>菜豆采用直播。</w:t>
      </w:r>
    </w:p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>7.6  苗期管理</w:t>
      </w:r>
    </w:p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>7.6.1  温度</w:t>
      </w:r>
    </w:p>
    <w:p>
      <w:pPr>
        <w:pStyle w:val="52"/>
        <w:tabs>
          <w:tab w:val="center" w:pos="4201"/>
          <w:tab w:val="right" w:leader="dot" w:pos="9298"/>
        </w:tabs>
        <w:rPr>
          <w:rFonts w:ascii="Times New Roman"/>
        </w:rPr>
      </w:pPr>
      <w:r>
        <w:rPr>
          <w:rFonts w:ascii="Times New Roman"/>
        </w:rPr>
        <w:t>苗期适宜温度管理指标见表</w:t>
      </w:r>
      <w:r>
        <w:rPr>
          <w:rFonts w:hint="eastAsia" w:ascii="Times New Roman"/>
        </w:rPr>
        <w:t>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2940" w:firstLineChars="1400"/>
        <w:textAlignment w:val="auto"/>
      </w:pPr>
      <w:r>
        <w:rPr>
          <w:rFonts w:hint="eastAsia" w:ascii="黑体" w:hAnsi="黑体" w:eastAsia="黑体" w:cs="黑体"/>
        </w:rPr>
        <w:t>表1  番茄育苗各时期温度管理指标</w:t>
      </w:r>
      <w:r>
        <w:rPr>
          <w:rFonts w:hint="eastAsia"/>
        </w:rPr>
        <w:t xml:space="preserve">  </w:t>
      </w:r>
    </w:p>
    <w:tbl>
      <w:tblPr>
        <w:tblStyle w:val="29"/>
        <w:tblW w:w="9330" w:type="dxa"/>
        <w:tblInd w:w="12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0"/>
        <w:gridCol w:w="3110"/>
        <w:gridCol w:w="31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时期</w:t>
            </w:r>
          </w:p>
        </w:tc>
        <w:tc>
          <w:tcPr>
            <w:tcW w:w="3110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日温（℃）</w:t>
            </w:r>
          </w:p>
        </w:tc>
        <w:tc>
          <w:tcPr>
            <w:tcW w:w="3110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夜温（℃）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3110" w:type="dxa"/>
            <w:tcBorders>
              <w:top w:val="single" w:color="auto" w:sz="8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播种~出苗前</w:t>
            </w:r>
          </w:p>
        </w:tc>
        <w:tc>
          <w:tcPr>
            <w:tcW w:w="3110" w:type="dxa"/>
            <w:tcBorders>
              <w:top w:val="single" w:color="auto" w:sz="8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25~28</w:t>
            </w:r>
          </w:p>
        </w:tc>
        <w:tc>
          <w:tcPr>
            <w:tcW w:w="3110" w:type="dxa"/>
            <w:tcBorders>
              <w:top w:val="single" w:color="auto" w:sz="8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0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出苗后~移苗前</w:t>
            </w:r>
          </w:p>
        </w:tc>
        <w:tc>
          <w:tcPr>
            <w:tcW w:w="3110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20~25</w:t>
            </w:r>
          </w:p>
        </w:tc>
        <w:tc>
          <w:tcPr>
            <w:tcW w:w="3110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17~18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0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移苗后~缓苗前</w:t>
            </w:r>
          </w:p>
        </w:tc>
        <w:tc>
          <w:tcPr>
            <w:tcW w:w="3110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25~28</w:t>
            </w:r>
          </w:p>
        </w:tc>
        <w:tc>
          <w:tcPr>
            <w:tcW w:w="3110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15~17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0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缓苗后~炼苗前</w:t>
            </w:r>
          </w:p>
        </w:tc>
        <w:tc>
          <w:tcPr>
            <w:tcW w:w="3110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25~28</w:t>
            </w:r>
          </w:p>
        </w:tc>
        <w:tc>
          <w:tcPr>
            <w:tcW w:w="3110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12~15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0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定植前幼苗锻炼</w:t>
            </w:r>
          </w:p>
        </w:tc>
        <w:tc>
          <w:tcPr>
            <w:tcW w:w="3110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16~18</w:t>
            </w:r>
          </w:p>
        </w:tc>
        <w:tc>
          <w:tcPr>
            <w:tcW w:w="3110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7~8</w:t>
            </w:r>
          </w:p>
        </w:tc>
      </w:tr>
    </w:tbl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>7.6.2  移苗</w:t>
      </w:r>
    </w:p>
    <w:p>
      <w:pPr>
        <w:pStyle w:val="52"/>
        <w:tabs>
          <w:tab w:val="center" w:pos="4201"/>
          <w:tab w:val="right" w:leader="dot" w:pos="9298"/>
        </w:tabs>
        <w:rPr>
          <w:rFonts w:ascii="Times New Roman"/>
        </w:rPr>
      </w:pPr>
      <w:r>
        <w:rPr>
          <w:rFonts w:hint="eastAsia" w:ascii="Times New Roman"/>
        </w:rPr>
        <w:t>播种后20d~25d，一叶一心</w:t>
      </w:r>
      <w:r>
        <w:rPr>
          <w:rFonts w:ascii="Times New Roman"/>
        </w:rPr>
        <w:t>时移栽到育苗钵中</w:t>
      </w:r>
      <w:r>
        <w:rPr>
          <w:rFonts w:hint="eastAsia" w:ascii="Times New Roman"/>
        </w:rPr>
        <w:t>。</w:t>
      </w:r>
    </w:p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>7.6.3  湿度</w:t>
      </w:r>
    </w:p>
    <w:p>
      <w:pPr>
        <w:pStyle w:val="52"/>
        <w:tabs>
          <w:tab w:val="center" w:pos="4201"/>
          <w:tab w:val="right" w:leader="dot" w:pos="9298"/>
        </w:tabs>
        <w:rPr>
          <w:rFonts w:ascii="Times New Roman"/>
        </w:rPr>
      </w:pPr>
      <w:r>
        <w:rPr>
          <w:rFonts w:hint="eastAsia" w:ascii="Times New Roman"/>
        </w:rPr>
        <w:t>采用洒水、弥雾等措施增加设施内的空气湿度，从子叶展平到成苗期，设施内空气湿度应保持在50%~60%，炼苗期降低至40%左右。</w:t>
      </w:r>
    </w:p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>7.6.4  光照</w:t>
      </w:r>
    </w:p>
    <w:p>
      <w:pPr>
        <w:pStyle w:val="52"/>
        <w:tabs>
          <w:tab w:val="center" w:pos="4201"/>
          <w:tab w:val="right" w:leader="dot" w:pos="9298"/>
        </w:tabs>
        <w:rPr>
          <w:rFonts w:ascii="Times New Roman"/>
          <w:color w:val="FF0000"/>
        </w:rPr>
      </w:pPr>
      <w:r>
        <w:rPr>
          <w:rFonts w:hint="eastAsia" w:ascii="Times New Roman"/>
        </w:rPr>
        <w:t>光照时数10</w:t>
      </w:r>
      <w:r>
        <w:rPr>
          <w:rFonts w:hint="eastAsia" w:ascii="Times New Roman"/>
          <w:lang w:val="en-US" w:eastAsia="zh-CN"/>
        </w:rPr>
        <w:t>h</w:t>
      </w:r>
      <w:r>
        <w:rPr>
          <w:rFonts w:ascii="Times New Roman"/>
        </w:rPr>
        <w:t>~1</w:t>
      </w:r>
      <w:r>
        <w:rPr>
          <w:rFonts w:hint="eastAsia" w:ascii="Times New Roman"/>
        </w:rPr>
        <w:t>2</w:t>
      </w:r>
      <w:r>
        <w:rPr>
          <w:rFonts w:ascii="Times New Roman"/>
        </w:rPr>
        <w:t>h</w:t>
      </w:r>
      <w:r>
        <w:rPr>
          <w:rFonts w:hint="eastAsia" w:ascii="Times New Roman"/>
        </w:rPr>
        <w:t>，平均光强宜保持在30000Lux以上。</w:t>
      </w:r>
    </w:p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>7.6.5  水肥</w:t>
      </w:r>
    </w:p>
    <w:p>
      <w:pPr>
        <w:pStyle w:val="52"/>
        <w:tabs>
          <w:tab w:val="center" w:pos="4201"/>
          <w:tab w:val="right" w:leader="dot" w:pos="9298"/>
        </w:tabs>
        <w:rPr>
          <w:rFonts w:ascii="Times New Roman"/>
        </w:rPr>
      </w:pPr>
      <w:r>
        <w:rPr>
          <w:rFonts w:ascii="Times New Roman"/>
        </w:rPr>
        <w:t>以控为主，促控结合</w:t>
      </w:r>
      <w:r>
        <w:rPr>
          <w:rFonts w:hint="eastAsia" w:ascii="Times New Roman"/>
        </w:rPr>
        <w:t>。子叶平展期至第</w:t>
      </w:r>
      <w:r>
        <w:rPr>
          <w:rFonts w:hint="eastAsia" w:ascii="Times New Roman"/>
        </w:rPr>
        <w:tab/>
      </w:r>
      <w:r>
        <w:rPr>
          <w:rFonts w:hint="eastAsia" w:ascii="Times New Roman"/>
        </w:rPr>
        <w:t>1片真叶生长期，基质相对含水量保持在50%~60%，成苗期为50%~80%，炼苗期为45%~55%，强光控水降温炼苗，如叶片萎蔫可适量叶面喷雾。当叶片瘦小、生长缓慢、叶色淡黄时，可用0.5%的磷酸二铵进行叶面喷施1</w:t>
      </w:r>
      <w:r>
        <w:rPr>
          <w:rFonts w:hint="eastAsia" w:ascii="Times New Roman"/>
          <w:lang w:eastAsia="zh-CN"/>
        </w:rPr>
        <w:t>次</w:t>
      </w:r>
      <w:r>
        <w:rPr>
          <w:rFonts w:hint="eastAsia" w:ascii="Times New Roman"/>
        </w:rPr>
        <w:t>~2次；若植株生长过旺，可叶面喷施0.2%的磷酸二氢钾1</w:t>
      </w:r>
      <w:r>
        <w:rPr>
          <w:rFonts w:hint="eastAsia" w:ascii="Times New Roman"/>
          <w:lang w:eastAsia="zh-CN"/>
        </w:rPr>
        <w:t>次</w:t>
      </w:r>
      <w:r>
        <w:rPr>
          <w:rFonts w:hint="eastAsia" w:ascii="Times New Roman"/>
        </w:rPr>
        <w:t>~2次。</w:t>
      </w:r>
    </w:p>
    <w:p>
      <w:pPr>
        <w:pStyle w:val="53"/>
        <w:numPr>
          <w:ilvl w:val="1"/>
          <w:numId w:val="0"/>
        </w:numPr>
        <w:spacing w:before="312" w:beforeLines="100" w:after="312" w:afterLines="100"/>
        <w:ind w:leftChars="0"/>
        <w:rPr>
          <w:rFonts w:hint="eastAsia"/>
          <w:szCs w:val="22"/>
        </w:rPr>
      </w:pPr>
      <w:r>
        <w:rPr>
          <w:rFonts w:hint="eastAsia"/>
          <w:szCs w:val="22"/>
        </w:rPr>
        <w:t>8  定植</w:t>
      </w:r>
    </w:p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>8.1  扣棚</w:t>
      </w:r>
    </w:p>
    <w:p>
      <w:pPr>
        <w:pStyle w:val="52"/>
        <w:tabs>
          <w:tab w:val="center" w:pos="4201"/>
          <w:tab w:val="right" w:leader="dot" w:pos="9298"/>
        </w:tabs>
        <w:rPr>
          <w:rFonts w:ascii="Times New Roman"/>
        </w:rPr>
      </w:pPr>
      <w:r>
        <w:rPr>
          <w:rFonts w:ascii="Times New Roman"/>
        </w:rPr>
        <w:t>定植前</w:t>
      </w:r>
      <w:r>
        <w:rPr>
          <w:rFonts w:hint="eastAsia" w:ascii="Times New Roman"/>
        </w:rPr>
        <w:t>一个月</w:t>
      </w:r>
      <w:r>
        <w:rPr>
          <w:rFonts w:ascii="Times New Roman"/>
        </w:rPr>
        <w:t>扣棚</w:t>
      </w:r>
      <w:r>
        <w:rPr>
          <w:rFonts w:hint="eastAsia" w:ascii="Times New Roman"/>
        </w:rPr>
        <w:t>，烤地增温。</w:t>
      </w:r>
    </w:p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>8.2  整地施肥</w:t>
      </w:r>
    </w:p>
    <w:p>
      <w:pPr>
        <w:pStyle w:val="52"/>
        <w:tabs>
          <w:tab w:val="center" w:pos="4201"/>
          <w:tab w:val="right" w:leader="dot" w:pos="9298"/>
        </w:tabs>
        <w:rPr>
          <w:rFonts w:ascii="Times New Roman"/>
        </w:rPr>
      </w:pPr>
      <w:r>
        <w:rPr>
          <w:rFonts w:hint="eastAsia" w:ascii="Times New Roman"/>
        </w:rPr>
        <w:t>采用高垄或高畦栽培，垄作，</w:t>
      </w:r>
      <w:r>
        <w:rPr>
          <w:rFonts w:ascii="Times New Roman"/>
        </w:rPr>
        <w:t>垄宽</w:t>
      </w:r>
      <w:r>
        <w:rPr>
          <w:rFonts w:hint="eastAsia" w:ascii="Times New Roman"/>
        </w:rPr>
        <w:t>60</w:t>
      </w:r>
      <w:r>
        <w:rPr>
          <w:rFonts w:ascii="Times New Roman"/>
        </w:rPr>
        <w:t>cm</w:t>
      </w:r>
      <w:r>
        <w:rPr>
          <w:rFonts w:hint="eastAsia" w:ascii="Times New Roman"/>
          <w:lang w:val="en-US" w:eastAsia="zh-CN"/>
        </w:rPr>
        <w:t>~</w:t>
      </w:r>
      <w:r>
        <w:rPr>
          <w:rFonts w:ascii="Times New Roman"/>
        </w:rPr>
        <w:t>6</w:t>
      </w:r>
      <w:r>
        <w:rPr>
          <w:rFonts w:hint="eastAsia" w:ascii="Times New Roman"/>
        </w:rPr>
        <w:t>5</w:t>
      </w:r>
      <w:r>
        <w:rPr>
          <w:rFonts w:ascii="Times New Roman"/>
        </w:rPr>
        <w:t>cm，</w:t>
      </w:r>
      <w:r>
        <w:rPr>
          <w:rFonts w:hint="eastAsia" w:ascii="Times New Roman"/>
        </w:rPr>
        <w:t>畦作，畦宽1m~1.2</w:t>
      </w:r>
      <w:r>
        <w:rPr>
          <w:rFonts w:ascii="Times New Roman"/>
        </w:rPr>
        <w:t>m</w:t>
      </w:r>
      <w:r>
        <w:rPr>
          <w:rFonts w:hint="eastAsia" w:ascii="Times New Roman"/>
        </w:rPr>
        <w:t>，地膜覆盖采用软管滴灌。</w:t>
      </w:r>
      <w:r>
        <w:rPr>
          <w:rFonts w:ascii="Times New Roman"/>
        </w:rPr>
        <w:t>结合整地普施腐熟有机肥，每666.7m</w:t>
      </w:r>
      <w:r>
        <w:rPr>
          <w:rFonts w:ascii="Times New Roman"/>
          <w:vertAlign w:val="superscript"/>
        </w:rPr>
        <w:t>2</w:t>
      </w:r>
      <w:r>
        <w:rPr>
          <w:rFonts w:ascii="Times New Roman"/>
        </w:rPr>
        <w:t>施入5000</w:t>
      </w:r>
      <w:r>
        <w:rPr>
          <w:rFonts w:hint="eastAsia" w:ascii="Times New Roman"/>
        </w:rPr>
        <w:t>kg</w:t>
      </w:r>
      <w:r>
        <w:rPr>
          <w:rFonts w:ascii="Times New Roman"/>
        </w:rPr>
        <w:t>~10000kg</w:t>
      </w:r>
      <w:r>
        <w:rPr>
          <w:rFonts w:hint="eastAsia" w:ascii="Times New Roman"/>
        </w:rPr>
        <w:t>，磷酸二铵25kg，</w:t>
      </w:r>
      <w:r>
        <w:rPr>
          <w:rFonts w:ascii="Times New Roman"/>
        </w:rPr>
        <w:t>硫酸钾15kg</w:t>
      </w:r>
      <w:r>
        <w:rPr>
          <w:rFonts w:hint="eastAsia" w:ascii="Times New Roman"/>
        </w:rPr>
        <w:t>，肥料使用应符合</w:t>
      </w:r>
      <w:r>
        <w:t>NY/T 496</w:t>
      </w:r>
      <w:r>
        <w:rPr>
          <w:rFonts w:hint="eastAsia"/>
        </w:rPr>
        <w:t>的规定</w:t>
      </w:r>
      <w:r>
        <w:rPr>
          <w:rFonts w:hint="eastAsia" w:ascii="Times New Roman"/>
        </w:rPr>
        <w:t>。</w:t>
      </w:r>
    </w:p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>8.3  定植</w:t>
      </w:r>
    </w:p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>8.3.1  定植时间</w:t>
      </w:r>
    </w:p>
    <w:p>
      <w:pPr>
        <w:pStyle w:val="52"/>
        <w:tabs>
          <w:tab w:val="center" w:pos="4201"/>
          <w:tab w:val="right" w:leader="dot" w:pos="9298"/>
        </w:tabs>
        <w:rPr>
          <w:rFonts w:ascii="Times New Roman"/>
        </w:rPr>
      </w:pPr>
      <w:r>
        <w:rPr>
          <w:rFonts w:hint="eastAsia" w:ascii="Times New Roman"/>
        </w:rPr>
        <w:t>大棚内</w:t>
      </w:r>
      <w:r>
        <w:rPr>
          <w:rFonts w:ascii="Times New Roman"/>
        </w:rPr>
        <w:t>当10cm土层地温稳定在10℃左右，气温</w:t>
      </w:r>
      <w:r>
        <w:rPr>
          <w:rFonts w:hint="eastAsia" w:ascii="Times New Roman"/>
        </w:rPr>
        <w:t>高</w:t>
      </w:r>
      <w:r>
        <w:rPr>
          <w:rFonts w:ascii="Times New Roman"/>
        </w:rPr>
        <w:t>于5℃以上，并稳定通过5</w:t>
      </w:r>
      <w:r>
        <w:rPr>
          <w:rFonts w:hint="eastAsia" w:ascii="Times New Roman"/>
        </w:rPr>
        <w:t>d</w:t>
      </w:r>
      <w:r>
        <w:rPr>
          <w:rFonts w:ascii="Times New Roman"/>
        </w:rPr>
        <w:t>~7d，</w:t>
      </w:r>
      <w:r>
        <w:rPr>
          <w:rFonts w:hint="eastAsia" w:ascii="Times New Roman"/>
          <w:lang w:eastAsia="zh-CN"/>
        </w:rPr>
        <w:t>于</w:t>
      </w:r>
      <w:r>
        <w:rPr>
          <w:rFonts w:ascii="Times New Roman"/>
        </w:rPr>
        <w:t>晴天上午进行</w:t>
      </w:r>
      <w:r>
        <w:rPr>
          <w:rFonts w:hint="eastAsia" w:ascii="Times New Roman"/>
        </w:rPr>
        <w:t>。</w:t>
      </w:r>
    </w:p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>8.3.2  方法和密度</w:t>
      </w:r>
    </w:p>
    <w:p>
      <w:pPr>
        <w:pStyle w:val="52"/>
        <w:tabs>
          <w:tab w:val="center" w:pos="4201"/>
          <w:tab w:val="right" w:leader="dot" w:pos="9298"/>
        </w:tabs>
        <w:rPr>
          <w:rFonts w:ascii="Times New Roman"/>
        </w:rPr>
      </w:pPr>
      <w:r>
        <w:rPr>
          <w:rFonts w:hint="eastAsia" w:ascii="Times New Roman"/>
        </w:rPr>
        <w:t>株距30</w:t>
      </w:r>
      <w:r>
        <w:rPr>
          <w:rFonts w:ascii="Times New Roman"/>
        </w:rPr>
        <w:t>cm~3</w:t>
      </w:r>
      <w:r>
        <w:rPr>
          <w:rFonts w:hint="eastAsia" w:ascii="Times New Roman"/>
        </w:rPr>
        <w:t>5</w:t>
      </w:r>
      <w:r>
        <w:rPr>
          <w:rFonts w:ascii="Times New Roman"/>
        </w:rPr>
        <w:t>cm</w:t>
      </w:r>
      <w:r>
        <w:rPr>
          <w:rFonts w:hint="eastAsia" w:ascii="Times New Roman"/>
        </w:rPr>
        <w:t>，行距60cm，</w:t>
      </w:r>
      <w:r>
        <w:rPr>
          <w:rFonts w:ascii="Times New Roman"/>
        </w:rPr>
        <w:t>定植深度为6</w:t>
      </w:r>
      <w:r>
        <w:rPr>
          <w:rFonts w:hint="eastAsia" w:ascii="Times New Roman"/>
        </w:rPr>
        <w:t>cm</w:t>
      </w:r>
      <w:r>
        <w:rPr>
          <w:rFonts w:hint="eastAsia" w:ascii="Times New Roman"/>
          <w:lang w:val="en-US" w:eastAsia="zh-CN"/>
        </w:rPr>
        <w:t>~</w:t>
      </w:r>
      <w:r>
        <w:rPr>
          <w:rFonts w:ascii="Times New Roman"/>
        </w:rPr>
        <w:t>8cm</w:t>
      </w:r>
      <w:r>
        <w:rPr>
          <w:rFonts w:hint="eastAsia" w:ascii="Times New Roman"/>
        </w:rPr>
        <w:t>，每667m</w:t>
      </w:r>
      <w:r>
        <w:rPr>
          <w:rFonts w:hint="eastAsia" w:ascii="Times New Roman"/>
          <w:vertAlign w:val="superscript"/>
        </w:rPr>
        <w:t>2</w:t>
      </w:r>
      <w:r>
        <w:rPr>
          <w:rFonts w:hint="eastAsia" w:ascii="Times New Roman"/>
        </w:rPr>
        <w:t>保苗2800</w:t>
      </w:r>
      <w:r>
        <w:rPr>
          <w:rFonts w:ascii="Times New Roman"/>
        </w:rPr>
        <w:t>株</w:t>
      </w:r>
      <w:r>
        <w:rPr>
          <w:rFonts w:hint="eastAsia" w:ascii="Times New Roman"/>
        </w:rPr>
        <w:t>~3200</w:t>
      </w:r>
      <w:r>
        <w:rPr>
          <w:rFonts w:ascii="Times New Roman"/>
        </w:rPr>
        <w:t>株</w:t>
      </w:r>
      <w:r>
        <w:rPr>
          <w:rFonts w:hint="eastAsia" w:ascii="Times New Roman"/>
        </w:rPr>
        <w:t>。</w:t>
      </w:r>
    </w:p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>8.4  定植后管理</w:t>
      </w:r>
    </w:p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>8.4.1  温度</w:t>
      </w:r>
    </w:p>
    <w:p>
      <w:pPr>
        <w:pStyle w:val="52"/>
        <w:tabs>
          <w:tab w:val="center" w:pos="4201"/>
          <w:tab w:val="right" w:leader="dot" w:pos="9298"/>
        </w:tabs>
        <w:rPr>
          <w:rFonts w:ascii="Times New Roman"/>
        </w:rPr>
      </w:pPr>
      <w:r>
        <w:rPr>
          <w:rFonts w:hint="eastAsia" w:ascii="Times New Roman"/>
        </w:rPr>
        <w:t>定植后各阶段</w:t>
      </w:r>
      <w:r>
        <w:rPr>
          <w:rFonts w:ascii="Times New Roman"/>
        </w:rPr>
        <w:t>温度管理指标见表</w:t>
      </w:r>
      <w:r>
        <w:rPr>
          <w:rFonts w:hint="eastAsia" w:ascii="Times New Roman"/>
        </w:rPr>
        <w:t>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="157" w:afterLines="50"/>
        <w:jc w:val="center"/>
        <w:textAlignment w:val="auto"/>
        <w:rPr>
          <w:rFonts w:hint="default" w:eastAsia="黑体"/>
          <w:color w:val="FF0000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18"/>
        </w:rPr>
        <w:t>表2  番茄定植后温度管理指标</w:t>
      </w:r>
      <w:r>
        <w:rPr>
          <w:rFonts w:hint="eastAsia" w:ascii="黑体" w:hAnsi="黑体" w:eastAsia="黑体" w:cs="黑体"/>
          <w:color w:val="FF0000"/>
          <w:szCs w:val="18"/>
          <w:lang w:val="en-US" w:eastAsia="zh-CN"/>
        </w:rPr>
        <w:t xml:space="preserve">   </w:t>
      </w:r>
    </w:p>
    <w:tbl>
      <w:tblPr>
        <w:tblStyle w:val="29"/>
        <w:tblW w:w="9345" w:type="dxa"/>
        <w:tblInd w:w="10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1942"/>
        <w:gridCol w:w="1943"/>
        <w:gridCol w:w="267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时期</w:t>
            </w:r>
          </w:p>
        </w:tc>
        <w:tc>
          <w:tcPr>
            <w:tcW w:w="38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气温（℃）</w:t>
            </w:r>
          </w:p>
        </w:tc>
        <w:tc>
          <w:tcPr>
            <w:tcW w:w="267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地温（℃）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昼</w:t>
            </w:r>
          </w:p>
        </w:tc>
        <w:tc>
          <w:tcPr>
            <w:tcW w:w="1943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夜</w:t>
            </w:r>
          </w:p>
        </w:tc>
        <w:tc>
          <w:tcPr>
            <w:tcW w:w="267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缓苗期</w:t>
            </w:r>
          </w:p>
        </w:tc>
        <w:tc>
          <w:tcPr>
            <w:tcW w:w="19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12℃以上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幼苗生长期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20~25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13~15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15℃以上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开花坐果期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22~30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15~18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20~23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果实膨大期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25~28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15~18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20~23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盛果期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25~28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15~18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20~23</w:t>
            </w:r>
          </w:p>
        </w:tc>
      </w:tr>
    </w:tbl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>8.4.2  肥水</w:t>
      </w:r>
    </w:p>
    <w:p>
      <w:pPr>
        <w:pStyle w:val="52"/>
        <w:tabs>
          <w:tab w:val="center" w:pos="4201"/>
          <w:tab w:val="right" w:leader="dot" w:pos="9298"/>
        </w:tabs>
        <w:rPr>
          <w:rFonts w:ascii="Times New Roman"/>
        </w:rPr>
      </w:pPr>
      <w:r>
        <w:rPr>
          <w:rFonts w:ascii="Times New Roman"/>
        </w:rPr>
        <w:t>浇</w:t>
      </w:r>
      <w:r>
        <w:rPr>
          <w:rFonts w:hint="eastAsia" w:ascii="Times New Roman"/>
        </w:rPr>
        <w:t>透</w:t>
      </w:r>
      <w:r>
        <w:rPr>
          <w:rFonts w:ascii="Times New Roman"/>
        </w:rPr>
        <w:t>缓苗水，第</w:t>
      </w:r>
      <w:r>
        <w:rPr>
          <w:rFonts w:hint="eastAsia" w:ascii="Times New Roman"/>
        </w:rPr>
        <w:t>一</w:t>
      </w:r>
      <w:r>
        <w:rPr>
          <w:rFonts w:ascii="Times New Roman"/>
        </w:rPr>
        <w:t>穗果</w:t>
      </w:r>
      <w:r>
        <w:rPr>
          <w:rFonts w:hint="eastAsia" w:ascii="Times New Roman"/>
        </w:rPr>
        <w:t>座果15d左右时</w:t>
      </w:r>
      <w:r>
        <w:rPr>
          <w:rFonts w:ascii="Times New Roman"/>
        </w:rPr>
        <w:t>，浇</w:t>
      </w:r>
      <w:r>
        <w:rPr>
          <w:rFonts w:hint="eastAsia" w:ascii="Times New Roman"/>
        </w:rPr>
        <w:t>第一次大水，</w:t>
      </w:r>
      <w:r>
        <w:rPr>
          <w:rFonts w:ascii="Times New Roman"/>
        </w:rPr>
        <w:t>第</w:t>
      </w:r>
      <w:r>
        <w:rPr>
          <w:rFonts w:hint="eastAsia" w:ascii="Times New Roman"/>
        </w:rPr>
        <w:t>一</w:t>
      </w:r>
      <w:r>
        <w:rPr>
          <w:rFonts w:ascii="Times New Roman"/>
        </w:rPr>
        <w:t>穗果</w:t>
      </w:r>
      <w:r>
        <w:rPr>
          <w:rFonts w:hint="eastAsia" w:ascii="Times New Roman"/>
        </w:rPr>
        <w:t>变</w:t>
      </w:r>
      <w:r>
        <w:rPr>
          <w:rFonts w:ascii="Times New Roman"/>
        </w:rPr>
        <w:t>白时，浇第</w:t>
      </w:r>
      <w:r>
        <w:rPr>
          <w:rFonts w:hint="eastAsia" w:ascii="Times New Roman"/>
        </w:rPr>
        <w:t>二</w:t>
      </w:r>
      <w:r>
        <w:rPr>
          <w:rFonts w:ascii="Times New Roman"/>
        </w:rPr>
        <w:t>次</w:t>
      </w:r>
      <w:r>
        <w:rPr>
          <w:rFonts w:hint="eastAsia" w:ascii="Times New Roman"/>
        </w:rPr>
        <w:t>大</w:t>
      </w:r>
      <w:r>
        <w:rPr>
          <w:rFonts w:ascii="Times New Roman"/>
        </w:rPr>
        <w:t xml:space="preserve">水。 </w:t>
      </w:r>
      <w:r>
        <w:rPr>
          <w:rFonts w:hint="eastAsia" w:ascii="Times New Roman"/>
        </w:rPr>
        <w:t>结合浇水追肥2次，高钾水溶性冲施肥10kg~20kg，肥料应符合</w:t>
      </w:r>
      <w:r>
        <w:t>NY/T 496</w:t>
      </w:r>
      <w:r>
        <w:rPr>
          <w:rFonts w:hint="eastAsia"/>
        </w:rPr>
        <w:t>的规定。</w:t>
      </w:r>
    </w:p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>8.4.3  老株更新套种菜豆</w:t>
      </w:r>
    </w:p>
    <w:p>
      <w:pPr>
        <w:pStyle w:val="52"/>
        <w:tabs>
          <w:tab w:val="center" w:pos="4201"/>
          <w:tab w:val="right" w:leader="dot" w:pos="9298"/>
        </w:tabs>
      </w:pPr>
      <w:r>
        <w:rPr>
          <w:rFonts w:hint="eastAsia" w:ascii="Times New Roman"/>
        </w:rPr>
        <w:t>番茄老株更新时期为当番茄第2穗果开始采收时，在第2穗果与3穗果间</w:t>
      </w:r>
      <w:r>
        <w:t>留杈</w:t>
      </w:r>
      <w:r>
        <w:rPr>
          <w:rFonts w:hint="eastAsia" w:ascii="Times New Roman"/>
        </w:rPr>
        <w:t>，</w:t>
      </w:r>
      <w:r>
        <w:t>留杈部位尽量一致；待侧枝生长到</w:t>
      </w:r>
      <w:r>
        <w:rPr>
          <w:rFonts w:hint="default" w:ascii="Times New Roman" w:hAnsi="Times New Roman" w:eastAsia="SimSun-ExtB" w:cs="Times New Roman"/>
        </w:rPr>
        <w:t>15cm</w:t>
      </w:r>
      <w:r>
        <w:t>左右时及</w:t>
      </w:r>
      <w:r>
        <w:rPr>
          <w:color w:val="000000" w:themeColor="text1"/>
        </w:rPr>
        <w:t>时</w:t>
      </w:r>
      <w:r>
        <w:rPr>
          <w:rFonts w:hint="eastAsia"/>
          <w:color w:val="000000" w:themeColor="text1"/>
        </w:rPr>
        <w:t>领架</w:t>
      </w:r>
      <w:r>
        <w:rPr>
          <w:rFonts w:hint="default" w:ascii="Times New Roman" w:hAnsi="Times New Roman" w:cs="Times New Roman"/>
        </w:rPr>
        <w:t>，侧枝留3穗果摘心，主枝3穗果采收后</w:t>
      </w:r>
      <w:r>
        <w:rPr>
          <w:rFonts w:hint="eastAsia"/>
        </w:rPr>
        <w:t>及时用剪子去除，侧枝完全代替主枝生长。</w:t>
      </w:r>
    </w:p>
    <w:p>
      <w:pPr>
        <w:pStyle w:val="52"/>
        <w:tabs>
          <w:tab w:val="center" w:pos="4201"/>
          <w:tab w:val="right" w:leader="dot" w:pos="9298"/>
        </w:tabs>
        <w:rPr>
          <w:rFonts w:ascii="Times New Roman"/>
        </w:rPr>
      </w:pPr>
      <w:r>
        <w:rPr>
          <w:rFonts w:hint="eastAsia"/>
        </w:rPr>
        <w:t>套种</w:t>
      </w:r>
      <w:r>
        <w:rPr>
          <w:rFonts w:hint="eastAsia" w:hAnsi="宋体"/>
          <w:szCs w:val="21"/>
        </w:rPr>
        <w:t>菜豆</w:t>
      </w:r>
      <w:r>
        <w:rPr>
          <w:rFonts w:hint="eastAsia" w:ascii="Times New Roman"/>
        </w:rPr>
        <w:t>在6月底前，每隔2株番茄在下一个2株番茄中间播种2粒</w:t>
      </w:r>
      <w:r>
        <w:rPr>
          <w:rFonts w:hint="eastAsia" w:hAnsi="宋体"/>
          <w:szCs w:val="21"/>
        </w:rPr>
        <w:t>菜豆</w:t>
      </w:r>
      <w:r>
        <w:rPr>
          <w:rFonts w:hint="eastAsia" w:ascii="Times New Roman"/>
        </w:rPr>
        <w:t>种子，</w:t>
      </w:r>
      <w:r>
        <w:rPr>
          <w:rFonts w:ascii="Times New Roman"/>
        </w:rPr>
        <w:t>播种后适量浇水，水渗下后覆土</w:t>
      </w:r>
    </w:p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>8.4.4  防落花落果</w:t>
      </w:r>
    </w:p>
    <w:p>
      <w:pPr>
        <w:pStyle w:val="52"/>
        <w:tabs>
          <w:tab w:val="center" w:pos="4201"/>
          <w:tab w:val="right" w:leader="dot" w:pos="9298"/>
        </w:tabs>
      </w:pPr>
      <w:r>
        <w:rPr>
          <w:rFonts w:hint="eastAsia" w:ascii="Times New Roman"/>
        </w:rPr>
        <w:t>用</w:t>
      </w:r>
      <w:r>
        <w:rPr>
          <w:rFonts w:hint="eastAsia" w:ascii="Times New Roman"/>
          <w:lang w:eastAsia="zh-CN"/>
        </w:rPr>
        <w:t>番茄灵（对</w:t>
      </w:r>
      <w:r>
        <w:rPr>
          <w:rFonts w:hint="eastAsia" w:ascii="Times New Roman"/>
          <w:lang w:val="en-US" w:eastAsia="zh-CN"/>
        </w:rPr>
        <w:t>-氯苯氧乙酸</w:t>
      </w:r>
      <w:r>
        <w:rPr>
          <w:rFonts w:hint="eastAsia" w:ascii="Times New Roman"/>
          <w:lang w:eastAsia="zh-CN"/>
        </w:rPr>
        <w:t>）</w:t>
      </w:r>
      <w:r>
        <w:rPr>
          <w:rFonts w:hint="eastAsia" w:ascii="Times New Roman"/>
        </w:rPr>
        <w:t>保花，浓度为20mg/L~30mg/L，药剂使用应符</w:t>
      </w:r>
      <w:r>
        <w:rPr>
          <w:rFonts w:hint="default" w:ascii="Times New Roman" w:hAnsi="Times New Roman" w:cs="Times New Roman"/>
        </w:rPr>
        <w:t>合NY/T 1276、GB/T 8321</w:t>
      </w:r>
      <w:r>
        <w:rPr>
          <w:rFonts w:hint="eastAsia" w:ascii="Times New Roman"/>
        </w:rPr>
        <w:t>的规定。</w:t>
      </w:r>
    </w:p>
    <w:p>
      <w:pPr>
        <w:pStyle w:val="53"/>
        <w:numPr>
          <w:ilvl w:val="1"/>
          <w:numId w:val="0"/>
        </w:numPr>
        <w:spacing w:before="312" w:beforeLines="100" w:after="312" w:afterLines="100"/>
        <w:ind w:leftChars="0"/>
        <w:rPr>
          <w:rFonts w:hint="eastAsia"/>
          <w:szCs w:val="22"/>
        </w:rPr>
      </w:pPr>
      <w:r>
        <w:rPr>
          <w:rFonts w:hint="eastAsia"/>
          <w:szCs w:val="22"/>
        </w:rPr>
        <w:t>9  病虫害防治</w:t>
      </w:r>
    </w:p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>9.1  农业综合防治</w:t>
      </w:r>
    </w:p>
    <w:p>
      <w:pPr>
        <w:pStyle w:val="52"/>
        <w:tabs>
          <w:tab w:val="center" w:pos="4201"/>
          <w:tab w:val="right" w:leader="dot" w:pos="9298"/>
        </w:tabs>
        <w:rPr>
          <w:rFonts w:ascii="Times New Roman"/>
        </w:rPr>
      </w:pPr>
      <w:r>
        <w:rPr>
          <w:rFonts w:ascii="Times New Roman"/>
        </w:rPr>
        <w:t>与非茄科作物实行三年以上轮作</w:t>
      </w:r>
      <w:r>
        <w:rPr>
          <w:rFonts w:hint="eastAsia" w:ascii="Times New Roman"/>
        </w:rPr>
        <w:t>。</w:t>
      </w:r>
    </w:p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>9.2  物理防治</w:t>
      </w:r>
    </w:p>
    <w:p>
      <w:pPr>
        <w:pStyle w:val="55"/>
        <w:numPr>
          <w:ilvl w:val="2"/>
          <w:numId w:val="0"/>
        </w:numPr>
        <w:spacing w:before="156" w:after="156"/>
        <w:ind w:firstLine="420" w:firstLineChars="200"/>
        <w:rPr>
          <w:rFonts w:ascii="Times New Roman" w:eastAsia="宋体"/>
          <w:szCs w:val="22"/>
        </w:rPr>
      </w:pPr>
      <w:r>
        <w:rPr>
          <w:rFonts w:hint="eastAsia" w:ascii="Times New Roman" w:eastAsia="宋体"/>
          <w:szCs w:val="22"/>
        </w:rPr>
        <w:t>可采用黄蓝板诱杀、银灰膜驱避、设施防护、设施消毒等方法。</w:t>
      </w:r>
    </w:p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>9.3  化学防治</w:t>
      </w:r>
    </w:p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>9.3.1  基本要求</w:t>
      </w:r>
    </w:p>
    <w:p>
      <w:pPr>
        <w:pStyle w:val="52"/>
        <w:tabs>
          <w:tab w:val="center" w:pos="4201"/>
          <w:tab w:val="right" w:leader="dot" w:pos="9298"/>
        </w:tabs>
        <w:rPr>
          <w:szCs w:val="21"/>
        </w:rPr>
      </w:pPr>
      <w:r>
        <w:rPr>
          <w:szCs w:val="21"/>
        </w:rPr>
        <w:t>使用药剂应符合</w:t>
      </w:r>
      <w:r>
        <w:t xml:space="preserve">NY/T </w:t>
      </w:r>
      <w:r>
        <w:rPr>
          <w:rFonts w:hint="eastAsia"/>
        </w:rPr>
        <w:t>127</w:t>
      </w:r>
      <w:r>
        <w:t>6</w:t>
      </w:r>
      <w:r>
        <w:rPr>
          <w:szCs w:val="21"/>
        </w:rPr>
        <w:t>、GB/T 8321的要求</w:t>
      </w:r>
      <w:r>
        <w:rPr>
          <w:rFonts w:hint="eastAsia"/>
          <w:szCs w:val="21"/>
        </w:rPr>
        <w:t>。</w:t>
      </w:r>
    </w:p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 xml:space="preserve">9.3.2  番茄病虫害防治   </w:t>
      </w:r>
    </w:p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>9.3.2.1  真菌性病害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kern w:val="0"/>
          <w:szCs w:val="22"/>
        </w:rPr>
      </w:pPr>
      <w:r>
        <w:rPr>
          <w:rFonts w:hint="eastAsia"/>
          <w:kern w:val="0"/>
          <w:szCs w:val="22"/>
        </w:rPr>
        <w:t>晚疫病：使用精甲霜灵·锰锌可湿性粉剂</w:t>
      </w:r>
      <w:r>
        <w:rPr>
          <w:rFonts w:hint="eastAsia"/>
          <w:kern w:val="0"/>
          <w:szCs w:val="22"/>
          <w:lang w:eastAsia="zh-CN"/>
        </w:rPr>
        <w:t>或</w:t>
      </w:r>
      <w:r>
        <w:rPr>
          <w:rFonts w:hint="eastAsia"/>
          <w:kern w:val="0"/>
          <w:szCs w:val="22"/>
        </w:rPr>
        <w:t>烯酰吗啉·锰锌可湿</w:t>
      </w:r>
      <w:r>
        <w:rPr>
          <w:rFonts w:hint="eastAsia"/>
          <w:kern w:val="0"/>
          <w:szCs w:val="22"/>
          <w:lang w:eastAsia="zh-CN"/>
        </w:rPr>
        <w:t>粉剂</w:t>
      </w:r>
      <w:r>
        <w:rPr>
          <w:rFonts w:hint="eastAsia"/>
          <w:kern w:val="0"/>
          <w:szCs w:val="22"/>
        </w:rPr>
        <w:t>叶面喷雾。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kern w:val="0"/>
          <w:szCs w:val="22"/>
        </w:rPr>
      </w:pPr>
      <w:r>
        <w:rPr>
          <w:rFonts w:hint="eastAsia"/>
          <w:kern w:val="0"/>
          <w:szCs w:val="22"/>
        </w:rPr>
        <w:t>早疫病：使用异菌脲可湿性粉剂叶面喷雾，发病初期喷药。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kern w:val="0"/>
          <w:szCs w:val="22"/>
        </w:rPr>
      </w:pPr>
      <w:r>
        <w:rPr>
          <w:rFonts w:hint="eastAsia"/>
          <w:kern w:val="0"/>
          <w:szCs w:val="22"/>
        </w:rPr>
        <w:t>灰霉病：使用啶酰菌胺+菌核净叶面喷雾或嘧霉安悬浮剂喷雾。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kern w:val="0"/>
          <w:szCs w:val="22"/>
        </w:rPr>
      </w:pPr>
      <w:r>
        <w:rPr>
          <w:rFonts w:hint="eastAsia"/>
          <w:kern w:val="0"/>
          <w:szCs w:val="22"/>
          <w:lang w:val="en-US" w:eastAsia="zh-CN"/>
        </w:rPr>
        <w:t>叶霉病：用力克悬浮剂或扑海因悬浮剂或可湿性粉剂喷雾。</w:t>
      </w:r>
    </w:p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>9.3.2.2  细菌性病害</w:t>
      </w:r>
    </w:p>
    <w:p>
      <w:pPr>
        <w:pStyle w:val="55"/>
        <w:numPr>
          <w:ilvl w:val="2"/>
          <w:numId w:val="0"/>
        </w:numPr>
        <w:spacing w:beforeLines="0" w:afterLines="0"/>
        <w:ind w:firstLine="420" w:firstLineChars="200"/>
        <w:rPr>
          <w:rFonts w:ascii="Times New Roman" w:eastAsia="宋体"/>
          <w:szCs w:val="22"/>
        </w:rPr>
      </w:pPr>
      <w:r>
        <w:rPr>
          <w:rFonts w:hint="eastAsia" w:ascii="Times New Roman" w:eastAsia="宋体"/>
          <w:szCs w:val="22"/>
        </w:rPr>
        <w:t>番茄溃疡病等可用噻菌铜悬浮剂喷雾</w:t>
      </w:r>
      <w:r>
        <w:rPr>
          <w:rFonts w:hint="eastAsia" w:eastAsia="宋体"/>
          <w:szCs w:val="22"/>
          <w:lang w:eastAsia="zh-CN"/>
        </w:rPr>
        <w:t>或</w:t>
      </w:r>
      <w:r>
        <w:rPr>
          <w:rFonts w:hint="eastAsia" w:ascii="Times New Roman" w:eastAsia="宋体"/>
          <w:szCs w:val="22"/>
        </w:rPr>
        <w:t>中生菌素水剂</w:t>
      </w:r>
      <w:r>
        <w:rPr>
          <w:rFonts w:hint="eastAsia" w:eastAsia="宋体"/>
          <w:szCs w:val="22"/>
          <w:lang w:eastAsia="zh-CN"/>
        </w:rPr>
        <w:t>或</w:t>
      </w:r>
      <w:r>
        <w:rPr>
          <w:rFonts w:hint="eastAsia" w:ascii="Times New Roman" w:eastAsia="宋体"/>
          <w:szCs w:val="22"/>
        </w:rPr>
        <w:t>辛菌胺醋酸盐水剂喷雾。</w:t>
      </w:r>
    </w:p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>9.3.2.3  虫害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kern w:val="0"/>
          <w:szCs w:val="22"/>
        </w:rPr>
      </w:pPr>
      <w:r>
        <w:rPr>
          <w:rFonts w:hint="eastAsia"/>
          <w:kern w:val="0"/>
          <w:szCs w:val="22"/>
          <w:lang w:eastAsia="zh-CN"/>
        </w:rPr>
        <w:t>防治</w:t>
      </w:r>
      <w:r>
        <w:rPr>
          <w:rFonts w:hint="eastAsia"/>
          <w:kern w:val="0"/>
          <w:szCs w:val="22"/>
        </w:rPr>
        <w:t>蚜虫</w:t>
      </w:r>
      <w:r>
        <w:rPr>
          <w:rFonts w:hint="eastAsia"/>
          <w:kern w:val="0"/>
          <w:szCs w:val="22"/>
          <w:lang w:eastAsia="zh-CN"/>
        </w:rPr>
        <w:t>，</w:t>
      </w:r>
      <w:r>
        <w:rPr>
          <w:rFonts w:hint="eastAsia"/>
          <w:kern w:val="0"/>
          <w:szCs w:val="22"/>
        </w:rPr>
        <w:t>使用苦参碱水剂喷雾或吡虫啉可湿性粉剂喷雾</w:t>
      </w:r>
      <w:r>
        <w:rPr>
          <w:rFonts w:hint="eastAsia"/>
          <w:kern w:val="0"/>
          <w:szCs w:val="22"/>
          <w:lang w:eastAsia="zh-CN"/>
        </w:rPr>
        <w:t>；防治</w:t>
      </w:r>
      <w:r>
        <w:rPr>
          <w:rFonts w:hint="eastAsia"/>
          <w:kern w:val="0"/>
          <w:szCs w:val="22"/>
        </w:rPr>
        <w:t>潜叶蝇</w:t>
      </w:r>
      <w:r>
        <w:rPr>
          <w:rFonts w:hint="eastAsia"/>
          <w:kern w:val="0"/>
          <w:szCs w:val="22"/>
          <w:lang w:eastAsia="zh-CN"/>
        </w:rPr>
        <w:t>，使</w:t>
      </w:r>
      <w:r>
        <w:rPr>
          <w:rFonts w:hint="eastAsia"/>
          <w:kern w:val="0"/>
          <w:szCs w:val="22"/>
        </w:rPr>
        <w:t>用灭蝇胺可湿性粉剂喷施</w:t>
      </w:r>
      <w:r>
        <w:rPr>
          <w:rFonts w:hint="eastAsia"/>
          <w:kern w:val="0"/>
          <w:szCs w:val="22"/>
          <w:lang w:eastAsia="zh-CN"/>
        </w:rPr>
        <w:t>；防治</w:t>
      </w:r>
      <w:r>
        <w:rPr>
          <w:rFonts w:hint="eastAsia"/>
          <w:kern w:val="0"/>
          <w:szCs w:val="22"/>
        </w:rPr>
        <w:t>白粉虱</w:t>
      </w:r>
      <w:r>
        <w:rPr>
          <w:rFonts w:hint="eastAsia"/>
          <w:kern w:val="0"/>
          <w:szCs w:val="22"/>
          <w:lang w:eastAsia="zh-CN"/>
        </w:rPr>
        <w:t>，</w:t>
      </w:r>
      <w:r>
        <w:rPr>
          <w:rFonts w:hint="eastAsia"/>
          <w:kern w:val="0"/>
          <w:szCs w:val="22"/>
        </w:rPr>
        <w:t>用阿维菌素乳油或吡虫啉可湿性粉剂喷雾</w:t>
      </w:r>
      <w:r>
        <w:rPr>
          <w:rFonts w:hint="eastAsia"/>
          <w:kern w:val="0"/>
          <w:szCs w:val="22"/>
          <w:lang w:eastAsia="zh-CN"/>
        </w:rPr>
        <w:t>。</w:t>
      </w:r>
    </w:p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>9.3.2.4  病毒病</w:t>
      </w:r>
    </w:p>
    <w:p>
      <w:pPr>
        <w:snapToGrid w:val="0"/>
        <w:ind w:firstLine="420" w:firstLineChars="200"/>
      </w:pPr>
      <w:r>
        <w:rPr>
          <w:rFonts w:hint="eastAsia"/>
        </w:rPr>
        <w:t>使用盐酸吗啉胍可湿性粉剂或用宁南霉素水剂</w:t>
      </w:r>
      <w:r>
        <w:rPr>
          <w:rFonts w:hint="eastAsia"/>
          <w:szCs w:val="22"/>
        </w:rPr>
        <w:t>叶面喷雾</w:t>
      </w:r>
      <w:r>
        <w:rPr>
          <w:rFonts w:hint="eastAsia"/>
        </w:rPr>
        <w:t>。</w:t>
      </w:r>
    </w:p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>9.3.3  菜豆病虫害防治</w:t>
      </w:r>
    </w:p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>9.3.3.1  真菌性病害</w:t>
      </w:r>
    </w:p>
    <w:p>
      <w:pPr>
        <w:ind w:firstLine="440" w:firstLineChars="200"/>
        <w:rPr>
          <w:rFonts w:eastAsia="汉仪书宋二简"/>
          <w:sz w:val="22"/>
          <w:szCs w:val="22"/>
        </w:rPr>
      </w:pPr>
      <w:r>
        <w:rPr>
          <w:rFonts w:eastAsia="汉仪书宋二简"/>
          <w:bCs/>
          <w:sz w:val="22"/>
          <w:szCs w:val="22"/>
        </w:rPr>
        <w:t>锈病、炭疽病</w:t>
      </w:r>
      <w:r>
        <w:rPr>
          <w:rFonts w:hint="eastAsia" w:eastAsia="汉仪书宋二简"/>
          <w:bCs/>
          <w:sz w:val="22"/>
          <w:szCs w:val="22"/>
          <w:lang w:eastAsia="zh-CN"/>
        </w:rPr>
        <w:t>：</w:t>
      </w:r>
      <w:r>
        <w:rPr>
          <w:rFonts w:eastAsia="汉仪书宋二简"/>
          <w:sz w:val="22"/>
          <w:szCs w:val="22"/>
        </w:rPr>
        <w:t>用宁南·氟菌唑可湿性粉剂</w:t>
      </w:r>
      <w:r>
        <w:rPr>
          <w:rFonts w:hint="eastAsia" w:eastAsia="汉仪书宋二简"/>
          <w:sz w:val="22"/>
          <w:szCs w:val="22"/>
          <w:lang w:eastAsia="zh-CN"/>
        </w:rPr>
        <w:t>或</w:t>
      </w:r>
      <w:r>
        <w:rPr>
          <w:rFonts w:eastAsia="汉仪书宋二简"/>
          <w:sz w:val="22"/>
          <w:szCs w:val="22"/>
        </w:rPr>
        <w:t>苯醚甲环唑水分散粒剂</w:t>
      </w:r>
      <w:r>
        <w:rPr>
          <w:rFonts w:hint="eastAsia" w:eastAsia="汉仪书宋二简"/>
          <w:sz w:val="22"/>
          <w:szCs w:val="22"/>
          <w:lang w:eastAsia="zh-CN"/>
        </w:rPr>
        <w:t>或</w:t>
      </w:r>
      <w:r>
        <w:rPr>
          <w:rFonts w:eastAsia="汉仪书宋二简"/>
          <w:sz w:val="22"/>
          <w:szCs w:val="22"/>
        </w:rPr>
        <w:t>氟硅唑乳油</w:t>
      </w:r>
      <w:r>
        <w:rPr>
          <w:rFonts w:hint="eastAsia" w:eastAsia="汉仪书宋二简"/>
          <w:sz w:val="22"/>
          <w:szCs w:val="22"/>
          <w:lang w:eastAsia="zh-CN"/>
        </w:rPr>
        <w:t>或</w:t>
      </w:r>
      <w:r>
        <w:rPr>
          <w:rFonts w:eastAsia="汉仪书宋二简"/>
          <w:sz w:val="22"/>
          <w:szCs w:val="22"/>
        </w:rPr>
        <w:t>丙环唑乳油喷雾。</w:t>
      </w:r>
    </w:p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>9.3.3.2  细菌性病害</w:t>
      </w:r>
    </w:p>
    <w:p>
      <w:pPr>
        <w:ind w:firstLine="440" w:firstLineChars="200"/>
        <w:rPr>
          <w:rFonts w:eastAsia="汉仪书宋二简"/>
          <w:sz w:val="22"/>
          <w:szCs w:val="22"/>
        </w:rPr>
      </w:pPr>
      <w:r>
        <w:rPr>
          <w:rFonts w:eastAsia="汉仪书宋二简"/>
          <w:sz w:val="22"/>
          <w:szCs w:val="22"/>
        </w:rPr>
        <w:t>用噻菌铜悬浮剂喷雾</w:t>
      </w:r>
      <w:r>
        <w:rPr>
          <w:rFonts w:hint="eastAsia" w:eastAsia="汉仪书宋二简"/>
          <w:sz w:val="22"/>
          <w:szCs w:val="22"/>
          <w:lang w:eastAsia="zh-CN"/>
        </w:rPr>
        <w:t>或</w:t>
      </w:r>
      <w:r>
        <w:rPr>
          <w:rFonts w:eastAsia="汉仪书宋二简"/>
          <w:sz w:val="22"/>
          <w:szCs w:val="22"/>
        </w:rPr>
        <w:t>中生菌素水剂</w:t>
      </w:r>
      <w:r>
        <w:rPr>
          <w:rFonts w:hint="eastAsia" w:eastAsia="汉仪书宋二简"/>
          <w:sz w:val="22"/>
          <w:szCs w:val="22"/>
          <w:lang w:eastAsia="zh-CN"/>
        </w:rPr>
        <w:t>或</w:t>
      </w:r>
      <w:r>
        <w:rPr>
          <w:rFonts w:eastAsia="汉仪书宋二简"/>
          <w:sz w:val="22"/>
          <w:szCs w:val="22"/>
        </w:rPr>
        <w:t>氢氧化铜可湿性粉剂喷雾。</w:t>
      </w:r>
    </w:p>
    <w:p>
      <w:pPr>
        <w:pStyle w:val="52"/>
        <w:tabs>
          <w:tab w:val="center" w:pos="4201"/>
          <w:tab w:val="right" w:leader="dot" w:pos="9298"/>
        </w:tabs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  <w:kern w:val="2"/>
          <w:szCs w:val="21"/>
        </w:rPr>
      </w:pPr>
      <w:r>
        <w:rPr>
          <w:rFonts w:hint="eastAsia" w:ascii="黑体" w:hAnsi="黑体" w:eastAsia="黑体"/>
          <w:kern w:val="2"/>
          <w:szCs w:val="21"/>
        </w:rPr>
        <w:t>9.3.3.3  虫害</w:t>
      </w:r>
    </w:p>
    <w:p>
      <w:pPr>
        <w:ind w:firstLine="440" w:firstLineChars="200"/>
      </w:pPr>
      <w:r>
        <w:rPr>
          <w:rFonts w:eastAsia="汉仪书宋二简"/>
          <w:sz w:val="22"/>
          <w:szCs w:val="22"/>
        </w:rPr>
        <w:t>蚜虫和红蜘蛛</w:t>
      </w:r>
      <w:r>
        <w:rPr>
          <w:rFonts w:hint="eastAsia" w:eastAsia="汉仪书宋二简"/>
          <w:sz w:val="22"/>
          <w:szCs w:val="22"/>
          <w:lang w:eastAsia="zh-CN"/>
        </w:rPr>
        <w:t>：用</w:t>
      </w:r>
      <w:r>
        <w:rPr>
          <w:rFonts w:eastAsia="汉仪书宋二简"/>
          <w:sz w:val="22"/>
          <w:szCs w:val="22"/>
        </w:rPr>
        <w:t>联苯菊酯微乳剂</w:t>
      </w:r>
      <w:r>
        <w:rPr>
          <w:rFonts w:hint="eastAsia" w:eastAsia="汉仪书宋二简"/>
          <w:sz w:val="22"/>
          <w:szCs w:val="22"/>
          <w:lang w:eastAsia="zh-CN"/>
        </w:rPr>
        <w:t>或</w:t>
      </w:r>
      <w:r>
        <w:rPr>
          <w:rFonts w:eastAsia="汉仪书宋二简"/>
          <w:sz w:val="22"/>
          <w:szCs w:val="22"/>
        </w:rPr>
        <w:t>螺虫乙酯喷雾。</w:t>
      </w:r>
    </w:p>
    <w:p>
      <w:pPr>
        <w:pStyle w:val="53"/>
        <w:numPr>
          <w:ilvl w:val="1"/>
          <w:numId w:val="0"/>
        </w:numPr>
        <w:spacing w:before="312" w:beforeLines="100" w:after="312" w:afterLines="100"/>
        <w:ind w:leftChars="0"/>
        <w:rPr>
          <w:rFonts w:hint="eastAsia"/>
          <w:szCs w:val="22"/>
        </w:rPr>
      </w:pPr>
      <w:r>
        <w:rPr>
          <w:rFonts w:hint="eastAsia"/>
          <w:szCs w:val="22"/>
        </w:rPr>
        <w:t>10  采收</w:t>
      </w:r>
    </w:p>
    <w:p>
      <w:pPr>
        <w:pStyle w:val="54"/>
        <w:numPr>
          <w:ilvl w:val="0"/>
          <w:numId w:val="0"/>
        </w:numPr>
        <w:spacing w:beforeLines="0" w:afterLines="0"/>
        <w:ind w:firstLine="420" w:firstLineChars="200"/>
        <w:rPr>
          <w:rFonts w:ascii="Times New Roman" w:eastAsia="宋体"/>
          <w:szCs w:val="22"/>
        </w:rPr>
      </w:pPr>
      <w:r>
        <w:rPr>
          <w:rFonts w:hint="eastAsia" w:ascii="Times New Roman" w:eastAsia="宋体"/>
          <w:szCs w:val="22"/>
        </w:rPr>
        <w:t>适时采收。</w:t>
      </w:r>
    </w:p>
    <w:p>
      <w:pPr>
        <w:pStyle w:val="53"/>
        <w:numPr>
          <w:ilvl w:val="1"/>
          <w:numId w:val="0"/>
        </w:numPr>
        <w:spacing w:before="312" w:beforeLines="100" w:after="312" w:afterLines="100"/>
        <w:ind w:leftChars="0"/>
        <w:rPr>
          <w:rFonts w:hint="eastAsia"/>
          <w:szCs w:val="22"/>
        </w:rPr>
      </w:pPr>
      <w:r>
        <w:rPr>
          <w:rFonts w:hint="eastAsia"/>
          <w:szCs w:val="22"/>
        </w:rPr>
        <w:t>11  生产档案</w:t>
      </w:r>
    </w:p>
    <w:p>
      <w:pPr>
        <w:pStyle w:val="52"/>
        <w:tabs>
          <w:tab w:val="center" w:pos="4201"/>
          <w:tab w:val="right" w:leader="dot" w:pos="9298"/>
        </w:tabs>
      </w:pPr>
      <w:r>
        <w:rPr>
          <w:rFonts w:ascii="Times New Roman"/>
        </w:rPr>
        <w:t>建立生产档案，</w:t>
      </w:r>
      <w:r>
        <w:rPr>
          <w:rFonts w:hint="eastAsia" w:ascii="Times New Roman"/>
        </w:rPr>
        <w:t>内容包括农药使用规范、肥料使用规范等，并对产地环境、设施的选择、品种的选择、育苗、定植时期、定植及定植后管理、病虫害防治</w:t>
      </w:r>
      <w:r>
        <w:rPr>
          <w:rFonts w:ascii="Times New Roman"/>
        </w:rPr>
        <w:t>等环节所采取的措施进行详细记录</w:t>
      </w:r>
      <w:r>
        <w:rPr>
          <w:rFonts w:hint="eastAsia" w:ascii="Times New Roman"/>
        </w:rPr>
        <w:t>。</w:t>
      </w:r>
    </w:p>
    <w:bookmarkEnd w:id="2"/>
    <w:bookmarkEnd w:id="3"/>
    <w:bookmarkEnd w:id="4"/>
    <w:bookmarkEnd w:id="5"/>
    <w:p>
      <w:pPr>
        <w:pStyle w:val="52"/>
        <w:ind w:firstLine="420"/>
        <w:rPr>
          <w:rStyle w:val="104"/>
          <w:sz w:val="21"/>
          <w:szCs w:val="21"/>
        </w:rPr>
      </w:pPr>
    </w:p>
    <w:p>
      <w:pPr>
        <w:pStyle w:val="52"/>
        <w:ind w:firstLine="420"/>
      </w:pPr>
      <w:r>
        <w:rPr>
          <w:rFonts w:hAnsi="宋体"/>
          <w:kern w:val="2"/>
          <w:szCs w:val="21"/>
        </w:rPr>
        <w:pict>
          <v:shape id="_x0000_s1040" o:spid="_x0000_s1040" o:spt="32" type="#_x0000_t32" style="position:absolute;left:0pt;margin-left:163.4pt;margin-top:6.2pt;height:0pt;width:154.5pt;z-index:25167052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</w:p>
    <w:p>
      <w:pPr>
        <w:pStyle w:val="52"/>
        <w:ind w:left="0" w:leftChars="0" w:firstLine="0" w:firstLineChars="0"/>
      </w:pPr>
    </w:p>
    <w:sectPr>
      <w:footerReference r:id="rId10" w:type="default"/>
      <w:pgSz w:w="11907" w:h="16839"/>
      <w:pgMar w:top="1418" w:right="1134" w:bottom="1134" w:left="1418" w:header="1418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imSun-ExtB">
    <w:altName w:val="宋体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汉仪书宋二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6"/>
      <w:rPr>
        <w:rStyle w:val="31"/>
      </w:rPr>
    </w:pPr>
    <w:r>
      <w:rPr>
        <w:rStyle w:val="31"/>
      </w:rPr>
      <w:fldChar w:fldCharType="begin"/>
    </w:r>
    <w:r>
      <w:rPr>
        <w:rStyle w:val="31"/>
      </w:rPr>
      <w:instrText xml:space="preserve">PAGE  </w:instrText>
    </w:r>
    <w:r>
      <w:rPr>
        <w:rStyle w:val="31"/>
      </w:rPr>
      <w:fldChar w:fldCharType="separate"/>
    </w:r>
    <w:r>
      <w:rPr>
        <w:rStyle w:val="31"/>
      </w:rPr>
      <w:t>1</w:t>
    </w:r>
    <w:r>
      <w:rPr>
        <w:rStyle w:val="3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framePr w:wrap="around" w:vAnchor="text" w:hAnchor="margin" w:xAlign="right" w:y="1"/>
      <w:rPr>
        <w:rStyle w:val="31"/>
      </w:rPr>
    </w:pPr>
    <w:r>
      <w:rPr>
        <w:rStyle w:val="31"/>
      </w:rPr>
      <w:fldChar w:fldCharType="begin"/>
    </w:r>
    <w:r>
      <w:rPr>
        <w:rStyle w:val="31"/>
      </w:rPr>
      <w:instrText xml:space="preserve">PAGE  </w:instrText>
    </w:r>
    <w:r>
      <w:rPr>
        <w:rStyle w:val="31"/>
      </w:rPr>
      <w:fldChar w:fldCharType="end"/>
    </w:r>
  </w:p>
  <w:p>
    <w:pPr>
      <w:pStyle w:val="2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6"/>
      <w:rPr>
        <w:rStyle w:val="31"/>
      </w:rPr>
    </w:pPr>
    <w:r>
      <w:rPr>
        <w:rStyle w:val="31"/>
      </w:rPr>
      <w:fldChar w:fldCharType="begin"/>
    </w:r>
    <w:r>
      <w:rPr>
        <w:rStyle w:val="31"/>
      </w:rPr>
      <w:instrText xml:space="preserve">PAGE  </w:instrText>
    </w:r>
    <w:r>
      <w:rPr>
        <w:rStyle w:val="31"/>
      </w:rPr>
      <w:fldChar w:fldCharType="separate"/>
    </w:r>
    <w:r>
      <w:rPr>
        <w:rStyle w:val="31"/>
      </w:rPr>
      <w:t>I</w:t>
    </w:r>
    <w:r>
      <w:rPr>
        <w:rStyle w:val="31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6"/>
      <w:rPr>
        <w:rStyle w:val="31"/>
      </w:rPr>
    </w:pPr>
    <w:r>
      <w:rPr>
        <w:rStyle w:val="31"/>
      </w:rPr>
      <w:fldChar w:fldCharType="begin"/>
    </w:r>
    <w:r>
      <w:rPr>
        <w:rStyle w:val="31"/>
      </w:rPr>
      <w:instrText xml:space="preserve">PAGE  </w:instrText>
    </w:r>
    <w:r>
      <w:rPr>
        <w:rStyle w:val="31"/>
      </w:rPr>
      <w:fldChar w:fldCharType="separate"/>
    </w:r>
    <w:r>
      <w:rPr>
        <w:rStyle w:val="31"/>
      </w:rPr>
      <w:t>4</w:t>
    </w:r>
    <w:r>
      <w:rPr>
        <w:rStyle w:val="31"/>
      </w:rP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7"/>
    </w:pPr>
    <w:r>
      <w:t>DB23/T ××××—××××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9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7"/>
      <w:rPr>
        <w:rFonts w:ascii="黑体" w:hAnsi="黑体" w:eastAsia="黑体"/>
      </w:rPr>
    </w:pPr>
    <w:r>
      <w:rPr>
        <w:rFonts w:ascii="黑体" w:hAnsi="黑体" w:eastAsia="黑体"/>
      </w:rPr>
      <w:t>DB23/T ××××—××××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06F7D"/>
    <w:multiLevelType w:val="multilevel"/>
    <w:tmpl w:val="46806F7D"/>
    <w:lvl w:ilvl="0" w:tentative="0">
      <w:start w:val="1"/>
      <w:numFmt w:val="none"/>
      <w:pStyle w:val="75"/>
      <w:lvlText w:val="图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6D22D8F"/>
    <w:multiLevelType w:val="multilevel"/>
    <w:tmpl w:val="46D22D8F"/>
    <w:lvl w:ilvl="0" w:tentative="0">
      <w:start w:val="1"/>
      <w:numFmt w:val="none"/>
      <w:pStyle w:val="99"/>
      <w:lvlText w:val="%1◆　"/>
      <w:lvlJc w:val="left"/>
      <w:pPr>
        <w:tabs>
          <w:tab w:val="left" w:pos="960"/>
        </w:tabs>
        <w:ind w:left="917" w:hanging="317"/>
      </w:pPr>
      <w:rPr>
        <w:rFonts w:hint="eastAsia" w:ascii="宋体" w:hAnsi="Times New Roman" w:eastAsia="宋体"/>
        <w:b w:val="0"/>
        <w:i w:val="0"/>
        <w:position w:val="4"/>
        <w:sz w:val="1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F302902"/>
    <w:multiLevelType w:val="multilevel"/>
    <w:tmpl w:val="4F302902"/>
    <w:lvl w:ilvl="0" w:tentative="0">
      <w:start w:val="1"/>
      <w:numFmt w:val="none"/>
      <w:pStyle w:val="69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6350366A"/>
    <w:multiLevelType w:val="multilevel"/>
    <w:tmpl w:val="6350366A"/>
    <w:lvl w:ilvl="0" w:tentative="0">
      <w:start w:val="1"/>
      <w:numFmt w:val="none"/>
      <w:pStyle w:val="80"/>
      <w:lvlText w:val="%1●　"/>
      <w:lvlJc w:val="left"/>
      <w:pPr>
        <w:tabs>
          <w:tab w:val="left" w:pos="760"/>
        </w:tabs>
        <w:ind w:left="717" w:hanging="317"/>
      </w:pPr>
      <w:rPr>
        <w:rFonts w:hint="eastAsia" w:ascii="宋体" w:hAnsi="Times New Roman" w:eastAsia="宋体"/>
        <w:b w:val="0"/>
        <w:i w:val="0"/>
        <w:position w:val="4"/>
        <w:sz w:val="13"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6CEA2025"/>
    <w:multiLevelType w:val="multilevel"/>
    <w:tmpl w:val="6CEA2025"/>
    <w:lvl w:ilvl="0" w:tentative="0">
      <w:start w:val="1"/>
      <w:numFmt w:val="none"/>
      <w:pStyle w:val="50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53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54"/>
      <w:suff w:val="nothing"/>
      <w:lvlText w:val="%1%2.%3　"/>
      <w:lvlJc w:val="left"/>
      <w:pPr>
        <w:ind w:left="426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5"/>
      <w:suff w:val="nothing"/>
      <w:lvlText w:val="%1%2.%3.%4　"/>
      <w:lvlJc w:val="left"/>
      <w:pPr>
        <w:ind w:left="426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>
    <w:nsid w:val="76933334"/>
    <w:multiLevelType w:val="multilevel"/>
    <w:tmpl w:val="76933334"/>
    <w:lvl w:ilvl="0" w:tentative="0">
      <w:start w:val="1"/>
      <w:numFmt w:val="none"/>
      <w:pStyle w:val="79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178E"/>
    <w:rsid w:val="00027883"/>
    <w:rsid w:val="000578B1"/>
    <w:rsid w:val="000937EC"/>
    <w:rsid w:val="00097120"/>
    <w:rsid w:val="000A7046"/>
    <w:rsid w:val="000B2C4A"/>
    <w:rsid w:val="000C0E2F"/>
    <w:rsid w:val="000E6146"/>
    <w:rsid w:val="000E6A91"/>
    <w:rsid w:val="0011438F"/>
    <w:rsid w:val="00152C06"/>
    <w:rsid w:val="001A1CF9"/>
    <w:rsid w:val="001A7A07"/>
    <w:rsid w:val="001B4445"/>
    <w:rsid w:val="001C3AF4"/>
    <w:rsid w:val="001C54C7"/>
    <w:rsid w:val="001E115A"/>
    <w:rsid w:val="001E4B1E"/>
    <w:rsid w:val="001F0397"/>
    <w:rsid w:val="00234A82"/>
    <w:rsid w:val="00236E84"/>
    <w:rsid w:val="00250311"/>
    <w:rsid w:val="00294A72"/>
    <w:rsid w:val="002A5876"/>
    <w:rsid w:val="002B2FE2"/>
    <w:rsid w:val="002B7C93"/>
    <w:rsid w:val="003112A1"/>
    <w:rsid w:val="003366AF"/>
    <w:rsid w:val="00341854"/>
    <w:rsid w:val="0036321B"/>
    <w:rsid w:val="003E7697"/>
    <w:rsid w:val="003E78BA"/>
    <w:rsid w:val="00407322"/>
    <w:rsid w:val="00414F89"/>
    <w:rsid w:val="00417B78"/>
    <w:rsid w:val="00423700"/>
    <w:rsid w:val="00424C89"/>
    <w:rsid w:val="00430BF2"/>
    <w:rsid w:val="00445D92"/>
    <w:rsid w:val="00461A03"/>
    <w:rsid w:val="0046785A"/>
    <w:rsid w:val="0047100B"/>
    <w:rsid w:val="00497544"/>
    <w:rsid w:val="004A2AB9"/>
    <w:rsid w:val="004A4D6D"/>
    <w:rsid w:val="004B5781"/>
    <w:rsid w:val="004C39FB"/>
    <w:rsid w:val="00500BD0"/>
    <w:rsid w:val="00502F31"/>
    <w:rsid w:val="00503AC1"/>
    <w:rsid w:val="00506DEF"/>
    <w:rsid w:val="00516317"/>
    <w:rsid w:val="00517AC1"/>
    <w:rsid w:val="00521AB9"/>
    <w:rsid w:val="00551D1C"/>
    <w:rsid w:val="00555CBD"/>
    <w:rsid w:val="005777CB"/>
    <w:rsid w:val="0058012F"/>
    <w:rsid w:val="0058187C"/>
    <w:rsid w:val="00585E73"/>
    <w:rsid w:val="005B4186"/>
    <w:rsid w:val="005C53FA"/>
    <w:rsid w:val="005D2915"/>
    <w:rsid w:val="005F51F1"/>
    <w:rsid w:val="005F7CA8"/>
    <w:rsid w:val="00614AC8"/>
    <w:rsid w:val="00626B39"/>
    <w:rsid w:val="00657557"/>
    <w:rsid w:val="006649DC"/>
    <w:rsid w:val="006B074F"/>
    <w:rsid w:val="006C20E9"/>
    <w:rsid w:val="006C2451"/>
    <w:rsid w:val="006D1EAE"/>
    <w:rsid w:val="006D25AF"/>
    <w:rsid w:val="006D6665"/>
    <w:rsid w:val="006E1295"/>
    <w:rsid w:val="006F507C"/>
    <w:rsid w:val="00714380"/>
    <w:rsid w:val="00721DC6"/>
    <w:rsid w:val="007361BC"/>
    <w:rsid w:val="0075389E"/>
    <w:rsid w:val="00782C91"/>
    <w:rsid w:val="00782EA8"/>
    <w:rsid w:val="00784F6A"/>
    <w:rsid w:val="007A3471"/>
    <w:rsid w:val="007A3935"/>
    <w:rsid w:val="007A39EE"/>
    <w:rsid w:val="007C6CE4"/>
    <w:rsid w:val="007D0005"/>
    <w:rsid w:val="00806F81"/>
    <w:rsid w:val="0083093F"/>
    <w:rsid w:val="0083178E"/>
    <w:rsid w:val="00852E0C"/>
    <w:rsid w:val="0086158D"/>
    <w:rsid w:val="00864CEB"/>
    <w:rsid w:val="00876981"/>
    <w:rsid w:val="00894A55"/>
    <w:rsid w:val="00897CA0"/>
    <w:rsid w:val="008A79A2"/>
    <w:rsid w:val="008C330C"/>
    <w:rsid w:val="008C7E4F"/>
    <w:rsid w:val="008D5BD9"/>
    <w:rsid w:val="008E0EE5"/>
    <w:rsid w:val="008F65AC"/>
    <w:rsid w:val="00907D57"/>
    <w:rsid w:val="00921801"/>
    <w:rsid w:val="00943739"/>
    <w:rsid w:val="00951E7B"/>
    <w:rsid w:val="00954EA0"/>
    <w:rsid w:val="0099558C"/>
    <w:rsid w:val="009966C7"/>
    <w:rsid w:val="009A17B8"/>
    <w:rsid w:val="009B0E19"/>
    <w:rsid w:val="009C5EA5"/>
    <w:rsid w:val="009C6A49"/>
    <w:rsid w:val="009F117F"/>
    <w:rsid w:val="00A04219"/>
    <w:rsid w:val="00A12359"/>
    <w:rsid w:val="00A2780D"/>
    <w:rsid w:val="00A31AA7"/>
    <w:rsid w:val="00A35CD5"/>
    <w:rsid w:val="00A56B87"/>
    <w:rsid w:val="00A65305"/>
    <w:rsid w:val="00AA58FF"/>
    <w:rsid w:val="00AD2D45"/>
    <w:rsid w:val="00AF2701"/>
    <w:rsid w:val="00B06CB4"/>
    <w:rsid w:val="00B22BC7"/>
    <w:rsid w:val="00B30CF1"/>
    <w:rsid w:val="00B368E3"/>
    <w:rsid w:val="00B46CBE"/>
    <w:rsid w:val="00B77DC5"/>
    <w:rsid w:val="00B80D03"/>
    <w:rsid w:val="00B82A67"/>
    <w:rsid w:val="00BB4802"/>
    <w:rsid w:val="00BB7D97"/>
    <w:rsid w:val="00BD0935"/>
    <w:rsid w:val="00BE641E"/>
    <w:rsid w:val="00BF4936"/>
    <w:rsid w:val="00C2128B"/>
    <w:rsid w:val="00C36E56"/>
    <w:rsid w:val="00C5573B"/>
    <w:rsid w:val="00C903E3"/>
    <w:rsid w:val="00CC1268"/>
    <w:rsid w:val="00CC6532"/>
    <w:rsid w:val="00CD39BC"/>
    <w:rsid w:val="00CD7AB4"/>
    <w:rsid w:val="00CE0F5B"/>
    <w:rsid w:val="00CF3518"/>
    <w:rsid w:val="00CF62CB"/>
    <w:rsid w:val="00D01A63"/>
    <w:rsid w:val="00D331FC"/>
    <w:rsid w:val="00D36A7F"/>
    <w:rsid w:val="00D54ECD"/>
    <w:rsid w:val="00D67A9F"/>
    <w:rsid w:val="00DA0DB5"/>
    <w:rsid w:val="00DB25FC"/>
    <w:rsid w:val="00DB5850"/>
    <w:rsid w:val="00DF56ED"/>
    <w:rsid w:val="00E07B21"/>
    <w:rsid w:val="00E157EB"/>
    <w:rsid w:val="00E177DD"/>
    <w:rsid w:val="00E4042B"/>
    <w:rsid w:val="00E61F51"/>
    <w:rsid w:val="00E63D04"/>
    <w:rsid w:val="00E75D22"/>
    <w:rsid w:val="00E766A6"/>
    <w:rsid w:val="00E76E96"/>
    <w:rsid w:val="00EA2427"/>
    <w:rsid w:val="00EA7E8B"/>
    <w:rsid w:val="00EB06AD"/>
    <w:rsid w:val="00EC2BD8"/>
    <w:rsid w:val="00ED7952"/>
    <w:rsid w:val="00EE60C3"/>
    <w:rsid w:val="00EE6E8A"/>
    <w:rsid w:val="00F05AAC"/>
    <w:rsid w:val="00F52786"/>
    <w:rsid w:val="00FC30CD"/>
    <w:rsid w:val="00FF2504"/>
    <w:rsid w:val="012D2D68"/>
    <w:rsid w:val="10F43F6F"/>
    <w:rsid w:val="114F65B0"/>
    <w:rsid w:val="1C0C5B96"/>
    <w:rsid w:val="255D5F04"/>
    <w:rsid w:val="280544F2"/>
    <w:rsid w:val="2CAF0F29"/>
    <w:rsid w:val="2F3A492B"/>
    <w:rsid w:val="2F474358"/>
    <w:rsid w:val="317B07C0"/>
    <w:rsid w:val="32265F55"/>
    <w:rsid w:val="3791539F"/>
    <w:rsid w:val="3A5D55E2"/>
    <w:rsid w:val="3A9E7284"/>
    <w:rsid w:val="3D4B1AD8"/>
    <w:rsid w:val="439A4E3A"/>
    <w:rsid w:val="44102178"/>
    <w:rsid w:val="48A33366"/>
    <w:rsid w:val="4A3B614E"/>
    <w:rsid w:val="4A8570EE"/>
    <w:rsid w:val="4F0E7683"/>
    <w:rsid w:val="54F608BA"/>
    <w:rsid w:val="5ADA5571"/>
    <w:rsid w:val="64333253"/>
    <w:rsid w:val="6B8C3A47"/>
    <w:rsid w:val="6BA05C3B"/>
    <w:rsid w:val="71BB2B23"/>
    <w:rsid w:val="754E739D"/>
    <w:rsid w:val="778F2F6C"/>
    <w:rsid w:val="7B372ECF"/>
    <w:rsid w:val="7BD30E9C"/>
    <w:rsid w:val="7DB51377"/>
    <w:rsid w:val="7FBE79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7"/>
        <o:r id="V:Rule2" type="connector" idref="#_x0000_s1038"/>
        <o:r id="V:Rule3" type="connector" idref="#_x0000_s104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semiHidden/>
    <w:qFormat/>
    <w:uiPriority w:val="0"/>
  </w:style>
  <w:style w:type="paragraph" w:styleId="12">
    <w:name w:val="toc 6"/>
    <w:basedOn w:val="13"/>
    <w:next w:val="1"/>
    <w:semiHidden/>
    <w:qFormat/>
    <w:uiPriority w:val="0"/>
  </w:style>
  <w:style w:type="paragraph" w:styleId="13">
    <w:name w:val="toc 5"/>
    <w:basedOn w:val="14"/>
    <w:next w:val="1"/>
    <w:semiHidden/>
    <w:qFormat/>
    <w:uiPriority w:val="0"/>
  </w:style>
  <w:style w:type="paragraph" w:styleId="14">
    <w:name w:val="toc 4"/>
    <w:basedOn w:val="15"/>
    <w:next w:val="1"/>
    <w:semiHidden/>
    <w:qFormat/>
    <w:uiPriority w:val="0"/>
  </w:style>
  <w:style w:type="paragraph" w:styleId="15">
    <w:name w:val="toc 3"/>
    <w:basedOn w:val="16"/>
    <w:next w:val="1"/>
    <w:semiHidden/>
    <w:qFormat/>
    <w:uiPriority w:val="0"/>
  </w:style>
  <w:style w:type="paragraph" w:styleId="16">
    <w:name w:val="toc 2"/>
    <w:basedOn w:val="17"/>
    <w:next w:val="1"/>
    <w:semiHidden/>
    <w:qFormat/>
    <w:uiPriority w:val="0"/>
  </w:style>
  <w:style w:type="paragraph" w:styleId="17">
    <w:name w:val="toc 1"/>
    <w:next w:val="1"/>
    <w:semiHidden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HTML Address"/>
    <w:basedOn w:val="1"/>
    <w:qFormat/>
    <w:uiPriority w:val="0"/>
    <w:rPr>
      <w:i/>
      <w:iCs/>
    </w:rPr>
  </w:style>
  <w:style w:type="paragraph" w:styleId="19">
    <w:name w:val="toc 8"/>
    <w:basedOn w:val="11"/>
    <w:next w:val="1"/>
    <w:semiHidden/>
    <w:uiPriority w:val="0"/>
  </w:style>
  <w:style w:type="paragraph" w:styleId="20">
    <w:name w:val="Balloon Text"/>
    <w:basedOn w:val="1"/>
    <w:link w:val="102"/>
    <w:qFormat/>
    <w:uiPriority w:val="0"/>
    <w:rPr>
      <w:sz w:val="18"/>
      <w:szCs w:val="18"/>
    </w:rPr>
  </w:style>
  <w:style w:type="paragraph" w:styleId="2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2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24">
    <w:name w:val="toc 9"/>
    <w:basedOn w:val="19"/>
    <w:next w:val="1"/>
    <w:semiHidden/>
    <w:qFormat/>
    <w:uiPriority w:val="0"/>
  </w:style>
  <w:style w:type="paragraph" w:styleId="25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26">
    <w:name w:val="Normal (Web)"/>
    <w:basedOn w:val="1"/>
    <w:unhideWhenUsed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7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29">
    <w:name w:val="Table Grid"/>
    <w:basedOn w:val="28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basedOn w:val="30"/>
    <w:qFormat/>
    <w:uiPriority w:val="0"/>
    <w:rPr>
      <w:rFonts w:ascii="Times New Roman" w:hAnsi="Times New Roman" w:eastAsia="宋体"/>
      <w:sz w:val="18"/>
    </w:rPr>
  </w:style>
  <w:style w:type="character" w:styleId="32">
    <w:name w:val="HTML Definition"/>
    <w:basedOn w:val="30"/>
    <w:qFormat/>
    <w:uiPriority w:val="0"/>
    <w:rPr>
      <w:i/>
      <w:iCs/>
    </w:rPr>
  </w:style>
  <w:style w:type="character" w:styleId="33">
    <w:name w:val="HTML Typewriter"/>
    <w:basedOn w:val="30"/>
    <w:qFormat/>
    <w:uiPriority w:val="0"/>
    <w:rPr>
      <w:rFonts w:ascii="Courier New" w:hAnsi="Courier New"/>
      <w:sz w:val="20"/>
      <w:szCs w:val="20"/>
    </w:rPr>
  </w:style>
  <w:style w:type="character" w:styleId="34">
    <w:name w:val="HTML Acronym"/>
    <w:basedOn w:val="30"/>
    <w:qFormat/>
    <w:uiPriority w:val="0"/>
  </w:style>
  <w:style w:type="character" w:styleId="35">
    <w:name w:val="HTML Variable"/>
    <w:basedOn w:val="30"/>
    <w:qFormat/>
    <w:uiPriority w:val="0"/>
    <w:rPr>
      <w:i/>
      <w:iCs/>
    </w:rPr>
  </w:style>
  <w:style w:type="character" w:styleId="36">
    <w:name w:val="Hyperlink"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7">
    <w:name w:val="HTML Code"/>
    <w:basedOn w:val="30"/>
    <w:qFormat/>
    <w:uiPriority w:val="0"/>
    <w:rPr>
      <w:rFonts w:ascii="Courier New" w:hAnsi="Courier New"/>
      <w:sz w:val="20"/>
      <w:szCs w:val="20"/>
    </w:rPr>
  </w:style>
  <w:style w:type="character" w:styleId="38">
    <w:name w:val="HTML Cite"/>
    <w:basedOn w:val="30"/>
    <w:qFormat/>
    <w:uiPriority w:val="0"/>
    <w:rPr>
      <w:i/>
      <w:iCs/>
    </w:rPr>
  </w:style>
  <w:style w:type="character" w:styleId="39">
    <w:name w:val="footnote reference"/>
    <w:basedOn w:val="30"/>
    <w:semiHidden/>
    <w:qFormat/>
    <w:uiPriority w:val="0"/>
    <w:rPr>
      <w:vertAlign w:val="superscript"/>
    </w:rPr>
  </w:style>
  <w:style w:type="character" w:styleId="40">
    <w:name w:val="HTML Keyboard"/>
    <w:basedOn w:val="30"/>
    <w:qFormat/>
    <w:uiPriority w:val="0"/>
    <w:rPr>
      <w:rFonts w:ascii="Courier New" w:hAnsi="Courier New"/>
      <w:sz w:val="20"/>
      <w:szCs w:val="20"/>
    </w:rPr>
  </w:style>
  <w:style w:type="character" w:styleId="41">
    <w:name w:val="HTML Sample"/>
    <w:basedOn w:val="30"/>
    <w:qFormat/>
    <w:uiPriority w:val="0"/>
    <w:rPr>
      <w:rFonts w:ascii="Courier New" w:hAnsi="Courier New"/>
    </w:rPr>
  </w:style>
  <w:style w:type="character" w:customStyle="1" w:styleId="42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customStyle="1" w:styleId="43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44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45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6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7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48">
    <w:name w:val="标准书眉_偶数页"/>
    <w:basedOn w:val="47"/>
    <w:next w:val="1"/>
    <w:qFormat/>
    <w:uiPriority w:val="0"/>
    <w:pPr>
      <w:jc w:val="left"/>
    </w:pPr>
  </w:style>
  <w:style w:type="paragraph" w:customStyle="1" w:styleId="49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0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1">
    <w:name w:val="参考文献、索引标题"/>
    <w:basedOn w:val="50"/>
    <w:next w:val="1"/>
    <w:qFormat/>
    <w:uiPriority w:val="0"/>
    <w:pPr>
      <w:numPr>
        <w:numId w:val="0"/>
      </w:numPr>
      <w:spacing w:after="200"/>
    </w:pPr>
    <w:rPr>
      <w:sz w:val="21"/>
    </w:rPr>
  </w:style>
  <w:style w:type="paragraph" w:customStyle="1" w:styleId="52">
    <w:name w:val="段"/>
    <w:link w:val="10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3">
    <w:name w:val="章标题"/>
    <w:next w:val="52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4">
    <w:name w:val="一级条标题"/>
    <w:next w:val="52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55">
    <w:name w:val="二级条标题"/>
    <w:basedOn w:val="54"/>
    <w:next w:val="52"/>
    <w:qFormat/>
    <w:uiPriority w:val="0"/>
    <w:pPr>
      <w:numPr>
        <w:ilvl w:val="3"/>
      </w:numPr>
      <w:outlineLvl w:val="3"/>
    </w:pPr>
  </w:style>
  <w:style w:type="character" w:customStyle="1" w:styleId="56">
    <w:name w:val="发布"/>
    <w:basedOn w:val="30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57">
    <w:name w:val="发布部门"/>
    <w:next w:val="52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58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59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0">
    <w:name w:val="封面标准号2"/>
    <w:basedOn w:val="59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61">
    <w:name w:val="封面标准代替信息"/>
    <w:basedOn w:val="60"/>
    <w:qFormat/>
    <w:uiPriority w:val="0"/>
    <w:pPr>
      <w:spacing w:before="57"/>
    </w:pPr>
    <w:rPr>
      <w:rFonts w:ascii="宋体"/>
      <w:sz w:val="21"/>
    </w:rPr>
  </w:style>
  <w:style w:type="paragraph" w:customStyle="1" w:styleId="62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63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4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65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6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67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8">
    <w:name w:val="附录标识"/>
    <w:basedOn w:val="50"/>
    <w:qFormat/>
    <w:uiPriority w:val="0"/>
    <w:pPr>
      <w:numPr>
        <w:numId w:val="0"/>
      </w:numPr>
      <w:tabs>
        <w:tab w:val="left" w:pos="6405"/>
      </w:tabs>
      <w:spacing w:after="200"/>
    </w:pPr>
    <w:rPr>
      <w:sz w:val="21"/>
    </w:rPr>
  </w:style>
  <w:style w:type="paragraph" w:customStyle="1" w:styleId="69">
    <w:name w:val="附录表标题"/>
    <w:next w:val="52"/>
    <w:qFormat/>
    <w:uiPriority w:val="0"/>
    <w:pPr>
      <w:numPr>
        <w:ilvl w:val="0"/>
        <w:numId w:val="2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0">
    <w:name w:val="附录章标题"/>
    <w:next w:val="52"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1">
    <w:name w:val="附录一级条标题"/>
    <w:basedOn w:val="70"/>
    <w:next w:val="52"/>
    <w:uiPriority w:val="0"/>
    <w:pPr>
      <w:autoSpaceDN w:val="0"/>
      <w:spacing w:beforeLines="0" w:afterLines="0"/>
      <w:outlineLvl w:val="2"/>
    </w:pPr>
  </w:style>
  <w:style w:type="paragraph" w:customStyle="1" w:styleId="72">
    <w:name w:val="附录二级条标题"/>
    <w:basedOn w:val="71"/>
    <w:next w:val="52"/>
    <w:qFormat/>
    <w:uiPriority w:val="0"/>
    <w:pPr>
      <w:outlineLvl w:val="3"/>
    </w:pPr>
  </w:style>
  <w:style w:type="paragraph" w:customStyle="1" w:styleId="73">
    <w:name w:val="附录三级条标题"/>
    <w:basedOn w:val="72"/>
    <w:next w:val="52"/>
    <w:qFormat/>
    <w:uiPriority w:val="0"/>
    <w:pPr>
      <w:outlineLvl w:val="4"/>
    </w:pPr>
  </w:style>
  <w:style w:type="paragraph" w:customStyle="1" w:styleId="74">
    <w:name w:val="附录四级条标题"/>
    <w:basedOn w:val="73"/>
    <w:next w:val="52"/>
    <w:qFormat/>
    <w:uiPriority w:val="0"/>
    <w:pPr>
      <w:outlineLvl w:val="5"/>
    </w:pPr>
  </w:style>
  <w:style w:type="paragraph" w:customStyle="1" w:styleId="75">
    <w:name w:val="附录图标题"/>
    <w:next w:val="52"/>
    <w:qFormat/>
    <w:uiPriority w:val="0"/>
    <w:pPr>
      <w:numPr>
        <w:ilvl w:val="0"/>
        <w:numId w:val="3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6">
    <w:name w:val="附录五级条标题"/>
    <w:basedOn w:val="74"/>
    <w:next w:val="52"/>
    <w:qFormat/>
    <w:uiPriority w:val="0"/>
    <w:pPr>
      <w:outlineLvl w:val="6"/>
    </w:pPr>
  </w:style>
  <w:style w:type="character" w:customStyle="1" w:styleId="77">
    <w:name w:val="EmailStyle61"/>
    <w:basedOn w:val="30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78">
    <w:name w:val="EmailStyle62"/>
    <w:basedOn w:val="30"/>
    <w:qFormat/>
    <w:uiPriority w:val="0"/>
    <w:rPr>
      <w:rFonts w:ascii="Arial" w:hAnsi="Arial" w:eastAsia="宋体" w:cs="Arial"/>
      <w:color w:val="auto"/>
      <w:sz w:val="20"/>
    </w:rPr>
  </w:style>
  <w:style w:type="paragraph" w:customStyle="1" w:styleId="79">
    <w:name w:val="列项——（一级）"/>
    <w:qFormat/>
    <w:uiPriority w:val="0"/>
    <w:pPr>
      <w:widowControl w:val="0"/>
      <w:numPr>
        <w:ilvl w:val="0"/>
        <w:numId w:val="4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0">
    <w:name w:val="列项●（二级）"/>
    <w:qFormat/>
    <w:uiPriority w:val="0"/>
    <w:pPr>
      <w:numPr>
        <w:ilvl w:val="0"/>
        <w:numId w:val="5"/>
      </w:numPr>
      <w:tabs>
        <w:tab w:val="left" w:pos="840"/>
      </w:tabs>
      <w:ind w:left="6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1">
    <w:name w:val="目次、标准名称标题"/>
    <w:basedOn w:val="50"/>
    <w:next w:val="52"/>
    <w:uiPriority w:val="0"/>
    <w:pPr>
      <w:numPr>
        <w:numId w:val="0"/>
      </w:numPr>
      <w:spacing w:line="460" w:lineRule="exact"/>
    </w:pPr>
  </w:style>
  <w:style w:type="paragraph" w:customStyle="1" w:styleId="82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84">
    <w:name w:val="其他发布部门"/>
    <w:basedOn w:val="57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85">
    <w:name w:val="三级条标题"/>
    <w:basedOn w:val="55"/>
    <w:next w:val="52"/>
    <w:qFormat/>
    <w:uiPriority w:val="0"/>
    <w:pPr>
      <w:numPr>
        <w:ilvl w:val="0"/>
        <w:numId w:val="0"/>
      </w:numPr>
      <w:outlineLvl w:val="4"/>
    </w:pPr>
  </w:style>
  <w:style w:type="paragraph" w:customStyle="1" w:styleId="86">
    <w:name w:val="实施日期"/>
    <w:basedOn w:val="58"/>
    <w:qFormat/>
    <w:uiPriority w:val="0"/>
    <w:pPr>
      <w:framePr w:hSpace="0" w:xAlign="right"/>
      <w:jc w:val="right"/>
    </w:pPr>
  </w:style>
  <w:style w:type="paragraph" w:customStyle="1" w:styleId="87">
    <w:name w:val="示例"/>
    <w:next w:val="52"/>
    <w:qFormat/>
    <w:uiPriority w:val="0"/>
    <w:pPr>
      <w:tabs>
        <w:tab w:val="left" w:pos="816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88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9">
    <w:name w:val="四级条标题"/>
    <w:basedOn w:val="85"/>
    <w:next w:val="52"/>
    <w:qFormat/>
    <w:uiPriority w:val="0"/>
    <w:pPr>
      <w:outlineLvl w:val="5"/>
    </w:pPr>
  </w:style>
  <w:style w:type="paragraph" w:customStyle="1" w:styleId="90">
    <w:name w:val="条文脚注"/>
    <w:basedOn w:val="23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91">
    <w:name w:val="图表脚注"/>
    <w:next w:val="52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2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93">
    <w:name w:val="五级条标题"/>
    <w:basedOn w:val="89"/>
    <w:next w:val="52"/>
    <w:qFormat/>
    <w:uiPriority w:val="0"/>
    <w:pPr>
      <w:outlineLvl w:val="6"/>
    </w:pPr>
  </w:style>
  <w:style w:type="paragraph" w:customStyle="1" w:styleId="94">
    <w:name w:val="正文表标题"/>
    <w:next w:val="52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5">
    <w:name w:val="正文图标题"/>
    <w:next w:val="52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6">
    <w:name w:val="注："/>
    <w:next w:val="52"/>
    <w:qFormat/>
    <w:uiPriority w:val="0"/>
    <w:pPr>
      <w:widowControl w:val="0"/>
      <w:autoSpaceDE w:val="0"/>
      <w:autoSpaceDN w:val="0"/>
      <w:ind w:left="840" w:hanging="42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7">
    <w:name w:val="注×："/>
    <w:qFormat/>
    <w:uiPriority w:val="0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8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9">
    <w:name w:val="列项◆（三级）"/>
    <w:qFormat/>
    <w:uiPriority w:val="0"/>
    <w:pPr>
      <w:numPr>
        <w:ilvl w:val="0"/>
        <w:numId w:val="6"/>
      </w:num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0">
    <w:name w:val="编号列项（三级）"/>
    <w:qFormat/>
    <w:uiPriority w:val="0"/>
    <w:p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01">
    <w:name w:val="段 Char"/>
    <w:link w:val="52"/>
    <w:qFormat/>
    <w:uiPriority w:val="0"/>
    <w:rPr>
      <w:rFonts w:ascii="宋体"/>
      <w:sz w:val="21"/>
    </w:rPr>
  </w:style>
  <w:style w:type="character" w:customStyle="1" w:styleId="102">
    <w:name w:val="批注框文本 Char"/>
    <w:basedOn w:val="30"/>
    <w:link w:val="20"/>
    <w:qFormat/>
    <w:uiPriority w:val="0"/>
    <w:rPr>
      <w:kern w:val="2"/>
      <w:sz w:val="18"/>
      <w:szCs w:val="18"/>
    </w:rPr>
  </w:style>
  <w:style w:type="character" w:styleId="103">
    <w:name w:val="Placeholder Text"/>
    <w:basedOn w:val="30"/>
    <w:semiHidden/>
    <w:qFormat/>
    <w:uiPriority w:val="99"/>
    <w:rPr>
      <w:color w:val="808080"/>
    </w:rPr>
  </w:style>
  <w:style w:type="character" w:customStyle="1" w:styleId="104">
    <w:name w:val="MSG_EN_FONT_STYLE_NAME_TEMPLATE_ROLE_NUMBER MSG_EN_FONT_STYLE_NAME_BY_ROLE_TEXT 7_"/>
    <w:link w:val="105"/>
    <w:unhideWhenUsed/>
    <w:qFormat/>
    <w:uiPriority w:val="99"/>
    <w:rPr>
      <w:rFonts w:ascii="宋体" w:hAnsi="宋体"/>
      <w:kern w:val="2"/>
      <w:sz w:val="18"/>
      <w:szCs w:val="24"/>
      <w:shd w:val="clear" w:color="auto" w:fill="FFFFFF"/>
    </w:rPr>
  </w:style>
  <w:style w:type="paragraph" w:customStyle="1" w:styleId="105">
    <w:name w:val="MSG_EN_FONT_STYLE_NAME_TEMPLATE_ROLE_NUMBER MSG_EN_FONT_STYLE_NAME_BY_ROLE_TEXT 7"/>
    <w:basedOn w:val="1"/>
    <w:link w:val="104"/>
    <w:unhideWhenUsed/>
    <w:qFormat/>
    <w:uiPriority w:val="99"/>
    <w:pPr>
      <w:shd w:val="clear" w:color="auto" w:fill="FFFFFF"/>
      <w:spacing w:before="720" w:line="312" w:lineRule="exact"/>
      <w:ind w:hanging="440"/>
    </w:pPr>
    <w:rPr>
      <w:rFonts w:ascii="宋体" w:hAnsi="宋体"/>
      <w:sz w:val="18"/>
      <w:szCs w:val="24"/>
    </w:rPr>
  </w:style>
  <w:style w:type="character" w:customStyle="1" w:styleId="106">
    <w:name w:val="MSG_EN_FONT_STYLE_NAME_TEMPLATE_ROLE MSG_EN_FONT_STYLE_NAME_BY_ROLE_TEXT_"/>
    <w:link w:val="107"/>
    <w:unhideWhenUsed/>
    <w:qFormat/>
    <w:uiPriority w:val="99"/>
    <w:rPr>
      <w:rFonts w:ascii="宋体" w:hAnsi="宋体"/>
      <w:kern w:val="2"/>
      <w:sz w:val="18"/>
      <w:szCs w:val="24"/>
      <w:shd w:val="clear" w:color="auto" w:fill="FFFFFF"/>
    </w:rPr>
  </w:style>
  <w:style w:type="paragraph" w:customStyle="1" w:styleId="107">
    <w:name w:val="MSG_EN_FONT_STYLE_NAME_TEMPLATE_ROLE MSG_EN_FONT_STYLE_NAME_BY_ROLE_TEXT"/>
    <w:basedOn w:val="1"/>
    <w:link w:val="106"/>
    <w:unhideWhenUsed/>
    <w:qFormat/>
    <w:uiPriority w:val="99"/>
    <w:pPr>
      <w:shd w:val="clear" w:color="auto" w:fill="FFFFFF"/>
      <w:spacing w:before="660" w:line="312" w:lineRule="exact"/>
    </w:pPr>
    <w:rPr>
      <w:rFonts w:ascii="宋体" w:hAnsi="宋体"/>
      <w:sz w:val="18"/>
      <w:szCs w:val="24"/>
    </w:rPr>
  </w:style>
  <w:style w:type="character" w:customStyle="1" w:styleId="108">
    <w:name w:val="MSG_EN_FONT_STYLE_NAME_TEMPLATE_ROLE_NUMBER MSG_EN_FONT_STYLE_NAME_BY_ROLE_TEXT 10_"/>
    <w:link w:val="109"/>
    <w:unhideWhenUsed/>
    <w:qFormat/>
    <w:uiPriority w:val="99"/>
    <w:rPr>
      <w:rFonts w:ascii="宋体" w:hAnsi="宋体"/>
      <w:kern w:val="2"/>
      <w:sz w:val="15"/>
      <w:szCs w:val="24"/>
      <w:shd w:val="clear" w:color="auto" w:fill="FFFFFF"/>
    </w:rPr>
  </w:style>
  <w:style w:type="paragraph" w:customStyle="1" w:styleId="109">
    <w:name w:val="MSG_EN_FONT_STYLE_NAME_TEMPLATE_ROLE_NUMBER MSG_EN_FONT_STYLE_NAME_BY_ROLE_TEXT 10"/>
    <w:basedOn w:val="1"/>
    <w:link w:val="108"/>
    <w:unhideWhenUsed/>
    <w:qFormat/>
    <w:uiPriority w:val="99"/>
    <w:pPr>
      <w:shd w:val="clear" w:color="auto" w:fill="FFFFFF"/>
      <w:spacing w:line="240" w:lineRule="atLeast"/>
      <w:jc w:val="center"/>
    </w:pPr>
    <w:rPr>
      <w:rFonts w:ascii="宋体" w:hAnsi="宋体"/>
      <w:sz w:val="15"/>
      <w:szCs w:val="24"/>
    </w:rPr>
  </w:style>
  <w:style w:type="character" w:customStyle="1" w:styleId="110">
    <w:name w:val="MSG_EN_FONT_STYLE_NAME_TEMPLATE_ROLE_NUMBER MSG_EN_FONT_STYLE_NAME_BY_ROLE_TEXT 9_"/>
    <w:link w:val="111"/>
    <w:unhideWhenUsed/>
    <w:qFormat/>
    <w:uiPriority w:val="99"/>
    <w:rPr>
      <w:rFonts w:ascii="宋体" w:hAnsi="宋体"/>
      <w:kern w:val="2"/>
      <w:sz w:val="18"/>
      <w:szCs w:val="24"/>
      <w:shd w:val="clear" w:color="auto" w:fill="FFFFFF"/>
    </w:rPr>
  </w:style>
  <w:style w:type="paragraph" w:customStyle="1" w:styleId="111">
    <w:name w:val="MSG_EN_FONT_STYLE_NAME_TEMPLATE_ROLE_NUMBER MSG_EN_FONT_STYLE_NAME_BY_ROLE_TEXT 9"/>
    <w:basedOn w:val="1"/>
    <w:link w:val="110"/>
    <w:unhideWhenUsed/>
    <w:qFormat/>
    <w:uiPriority w:val="99"/>
    <w:pPr>
      <w:shd w:val="clear" w:color="auto" w:fill="FFFFFF"/>
      <w:spacing w:line="312" w:lineRule="exact"/>
    </w:pPr>
    <w:rPr>
      <w:rFonts w:ascii="宋体" w:hAnsi="宋体"/>
      <w:sz w:val="18"/>
      <w:szCs w:val="24"/>
    </w:rPr>
  </w:style>
  <w:style w:type="character" w:customStyle="1" w:styleId="112">
    <w:name w:val="MSG_EN_FONT_STYLE_NAME_TEMPLATE_ROLE_NUMBER MSG_EN_FONT_STYLE_NAME_BY_ROLE_TEXT 11_"/>
    <w:link w:val="113"/>
    <w:unhideWhenUsed/>
    <w:qFormat/>
    <w:uiPriority w:val="99"/>
    <w:rPr>
      <w:rFonts w:ascii="宋体" w:hAnsi="宋体"/>
      <w:kern w:val="2"/>
      <w:sz w:val="15"/>
      <w:szCs w:val="24"/>
      <w:shd w:val="clear" w:color="auto" w:fill="FFFFFF"/>
    </w:rPr>
  </w:style>
  <w:style w:type="paragraph" w:customStyle="1" w:styleId="113">
    <w:name w:val="MSG_EN_FONT_STYLE_NAME_TEMPLATE_ROLE_NUMBER MSG_EN_FONT_STYLE_NAME_BY_ROLE_TEXT 11"/>
    <w:basedOn w:val="1"/>
    <w:link w:val="112"/>
    <w:unhideWhenUsed/>
    <w:qFormat/>
    <w:uiPriority w:val="99"/>
    <w:pPr>
      <w:shd w:val="clear" w:color="auto" w:fill="FFFFFF"/>
      <w:spacing w:line="240" w:lineRule="atLeast"/>
      <w:jc w:val="center"/>
    </w:pPr>
    <w:rPr>
      <w:rFonts w:ascii="宋体" w:hAnsi="宋体"/>
      <w:sz w:val="15"/>
      <w:szCs w:val="24"/>
    </w:rPr>
  </w:style>
  <w:style w:type="character" w:customStyle="1" w:styleId="114">
    <w:name w:val="段 Char Char"/>
    <w:qFormat/>
    <w:uiPriority w:val="0"/>
    <w:rPr>
      <w:rFonts w:ascii="宋体"/>
      <w:sz w:val="21"/>
      <w:lang w:val="en-US" w:eastAsia="zh-CN" w:bidi="ar-SA"/>
    </w:rPr>
  </w:style>
  <w:style w:type="paragraph" w:customStyle="1" w:styleId="115">
    <w:name w:val="终结线"/>
    <w:basedOn w:val="1"/>
    <w:qFormat/>
    <w:uiPriority w:val="0"/>
    <w:pPr>
      <w:framePr w:hSpace="181" w:vSpace="181" w:wrap="around" w:vAnchor="text" w:hAnchor="margin" w:xAlign="center" w:y="285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DS2008\tds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8"/>
    <customShpInfo spid="_x0000_s1037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</Template>
  <Company>CNIS</Company>
  <Pages>6</Pages>
  <Words>418</Words>
  <Characters>2385</Characters>
  <Lines>19</Lines>
  <Paragraphs>5</Paragraphs>
  <TotalTime>35</TotalTime>
  <ScaleCrop>false</ScaleCrop>
  <LinksUpToDate>false</LinksUpToDate>
  <CharactersWithSpaces>2798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2017-10-11T05:41:00Z</dcterms:created>
  <dc:creator>Sky123.Org</dc:creator>
  <cp:lastModifiedBy>Administrator</cp:lastModifiedBy>
  <cp:lastPrinted>2019-05-09T03:09:00Z</cp:lastPrinted>
  <dcterms:modified xsi:type="dcterms:W3CDTF">2019-05-09T03:50:25Z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3.0 Document</vt:lpwstr>
  </property>
  <property fmtid="{D5CDD505-2E9C-101B-9397-08002B2CF9AE}" pid="3" name="KSOProductBuildVer">
    <vt:lpwstr>2052-11.1.0.8696</vt:lpwstr>
  </property>
</Properties>
</file>