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52"/>
          <w:szCs w:val="52"/>
        </w:rPr>
      </w:pPr>
    </w:p>
    <w:p>
      <w:pPr>
        <w:jc w:val="center"/>
        <w:rPr>
          <w:rFonts w:ascii="黑体" w:hAnsi="黑体" w:eastAsia="黑体"/>
          <w:b/>
          <w:sz w:val="52"/>
          <w:szCs w:val="52"/>
        </w:rPr>
      </w:pP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内蒙古自治区地方标准</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《肉形石分类与鉴评》</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（征求意见稿）</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编制说明</w:t>
      </w:r>
    </w:p>
    <w:p>
      <w:pPr>
        <w:jc w:val="center"/>
        <w:rPr>
          <w:rFonts w:asciiTheme="majorEastAsia" w:hAnsiTheme="majorEastAsia" w:eastAsiaTheme="majorEastAsia"/>
          <w:b/>
          <w:sz w:val="52"/>
          <w:szCs w:val="52"/>
        </w:rPr>
      </w:pPr>
    </w:p>
    <w:p>
      <w:pPr>
        <w:jc w:val="center"/>
        <w:rPr>
          <w:rFonts w:asciiTheme="majorEastAsia" w:hAnsiTheme="majorEastAsia" w:eastAsiaTheme="majorEastAsia"/>
          <w:b/>
          <w:sz w:val="52"/>
          <w:szCs w:val="52"/>
        </w:rPr>
      </w:pPr>
    </w:p>
    <w:p>
      <w:pPr>
        <w:jc w:val="center"/>
        <w:rPr>
          <w:rFonts w:asciiTheme="majorEastAsia" w:hAnsiTheme="majorEastAsia" w:eastAsiaTheme="majorEastAsia"/>
          <w:b/>
          <w:sz w:val="52"/>
          <w:szCs w:val="52"/>
        </w:rPr>
      </w:pPr>
    </w:p>
    <w:p>
      <w:pPr>
        <w:jc w:val="center"/>
        <w:rPr>
          <w:rFonts w:asciiTheme="majorEastAsia" w:hAnsiTheme="majorEastAsia" w:eastAsiaTheme="majorEastAsia"/>
          <w:b/>
          <w:sz w:val="52"/>
          <w:szCs w:val="52"/>
        </w:rPr>
      </w:pPr>
    </w:p>
    <w:p>
      <w:pPr>
        <w:jc w:val="center"/>
        <w:rPr>
          <w:rFonts w:asciiTheme="majorEastAsia" w:hAnsiTheme="majorEastAsia" w:eastAsiaTheme="majorEastAsia"/>
          <w:b/>
          <w:sz w:val="52"/>
          <w:szCs w:val="52"/>
        </w:rPr>
      </w:pPr>
    </w:p>
    <w:p>
      <w:pPr>
        <w:jc w:val="center"/>
        <w:rPr>
          <w:rFonts w:asciiTheme="majorEastAsia" w:hAnsiTheme="majorEastAsia" w:eastAsiaTheme="majorEastAsia"/>
          <w:b/>
          <w:sz w:val="52"/>
          <w:szCs w:val="52"/>
        </w:rPr>
      </w:pPr>
    </w:p>
    <w:p>
      <w:pPr>
        <w:jc w:val="center"/>
        <w:rPr>
          <w:rFonts w:asciiTheme="majorEastAsia" w:hAnsiTheme="majorEastAsia" w:eastAsiaTheme="majorEastAsia"/>
          <w:b/>
          <w:sz w:val="52"/>
          <w:szCs w:val="52"/>
        </w:rPr>
      </w:pP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二零一九年三月</w:t>
      </w:r>
    </w:p>
    <w:p>
      <w:pPr>
        <w:pStyle w:val="2"/>
      </w:pPr>
      <w:r>
        <w:rPr>
          <w:rFonts w:hint="eastAsia"/>
        </w:rPr>
        <w:t>一、工作简况</w:t>
      </w:r>
    </w:p>
    <w:p>
      <w:pPr>
        <w:pStyle w:val="3"/>
        <w:rPr>
          <w:szCs w:val="30"/>
        </w:rPr>
      </w:pPr>
      <w:r>
        <w:rPr>
          <w:rFonts w:hint="eastAsia"/>
        </w:rPr>
        <w:t>（</w:t>
      </w:r>
      <w:r>
        <w:rPr>
          <w:rFonts w:hint="eastAsia"/>
          <w:szCs w:val="30"/>
        </w:rPr>
        <w:t>一）任务来源</w:t>
      </w:r>
    </w:p>
    <w:p>
      <w:pPr>
        <w:ind w:firstLine="640" w:firstLineChars="200"/>
        <w:rPr>
          <w:rFonts w:ascii="仿宋_GB2312" w:hAnsi="宋体" w:eastAsia="仿宋_GB2312"/>
          <w:sz w:val="32"/>
          <w:szCs w:val="32"/>
        </w:rPr>
      </w:pPr>
      <w:r>
        <w:rPr>
          <w:rFonts w:hint="eastAsia" w:ascii="仿宋_GB2312" w:hAnsi="宋体" w:eastAsia="仿宋_GB2312"/>
          <w:sz w:val="32"/>
          <w:szCs w:val="32"/>
        </w:rPr>
        <w:t>2018年，原内蒙古自治区质监局《关于下达2018年第二批内蒙古自治区地方标准制修订项目计划的通知》，锡林郭勒盟宝德尔肉石艺术博物馆作为主要起草单位参与起草，锡林郭勒盟苏尼特左旗肉石分类和鉴评标准项目推进组、锡林郭勒盟珠宝玉石首饰行业协会参与起草。本标准由内蒙古玛瑙玉石标准化技术委员会（SAM/TC 32）提出并归口。</w:t>
      </w:r>
    </w:p>
    <w:p>
      <w:pPr>
        <w:ind w:firstLine="640" w:firstLineChars="200"/>
        <w:rPr>
          <w:rFonts w:ascii="仿宋_GB2312" w:hAnsi="宋体" w:eastAsia="仿宋_GB2312"/>
          <w:sz w:val="32"/>
          <w:szCs w:val="32"/>
        </w:rPr>
      </w:pPr>
      <w:r>
        <w:rPr>
          <w:rFonts w:hint="eastAsia" w:ascii="仿宋_GB2312" w:hAnsi="宋体" w:eastAsia="仿宋_GB2312"/>
          <w:sz w:val="32"/>
          <w:szCs w:val="32"/>
        </w:rPr>
        <w:t>我国观赏石文化由来已久，早在6000年前的石器时代，南京的先秦文化遗址中就发掘出随葬的供人玩赏的76枚雨花石；魏晋时代，园林峰石成为主要赏石对象；唐宋时期，皇家宫苑、私家园林蔚然成风，并以供石为特征，由庭园引入文房，成为几案架陈的主角，米芾的“瘦漏透皱”理论和太湖、灵璧、英石、昆石等“四大名石”都形成于这个时期；明代董其昌、清乾隆皇帝都是赏石大家，故宫园林遍布名石、《东坡肉》更成为历任皇帝的宠爱之物和如今台北故宫的镇馆之宝；民国时期，西学东渐，赏石更被赋予了科学内涵；如今，赏石艺术已被正式列入国家级非物质文化遗产，并形成了《观赏石鉴评》国家标准，这是自第一石谱《山海经》、宋代《云林石谱》、明代《素园石谱》、清代《惕安石谱》、民国《万石斋灵岩大理石谱》之后形成的赏石谱系的重要传承。内蒙古地方标准《肉形石分类与鉴评》也是这一谱系传承的重要形式和突出成果。</w:t>
      </w:r>
    </w:p>
    <w:p>
      <w:pPr>
        <w:ind w:firstLine="640" w:firstLineChars="200"/>
        <w:rPr>
          <w:rFonts w:ascii="仿宋_GB2312" w:hAnsi="宋体" w:eastAsia="仿宋_GB2312"/>
          <w:sz w:val="32"/>
          <w:szCs w:val="32"/>
        </w:rPr>
      </w:pPr>
      <w:r>
        <w:rPr>
          <w:rFonts w:hint="eastAsia" w:ascii="仿宋_GB2312" w:hAnsi="宋体" w:eastAsia="仿宋_GB2312"/>
          <w:sz w:val="32"/>
          <w:szCs w:val="32"/>
        </w:rPr>
        <w:t>中国赏石艺术发源于先秦，形成于魏晋，成熟于唐宋，完善于明清，创新于当代。其中，最著名的观赏石就是现存于世界五大博物馆的台北故宫博物院的镇馆之宝《东坡肉》，该肉形石堪称奇石之最，位居“中国四大奇石”之首，多次受邀远赴美国、日本展出，具有极高的国际知名度。该石形色兼备，肉皮毛孔逼真，富有胶质感，外观看上去就像一块喷香四溢的东坡肉，似乎都能闻到红烧肉的香味，让人不由得垂涎三尺。</w:t>
      </w:r>
    </w:p>
    <w:p>
      <w:pPr>
        <w:ind w:firstLine="600" w:firstLineChars="200"/>
        <w:rPr>
          <w:rFonts w:ascii="仿宋" w:hAnsi="仿宋" w:eastAsia="仿宋" w:cs="仿宋"/>
          <w:sz w:val="30"/>
          <w:szCs w:val="30"/>
          <w:lang w:val="zh-CN"/>
        </w:rPr>
      </w:pPr>
      <w:r>
        <w:rPr>
          <w:rFonts w:hint="eastAsia" w:ascii="仿宋" w:hAnsi="仿宋" w:eastAsia="仿宋" w:cs="仿宋"/>
          <w:sz w:val="30"/>
          <w:szCs w:val="30"/>
          <w:lang w:val="zh-CN"/>
        </w:rPr>
        <w:t>《东坡肉》相传为内蒙古阿拉善王爷进贡入宫，其产地并未明确。根据“国家珠宝玉石质量监督检测中心”鉴定，内蒙古锡林郭勒盟</w:t>
      </w:r>
      <w:r>
        <w:fldChar w:fldCharType="begin"/>
      </w:r>
      <w:r>
        <w:instrText xml:space="preserve"> HYPERLINK "http://search.xinmin.cn/?q=苏尼特左旗" </w:instrText>
      </w:r>
      <w:r>
        <w:fldChar w:fldCharType="separate"/>
      </w:r>
      <w:r>
        <w:rPr>
          <w:rFonts w:hint="eastAsia" w:ascii="仿宋" w:hAnsi="仿宋" w:eastAsia="仿宋" w:cs="仿宋"/>
          <w:sz w:val="30"/>
          <w:szCs w:val="30"/>
          <w:lang w:val="zh-CN"/>
        </w:rPr>
        <w:t>苏尼特左旗</w:t>
      </w:r>
      <w:r>
        <w:rPr>
          <w:rFonts w:hint="eastAsia" w:ascii="仿宋" w:hAnsi="仿宋" w:eastAsia="仿宋" w:cs="仿宋"/>
          <w:sz w:val="30"/>
          <w:szCs w:val="30"/>
          <w:lang w:val="zh-CN"/>
        </w:rPr>
        <w:fldChar w:fldCharType="end"/>
      </w:r>
      <w:r>
        <w:rPr>
          <w:rFonts w:hint="eastAsia" w:ascii="仿宋" w:hAnsi="仿宋" w:eastAsia="仿宋" w:cs="仿宋"/>
          <w:sz w:val="30"/>
          <w:szCs w:val="30"/>
          <w:lang w:val="zh-CN"/>
        </w:rPr>
        <w:t>(东苏)肉形石成分为“玉髓”，与《东坡肉》质地完全一致。根据矿脉规模、肉皮特色、形质色纹韵要素等综合分析，《东坡肉》的产地很可能就在东苏。因此，中国赏石界有 “南有东坡肉，北有东苏肉”之说。</w:t>
      </w:r>
    </w:p>
    <w:p>
      <w:pPr>
        <w:ind w:firstLine="600" w:firstLineChars="200"/>
        <w:rPr>
          <w:rFonts w:ascii="仿宋" w:hAnsi="仿宋" w:eastAsia="仿宋" w:cs="仿宋"/>
          <w:sz w:val="30"/>
          <w:szCs w:val="30"/>
          <w:lang w:val="zh-CN"/>
        </w:rPr>
      </w:pPr>
      <w:r>
        <w:rPr>
          <w:rFonts w:hint="eastAsia" w:ascii="仿宋" w:hAnsi="仿宋" w:eastAsia="仿宋" w:cs="仿宋"/>
          <w:sz w:val="30"/>
          <w:szCs w:val="30"/>
          <w:lang w:val="zh-CN"/>
        </w:rPr>
        <w:t>东苏肉形石产于中生代，距今2.3亿年。由火山熔岩、高温热液、地壳隆起、崩裂分化、</w:t>
      </w:r>
      <w:r>
        <w:rPr>
          <w:rFonts w:hint="eastAsia" w:ascii="仿宋" w:hAnsi="仿宋" w:eastAsia="仿宋" w:cs="仿宋"/>
          <w:sz w:val="30"/>
          <w:szCs w:val="30"/>
        </w:rPr>
        <w:t>自然搬运、日照风蚀等因素</w:t>
      </w:r>
      <w:r>
        <w:rPr>
          <w:rFonts w:hint="eastAsia" w:ascii="仿宋" w:hAnsi="仿宋" w:eastAsia="仿宋" w:cs="仿宋"/>
          <w:sz w:val="30"/>
          <w:szCs w:val="30"/>
          <w:lang w:val="zh-CN"/>
        </w:rPr>
        <w:t>而形成。东苏肉形石质地为石英质玉类，细腻润泽、硬度较高，具有地表自然包浆，深受赏石爱好者青睐。</w:t>
      </w:r>
    </w:p>
    <w:p>
      <w:pPr>
        <w:ind w:firstLine="600" w:firstLineChars="200"/>
        <w:rPr>
          <w:rFonts w:ascii="仿宋" w:hAnsi="仿宋" w:eastAsia="仿宋" w:cs="仿宋"/>
          <w:sz w:val="30"/>
          <w:szCs w:val="30"/>
        </w:rPr>
      </w:pPr>
      <w:r>
        <w:rPr>
          <w:rFonts w:hint="eastAsia" w:ascii="仿宋" w:hAnsi="仿宋" w:eastAsia="仿宋" w:cs="仿宋"/>
          <w:sz w:val="30"/>
          <w:szCs w:val="30"/>
        </w:rPr>
        <w:t>目前，肉形石已成为全国每年两千余场奇石博览会的一个不可或缺的主要石种，肉石爱好者遍布各个省市，包括港澳台地区，甚至发展到日本、韩国、新加坡、马来西亚等国外。仅自治区就有数万人从事肉形石的经营、开发、推广、展览、收藏、鉴定、评估等活动。</w:t>
      </w:r>
      <w:r>
        <w:rPr>
          <w:rFonts w:hint="eastAsia" w:ascii="仿宋" w:hAnsi="仿宋" w:eastAsia="仿宋" w:cs="仿宋"/>
          <w:sz w:val="30"/>
          <w:szCs w:val="30"/>
          <w:lang w:val="zh-CN"/>
        </w:rPr>
        <w:t>2014年10月28日,苏尼特左旗被授予“内蒙古观赏石宝玉石基地”暨“肉石之乡”称号；</w:t>
      </w:r>
      <w:r>
        <w:rPr>
          <w:rFonts w:hint="eastAsia" w:ascii="仿宋" w:hAnsi="仿宋" w:eastAsia="仿宋" w:cs="仿宋"/>
          <w:sz w:val="30"/>
          <w:szCs w:val="30"/>
        </w:rPr>
        <w:t>2015年6月锡林郭勒盟成立了全国第一家肉形石博物馆——宝德尔肉石艺术博物馆。</w:t>
      </w:r>
    </w:p>
    <w:p>
      <w:pPr>
        <w:widowControl/>
        <w:spacing w:beforeLines="50" w:afterLines="50"/>
        <w:ind w:firstLine="600" w:firstLineChars="200"/>
        <w:jc w:val="left"/>
        <w:outlineLvl w:val="5"/>
        <w:rPr>
          <w:rFonts w:ascii="仿宋" w:hAnsi="仿宋" w:eastAsia="仿宋"/>
          <w:kern w:val="0"/>
          <w:sz w:val="30"/>
          <w:szCs w:val="30"/>
        </w:rPr>
      </w:pPr>
      <w:r>
        <w:rPr>
          <w:rFonts w:hint="eastAsia" w:ascii="仿宋" w:hAnsi="仿宋" w:eastAsia="仿宋" w:cs="仿宋"/>
          <w:sz w:val="30"/>
          <w:szCs w:val="30"/>
        </w:rPr>
        <w:t>内蒙古肉形石历史渊源深厚、市场发育最早、群众基础非常好，而且品种多样，产地丰富，有猪</w:t>
      </w:r>
      <w:r>
        <w:rPr>
          <w:rFonts w:hint="eastAsia" w:ascii="仿宋" w:hAnsi="仿宋" w:eastAsia="仿宋"/>
          <w:kern w:val="0"/>
          <w:sz w:val="30"/>
          <w:szCs w:val="30"/>
        </w:rPr>
        <w:t>肉石、牛肉石、羊肉石、鸡肉石、鱼肉石、</w:t>
      </w:r>
      <w:r>
        <w:rPr>
          <w:rFonts w:hint="eastAsia" w:ascii="仿宋" w:hAnsi="仿宋" w:eastAsia="仿宋" w:cs="黑体"/>
          <w:sz w:val="30"/>
          <w:szCs w:val="30"/>
        </w:rPr>
        <w:t>鳄鱼肉石等六大品种；</w:t>
      </w:r>
      <w:r>
        <w:rPr>
          <w:rFonts w:hint="eastAsia" w:ascii="仿宋" w:hAnsi="仿宋" w:eastAsia="仿宋"/>
          <w:kern w:val="0"/>
          <w:sz w:val="30"/>
          <w:szCs w:val="30"/>
        </w:rPr>
        <w:t>产地有</w:t>
      </w:r>
      <w:r>
        <w:rPr>
          <w:rFonts w:hint="eastAsia" w:ascii="仿宋" w:hAnsi="仿宋" w:eastAsia="仿宋" w:cstheme="minorBidi"/>
          <w:sz w:val="30"/>
          <w:szCs w:val="30"/>
        </w:rPr>
        <w:t>东苏、</w:t>
      </w:r>
      <w:r>
        <w:rPr>
          <w:rFonts w:hint="eastAsia" w:ascii="仿宋" w:hAnsi="仿宋" w:eastAsia="仿宋"/>
          <w:kern w:val="0"/>
          <w:sz w:val="30"/>
          <w:szCs w:val="30"/>
        </w:rPr>
        <w:t>西苏、二连、</w:t>
      </w:r>
      <w:r>
        <w:rPr>
          <w:rFonts w:hint="eastAsia" w:ascii="仿宋" w:hAnsi="仿宋" w:eastAsia="仿宋" w:cstheme="minorBidi"/>
          <w:sz w:val="30"/>
          <w:szCs w:val="30"/>
        </w:rPr>
        <w:t>白云、阿拉善、</w:t>
      </w:r>
      <w:r>
        <w:rPr>
          <w:rFonts w:hint="eastAsia" w:ascii="仿宋" w:hAnsi="仿宋" w:eastAsia="仿宋"/>
          <w:kern w:val="0"/>
          <w:sz w:val="30"/>
          <w:szCs w:val="30"/>
        </w:rPr>
        <w:t>乌拉盖、多伦、乌拉特等八大产地，在全国都是独树一帜。因此，</w:t>
      </w:r>
      <w:r>
        <w:rPr>
          <w:rFonts w:hint="eastAsia" w:ascii="仿宋" w:hAnsi="仿宋" w:eastAsia="仿宋" w:cs="仿宋"/>
          <w:sz w:val="30"/>
          <w:szCs w:val="30"/>
        </w:rPr>
        <w:t>内蒙古亟待编制出台《肉形石分类与鉴评》地方标准。</w:t>
      </w:r>
    </w:p>
    <w:p>
      <w:pPr>
        <w:pStyle w:val="3"/>
      </w:pPr>
      <w:r>
        <w:rPr>
          <w:rFonts w:hint="eastAsia"/>
        </w:rPr>
        <w:t>（二）主要起草单位及起草人</w:t>
      </w:r>
    </w:p>
    <w:p>
      <w:pPr>
        <w:pStyle w:val="16"/>
        <w:ind w:firstLine="600"/>
        <w:rPr>
          <w:rFonts w:ascii="仿宋" w:hAnsi="仿宋" w:eastAsia="仿宋" w:cstheme="minorBidi"/>
          <w:sz w:val="30"/>
          <w:szCs w:val="30"/>
        </w:rPr>
      </w:pPr>
      <w:r>
        <w:rPr>
          <w:rFonts w:hint="eastAsia" w:ascii="仿宋" w:hAnsi="仿宋" w:eastAsia="仿宋"/>
          <w:sz w:val="30"/>
          <w:szCs w:val="30"/>
        </w:rPr>
        <w:t>主要起草单位：</w:t>
      </w:r>
      <w:r>
        <w:rPr>
          <w:rFonts w:hint="eastAsia" w:ascii="仿宋" w:hAnsi="仿宋" w:eastAsia="仿宋" w:cstheme="minorBidi"/>
          <w:sz w:val="30"/>
          <w:szCs w:val="30"/>
        </w:rPr>
        <w:t>锡林郭勒盟宝德尔肉石艺术博物馆、锡林郭勒盟苏尼特左旗肉石分类和鉴评标准项目推进组、锡林郭勒盟珠宝玉石首饰行业协会。</w:t>
      </w:r>
    </w:p>
    <w:p>
      <w:pPr>
        <w:widowControl/>
        <w:tabs>
          <w:tab w:val="center" w:pos="4201"/>
          <w:tab w:val="right" w:leader="dot" w:pos="9298"/>
        </w:tabs>
        <w:autoSpaceDE w:val="0"/>
        <w:autoSpaceDN w:val="0"/>
        <w:ind w:firstLine="600" w:firstLineChars="200"/>
        <w:rPr>
          <w:rFonts w:ascii="仿宋" w:hAnsi="仿宋" w:eastAsia="仿宋" w:cs="仿宋"/>
          <w:sz w:val="30"/>
          <w:szCs w:val="30"/>
        </w:rPr>
      </w:pPr>
      <w:r>
        <w:rPr>
          <w:rFonts w:hint="eastAsia" w:ascii="仿宋" w:hAnsi="仿宋" w:eastAsia="仿宋" w:cstheme="minorBidi"/>
          <w:sz w:val="30"/>
          <w:szCs w:val="30"/>
        </w:rPr>
        <w:t>本标准起草人：</w:t>
      </w:r>
      <w:r>
        <w:rPr>
          <w:rFonts w:hint="eastAsia" w:ascii="仿宋" w:hAnsi="仿宋" w:eastAsia="仿宋"/>
          <w:sz w:val="30"/>
          <w:szCs w:val="30"/>
        </w:rPr>
        <w:t>邢成、巴图、胡贵柱、朱晓春、邢文峰、孟克巴特、刘守峰、刘小平、武毅韧、白振东、王永泉、闫冀洲。</w:t>
      </w:r>
    </w:p>
    <w:p>
      <w:pPr>
        <w:pStyle w:val="2"/>
      </w:pPr>
      <w:r>
        <w:rPr>
          <w:rFonts w:hint="eastAsia"/>
        </w:rPr>
        <w:t>二、标准制定的必要性和意义</w:t>
      </w:r>
    </w:p>
    <w:p>
      <w:pPr>
        <w:ind w:firstLine="660"/>
        <w:rPr>
          <w:rFonts w:ascii="仿宋" w:hAnsi="仿宋" w:eastAsia="仿宋" w:cs="仿宋"/>
          <w:sz w:val="30"/>
          <w:szCs w:val="30"/>
        </w:rPr>
      </w:pPr>
      <w:r>
        <w:rPr>
          <w:rFonts w:hint="eastAsia" w:ascii="仿宋" w:hAnsi="仿宋" w:eastAsia="仿宋" w:cs="仿宋"/>
          <w:sz w:val="30"/>
          <w:szCs w:val="30"/>
        </w:rPr>
        <w:t>近年来，内蒙古地区多伦县的多伦玛瑙、阿拉善地区的阿拉善玉等宝玉奇石闻名海内外。而内蒙古肉形石虽然历史久、品质好，具有地表包浆，极具收藏价值，却因缺失鉴评标准而严重制约了其知名度、美誉度的提高，影响了其赏石、鉴定、评估、营销等活动的健康发展。</w:t>
      </w:r>
    </w:p>
    <w:p>
      <w:pPr>
        <w:ind w:firstLine="660"/>
        <w:rPr>
          <w:rFonts w:ascii="仿宋" w:hAnsi="仿宋" w:eastAsia="仿宋" w:cs="仿宋"/>
          <w:sz w:val="30"/>
          <w:szCs w:val="30"/>
        </w:rPr>
      </w:pPr>
      <w:r>
        <w:rPr>
          <w:rFonts w:hint="eastAsia" w:ascii="仿宋" w:hAnsi="仿宋" w:eastAsia="仿宋" w:cs="仿宋"/>
          <w:sz w:val="30"/>
          <w:szCs w:val="30"/>
        </w:rPr>
        <w:t>内蒙古肉形石产地牧民也因缺乏鉴评标准和硬度、密度、形质色纹韵等基本知识，对具有研究价值的肉形石没有引起足够重视，导致我区珍贵肉形石流落区外甚至海外，影响了肉形石研究的全面性、完整性。</w:t>
      </w:r>
    </w:p>
    <w:p>
      <w:pPr>
        <w:ind w:firstLine="600" w:firstLineChars="200"/>
        <w:rPr>
          <w:rFonts w:ascii="仿宋" w:hAnsi="仿宋" w:eastAsia="仿宋" w:cs="仿宋"/>
          <w:sz w:val="30"/>
          <w:szCs w:val="30"/>
        </w:rPr>
      </w:pPr>
      <w:r>
        <w:rPr>
          <w:rFonts w:hint="eastAsia" w:ascii="仿宋" w:hAnsi="仿宋" w:eastAsia="仿宋" w:cs="仿宋"/>
          <w:sz w:val="30"/>
          <w:szCs w:val="30"/>
        </w:rPr>
        <w:t>目前，全国有3亿多中产阶层，以文化产品和艺术品消费为核心的庞大产业链和产业集群已逐渐形成，人们对精神文化生活有着更多、更高的需求，内蒙古地区丰富的戈壁奇石资源可以提供丰富多彩的高品质、高品位、多样化的文化产品、艺术作品和服务，包括内蒙古三大龙头奇石——肉形石、葡萄玛瑙、沙漠漆。</w:t>
      </w:r>
    </w:p>
    <w:p>
      <w:pPr>
        <w:ind w:firstLine="600" w:firstLineChars="200"/>
        <w:rPr>
          <w:rFonts w:ascii="仿宋" w:hAnsi="仿宋" w:eastAsia="仿宋" w:cs="仿宋"/>
          <w:sz w:val="30"/>
          <w:szCs w:val="30"/>
        </w:rPr>
      </w:pPr>
      <w:r>
        <w:rPr>
          <w:rFonts w:hint="eastAsia" w:ascii="仿宋" w:hAnsi="仿宋" w:eastAsia="仿宋" w:cs="仿宋"/>
          <w:sz w:val="30"/>
          <w:szCs w:val="30"/>
        </w:rPr>
        <w:t>奇石产业也是带动牧民创业和“扶贫”的一项新举措。统一、规范、透明的肉形石分类与鉴评标准，有利于提高内蒙古地区肉形石资源保护利用，</w:t>
      </w:r>
      <w:r>
        <w:rPr>
          <w:rFonts w:hint="eastAsia" w:ascii="仿宋" w:hAnsi="仿宋" w:eastAsia="仿宋"/>
          <w:sz w:val="30"/>
          <w:szCs w:val="30"/>
        </w:rPr>
        <w:t>刺激经济发展，带动就业，提高群众收入，为早日全面建成小康社会做出应有的贡献。</w:t>
      </w:r>
    </w:p>
    <w:p>
      <w:pPr>
        <w:ind w:firstLine="600" w:firstLineChars="200"/>
        <w:rPr>
          <w:rFonts w:ascii="仿宋" w:hAnsi="仿宋" w:eastAsia="仿宋" w:cs="仿宋"/>
          <w:sz w:val="30"/>
          <w:szCs w:val="30"/>
        </w:rPr>
      </w:pPr>
      <w:r>
        <w:rPr>
          <w:rFonts w:hint="eastAsia" w:ascii="仿宋" w:hAnsi="仿宋" w:eastAsia="仿宋"/>
          <w:sz w:val="30"/>
          <w:szCs w:val="30"/>
        </w:rPr>
        <w:t>内蒙古有着丰富悠久的历史文化资源，如久负盛名的蒙元文化、红山文化、大窑文化、朱开沟文化、秦直道文化、昭君文化、辽金文化等，其中，“奇石文化”也是内蒙古极其重要的特色文化资源，自治区把奇石文化打造为特色品牌，推向全国，有利于促进全区旅游与文化产业的融合，</w:t>
      </w:r>
      <w:r>
        <w:rPr>
          <w:rFonts w:hint="eastAsia" w:ascii="仿宋" w:hAnsi="仿宋" w:eastAsia="仿宋" w:cs="仿宋"/>
          <w:sz w:val="30"/>
          <w:szCs w:val="30"/>
        </w:rPr>
        <w:t>提升内蒙古地区肉形石鉴定评估和赏石文化水平的整体高度。</w:t>
      </w:r>
    </w:p>
    <w:p>
      <w:pPr>
        <w:ind w:firstLine="600" w:firstLineChars="200"/>
        <w:rPr>
          <w:rFonts w:ascii="仿宋" w:hAnsi="仿宋" w:eastAsia="仿宋" w:cs="仿宋"/>
          <w:sz w:val="30"/>
          <w:szCs w:val="30"/>
        </w:rPr>
      </w:pPr>
      <w:r>
        <w:rPr>
          <w:rFonts w:hint="eastAsia" w:ascii="仿宋" w:hAnsi="仿宋" w:eastAsia="仿宋" w:cs="仿宋"/>
          <w:sz w:val="30"/>
          <w:szCs w:val="30"/>
        </w:rPr>
        <w:t>同时，由于目前缺失肉形石鉴评标准，对于各级赏石展会评奖、市场价格定级、法务评估、银行抵押评估等都无据可依，出现了各地石展组委会随意评比，金奖含金量不高，收藏者不愿参评，不能吸引更多群众参与，影响和制约了观赏石产业健康可持续发展等问题。肉形石市场也出现了难辨优劣、以次充好，无法定价的状况。公检法系统也因评估标准缺失而无法准确估价，从而影响到具体量刑标准。同时，典当、抵押、银行贷款等业务也无从开展。因此，为了进一步完善评估、鉴评体系，规范市场，指导鉴评，提供科学、客观、准确的评估依据，引导赏石文化长期健康发展，急需出台统一规范的肉形石鉴评标准。</w:t>
      </w:r>
    </w:p>
    <w:p>
      <w:pPr>
        <w:pStyle w:val="2"/>
      </w:pPr>
      <w:r>
        <w:rPr>
          <w:rFonts w:hint="eastAsia"/>
        </w:rPr>
        <w:t>三、标准编制原则</w:t>
      </w:r>
    </w:p>
    <w:p>
      <w:pPr>
        <w:pStyle w:val="15"/>
        <w:ind w:firstLine="600" w:firstLineChars="200"/>
        <w:rPr>
          <w:rFonts w:ascii="仿宋" w:hAnsi="仿宋" w:eastAsia="仿宋"/>
          <w:sz w:val="30"/>
          <w:szCs w:val="30"/>
        </w:rPr>
      </w:pPr>
      <w:r>
        <w:rPr>
          <w:rFonts w:hint="eastAsia" w:ascii="仿宋" w:hAnsi="仿宋" w:eastAsia="仿宋"/>
          <w:sz w:val="30"/>
          <w:szCs w:val="30"/>
        </w:rPr>
        <w:t>该地方标准的编写内容与格式严格按照GB/T 1.1-2009 《标准化工作导则 ：标准的结构和编写》的要求进行，主要遵循了依法性、科学性、协调性、实用性原则。</w:t>
      </w:r>
    </w:p>
    <w:p>
      <w:pPr>
        <w:pStyle w:val="3"/>
      </w:pPr>
      <w:r>
        <w:rPr>
          <w:rFonts w:hint="eastAsia"/>
        </w:rPr>
        <w:t>（一）依法性</w:t>
      </w:r>
    </w:p>
    <w:p>
      <w:pPr>
        <w:pStyle w:val="15"/>
        <w:ind w:firstLine="600" w:firstLineChars="200"/>
        <w:rPr>
          <w:rFonts w:ascii="仿宋" w:hAnsi="仿宋" w:eastAsia="仿宋"/>
          <w:sz w:val="30"/>
          <w:szCs w:val="30"/>
        </w:rPr>
      </w:pPr>
      <w:r>
        <w:rPr>
          <w:rFonts w:hint="eastAsia" w:ascii="仿宋" w:hAnsi="仿宋" w:eastAsia="仿宋"/>
          <w:sz w:val="30"/>
          <w:szCs w:val="30"/>
        </w:rPr>
        <w:t>该地方标准依据GB/T 2260《中华人民共和国行政区化代码》，</w:t>
      </w:r>
      <w:r>
        <w:rPr>
          <w:rFonts w:hint="eastAsia" w:ascii="仿宋" w:hAnsi="仿宋" w:eastAsia="仿宋"/>
          <w:color w:val="000000"/>
          <w:sz w:val="30"/>
          <w:szCs w:val="30"/>
        </w:rPr>
        <w:t>DZ/T 0130.9《地质矿产实验室测试质量管理规范 第9部分：岩石矿物样品鉴定》，</w:t>
      </w:r>
      <w:r>
        <w:rPr>
          <w:rFonts w:hint="eastAsia" w:ascii="仿宋" w:hAnsi="仿宋" w:eastAsia="仿宋"/>
          <w:sz w:val="30"/>
          <w:szCs w:val="30"/>
        </w:rPr>
        <w:t>GB/T 31390-2015《观赏石鉴评》，QB/T 4184-2012《观赏石（摆件）命名及鉴定》，GB/T 16552-2017《珠宝玉石 名称》，GB/T 16553-2017《珠宝玉石鉴定》等法规性文本，制定遵循了依法性原则。</w:t>
      </w:r>
    </w:p>
    <w:p>
      <w:pPr>
        <w:pStyle w:val="3"/>
      </w:pPr>
      <w:r>
        <w:rPr>
          <w:rFonts w:hint="eastAsia"/>
        </w:rPr>
        <w:t>（二）科学性</w:t>
      </w:r>
    </w:p>
    <w:p>
      <w:pPr>
        <w:ind w:firstLine="640" w:firstLineChars="200"/>
        <w:rPr>
          <w:rFonts w:ascii="仿宋" w:hAnsi="仿宋" w:eastAsia="仿宋"/>
          <w:sz w:val="32"/>
          <w:szCs w:val="32"/>
        </w:rPr>
      </w:pPr>
      <w:r>
        <w:rPr>
          <w:rFonts w:hint="eastAsia" w:ascii="仿宋" w:hAnsi="仿宋" w:eastAsia="仿宋"/>
          <w:sz w:val="32"/>
          <w:szCs w:val="32"/>
        </w:rPr>
        <w:t>该标准的制定基于《珠宝玉石鉴定》和《石英质玉 分类与定名》文件的要求，充分参考了现行的国家标准、行业标准、地方标准，参照</w:t>
      </w:r>
      <w:r>
        <w:rPr>
          <w:rFonts w:hint="eastAsia" w:ascii="仿宋" w:hAnsi="仿宋" w:eastAsia="仿宋"/>
          <w:sz w:val="30"/>
          <w:szCs w:val="30"/>
        </w:rPr>
        <w:t>了《河南省鲁山肉形石命名分类鉴评》标准</w:t>
      </w:r>
      <w:r>
        <w:rPr>
          <w:rFonts w:hint="eastAsia" w:ascii="仿宋" w:hAnsi="仿宋" w:eastAsia="仿宋"/>
          <w:sz w:val="32"/>
          <w:szCs w:val="32"/>
        </w:rPr>
        <w:t>相关工作的经验。充分考虑我们自治区奇石行业的实际情况，多次与行业主管部门沟通，召开研讨会，并结合自治区对肉形石等级划分与评定的需求，确定了标准所规范的内容。该标准对自治区开展肉形石等级划分与评定提出总体要求，将有效指导自治区奇石博览会开展肉形石评定工作，为评定、监督部门提供依据，具有较高的科学性和先进性。</w:t>
      </w:r>
    </w:p>
    <w:p>
      <w:pPr>
        <w:pStyle w:val="3"/>
      </w:pPr>
      <w:r>
        <w:rPr>
          <w:rFonts w:hint="eastAsia"/>
        </w:rPr>
        <w:t>（三）协调性</w:t>
      </w:r>
    </w:p>
    <w:p>
      <w:pPr>
        <w:ind w:firstLine="640" w:firstLineChars="200"/>
        <w:rPr>
          <w:rFonts w:ascii="仿宋" w:hAnsi="仿宋" w:eastAsia="仿宋"/>
          <w:sz w:val="32"/>
          <w:szCs w:val="32"/>
        </w:rPr>
      </w:pPr>
      <w:r>
        <w:rPr>
          <w:rFonts w:hint="eastAsia" w:ascii="仿宋" w:hAnsi="仿宋" w:eastAsia="仿宋"/>
          <w:sz w:val="32"/>
          <w:szCs w:val="32"/>
        </w:rPr>
        <w:t>该地方标准的协调性主要体现在：标准与现有条例、文件的协调。标准内容严格执行戈壁奇石，玛瑙玉石行业各相关政策法规的要求，如《石英质玉 分类与定名》，《珠宝玉石 名称》，《翡翠分级》， 《观赏石鉴评》，《观赏石（摆件）命名及鉴定》等法规性文本。</w:t>
      </w:r>
    </w:p>
    <w:p>
      <w:pPr>
        <w:pStyle w:val="3"/>
      </w:pPr>
      <w:r>
        <w:rPr>
          <w:rFonts w:hint="eastAsia"/>
        </w:rPr>
        <w:t>（四）实用性强</w:t>
      </w:r>
    </w:p>
    <w:p>
      <w:pPr>
        <w:ind w:firstLine="640" w:firstLineChars="200"/>
        <w:rPr>
          <w:rFonts w:ascii="仿宋" w:hAnsi="仿宋" w:eastAsia="仿宋"/>
          <w:sz w:val="32"/>
          <w:szCs w:val="32"/>
        </w:rPr>
      </w:pPr>
      <w:r>
        <w:rPr>
          <w:rFonts w:hint="eastAsia" w:ascii="仿宋" w:hAnsi="仿宋" w:eastAsia="仿宋"/>
          <w:sz w:val="32"/>
          <w:szCs w:val="32"/>
        </w:rPr>
        <w:t>该地方标准的研制基于自治区观赏石行业肉形石等级划分与评定工作的需求，充分考虑了自治区地理、人文、经济状况，征求意见，以确保标准的实用性。是全自治区肉形石行业鉴赏、评级、评估工作的需求，使标准真正得到应用实施。</w:t>
      </w:r>
    </w:p>
    <w:p>
      <w:pPr>
        <w:pStyle w:val="2"/>
      </w:pPr>
      <w:r>
        <w:rPr>
          <w:rFonts w:hint="eastAsia"/>
        </w:rPr>
        <w:t>四、编制过程</w:t>
      </w:r>
    </w:p>
    <w:p>
      <w:pPr>
        <w:pStyle w:val="3"/>
      </w:pPr>
      <w:r>
        <w:rPr>
          <w:rFonts w:hint="eastAsia"/>
        </w:rPr>
        <w:t>（一）前期研究</w:t>
      </w:r>
    </w:p>
    <w:p>
      <w:pPr>
        <w:rPr>
          <w:rFonts w:ascii="仿宋" w:hAnsi="仿宋" w:eastAsia="仿宋"/>
          <w:sz w:val="32"/>
          <w:szCs w:val="32"/>
        </w:rPr>
      </w:pPr>
      <w:r>
        <w:rPr>
          <w:rFonts w:hint="eastAsia"/>
        </w:rPr>
        <w:t xml:space="preserve">      </w:t>
      </w:r>
      <w:r>
        <w:rPr>
          <w:rFonts w:hint="eastAsia" w:ascii="仿宋" w:hAnsi="仿宋" w:eastAsia="仿宋"/>
          <w:sz w:val="32"/>
          <w:szCs w:val="32"/>
        </w:rPr>
        <w:t>2018年该项目获得立项以来，《肉形石分类与鉴定》（内部讨论稿）经过2018年12月玛瑙玉石标准化技术委员会研讨，提出了12条修改意见（附后），经研究将按12条意见由起草组进行修改完善。</w:t>
      </w:r>
    </w:p>
    <w:p>
      <w:pPr>
        <w:pStyle w:val="3"/>
      </w:pPr>
      <w:r>
        <w:rPr>
          <w:rFonts w:hint="eastAsia"/>
        </w:rPr>
        <w:t>（二）研制标准征求意见稿</w:t>
      </w:r>
    </w:p>
    <w:p>
      <w:pPr>
        <w:ind w:firstLine="640" w:firstLineChars="200"/>
        <w:rPr>
          <w:rFonts w:hint="eastAsia" w:ascii="仿宋" w:hAnsi="仿宋" w:eastAsia="仿宋"/>
          <w:sz w:val="32"/>
          <w:szCs w:val="32"/>
        </w:rPr>
      </w:pPr>
      <w:r>
        <w:rPr>
          <w:rFonts w:hint="eastAsia" w:ascii="仿宋" w:hAnsi="仿宋" w:eastAsia="仿宋"/>
          <w:sz w:val="32"/>
          <w:szCs w:val="32"/>
        </w:rPr>
        <w:t>2019年3月，标准起草小组结合锡林郭勒盟宝德尔肉石艺术博物馆馆藏一千余块肉石和市场调研、研讨会意见，并研读了河南鲁山肉形石等级划分与评定地方标准，纠正了鲁山标准相关的十几处差错，重新形成了《内蒙古肉形石分类与鉴评》（征求意见稿）。</w:t>
      </w:r>
    </w:p>
    <w:p>
      <w:pPr>
        <w:rPr>
          <w:rFonts w:hint="eastAsia" w:ascii="黑体" w:hAnsi="黑体" w:eastAsia="黑体" w:cs="黑体"/>
          <w:sz w:val="32"/>
          <w:szCs w:val="32"/>
        </w:rPr>
      </w:pPr>
      <w:bookmarkStart w:id="0" w:name="_GoBack"/>
      <w:r>
        <w:rPr>
          <w:rFonts w:hint="eastAsia" w:ascii="黑体" w:hAnsi="黑体" w:eastAsia="黑体" w:cs="黑体"/>
          <w:sz w:val="32"/>
          <w:szCs w:val="32"/>
        </w:rPr>
        <w:t>五、标准的依据来源和主要内容</w:t>
      </w:r>
    </w:p>
    <w:bookmarkEnd w:id="0"/>
    <w:p>
      <w:pPr>
        <w:pStyle w:val="3"/>
      </w:pPr>
      <w:r>
        <w:rPr>
          <w:rFonts w:hint="eastAsia"/>
        </w:rPr>
        <w:t>（一）依据来源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5" w:lineRule="atLeast"/>
        <w:ind w:firstLine="640" w:firstLineChars="200"/>
        <w:jc w:val="left"/>
        <w:rPr>
          <w:rFonts w:ascii="仿宋" w:hAnsi="仿宋" w:eastAsia="仿宋"/>
          <w:color w:val="393939"/>
          <w:sz w:val="32"/>
          <w:szCs w:val="32"/>
          <w:shd w:val="clear" w:color="auto" w:fill="FFFFFF"/>
        </w:rPr>
      </w:pPr>
      <w:r>
        <w:rPr>
          <w:rFonts w:hint="eastAsia" w:ascii="仿宋" w:hAnsi="仿宋" w:eastAsia="仿宋"/>
          <w:color w:val="393939"/>
          <w:sz w:val="32"/>
          <w:szCs w:val="32"/>
          <w:shd w:val="clear" w:color="auto" w:fill="FFFFFF"/>
        </w:rPr>
        <w:t>该标准编制过程中，主要依据该地方标准的提出和研制适逢《珠宝玉石鉴定》、《石英质玉 分类与定名》、《珠宝玉石 名称》、《地质矿产实验室测试质量管理规范 第9部分：岩石矿物样品鉴定》、《观赏石鉴评》《观赏石（摆件）命名及鉴定》等法规性文本。</w:t>
      </w:r>
    </w:p>
    <w:p>
      <w:pPr>
        <w:pStyle w:val="17"/>
        <w:numPr>
          <w:ilvl w:val="0"/>
          <w:numId w:val="3"/>
        </w:numPr>
        <w:spacing w:before="156" w:after="156"/>
        <w:rPr>
          <w:rFonts w:asciiTheme="minorEastAsia" w:hAnsiTheme="minorEastAsia" w:eastAsiaTheme="minorEastAsia"/>
          <w:sz w:val="30"/>
          <w:szCs w:val="30"/>
        </w:rPr>
      </w:pPr>
      <w:r>
        <w:rPr>
          <w:rFonts w:hint="eastAsia"/>
          <w:sz w:val="30"/>
          <w:szCs w:val="30"/>
        </w:rPr>
        <w:t>主要内容：</w:t>
      </w:r>
    </w:p>
    <w:p>
      <w:pPr>
        <w:widowControl/>
        <w:numPr>
          <w:ilvl w:val="1"/>
          <w:numId w:val="0"/>
        </w:numPr>
        <w:spacing w:beforeLines="50"/>
        <w:jc w:val="left"/>
        <w:outlineLvl w:val="2"/>
        <w:rPr>
          <w:rFonts w:ascii="仿宋" w:hAnsi="仿宋" w:eastAsia="仿宋"/>
          <w:color w:val="393939"/>
          <w:sz w:val="32"/>
          <w:szCs w:val="32"/>
          <w:shd w:val="clear" w:color="auto" w:fill="FFFFFF"/>
        </w:rPr>
      </w:pPr>
      <w:r>
        <w:rPr>
          <w:rFonts w:hint="eastAsia" w:ascii="仿宋" w:hAnsi="仿宋" w:eastAsia="仿宋"/>
          <w:color w:val="393939"/>
          <w:sz w:val="32"/>
          <w:szCs w:val="32"/>
          <w:shd w:val="clear" w:color="auto" w:fill="FFFFFF"/>
        </w:rPr>
        <w:t>一、肉形石分类</w:t>
      </w:r>
    </w:p>
    <w:p>
      <w:pPr>
        <w:widowControl/>
        <w:numPr>
          <w:ilvl w:val="2"/>
          <w:numId w:val="0"/>
        </w:numPr>
        <w:spacing w:beforeLines="50" w:afterLines="50"/>
        <w:jc w:val="left"/>
        <w:outlineLvl w:val="3"/>
        <w:rPr>
          <w:rFonts w:ascii="仿宋" w:hAnsi="仿宋" w:eastAsia="仿宋"/>
          <w:color w:val="393939"/>
          <w:sz w:val="32"/>
          <w:szCs w:val="32"/>
          <w:shd w:val="clear" w:color="auto" w:fill="FFFFFF"/>
        </w:rPr>
      </w:pPr>
      <w:r>
        <w:rPr>
          <w:rFonts w:hint="eastAsia" w:ascii="仿宋" w:hAnsi="仿宋" w:eastAsia="仿宋"/>
          <w:color w:val="393939"/>
          <w:sz w:val="32"/>
          <w:szCs w:val="32"/>
          <w:shd w:val="clear" w:color="auto" w:fill="FFFFFF"/>
        </w:rPr>
        <w:t>1、肉形石附存地分类：地表料、浅表料、山矿料等。</w:t>
      </w:r>
    </w:p>
    <w:p>
      <w:pPr>
        <w:widowControl/>
        <w:numPr>
          <w:ilvl w:val="2"/>
          <w:numId w:val="0"/>
        </w:numPr>
        <w:spacing w:beforeLines="50" w:afterLines="50"/>
        <w:jc w:val="left"/>
        <w:outlineLvl w:val="3"/>
        <w:rPr>
          <w:rFonts w:ascii="仿宋" w:hAnsi="仿宋" w:eastAsia="仿宋"/>
          <w:color w:val="393939"/>
          <w:sz w:val="32"/>
          <w:szCs w:val="32"/>
          <w:shd w:val="clear" w:color="auto" w:fill="FFFFFF"/>
        </w:rPr>
      </w:pPr>
      <w:r>
        <w:rPr>
          <w:rFonts w:hint="eastAsia" w:ascii="仿宋" w:hAnsi="仿宋" w:eastAsia="仿宋"/>
          <w:color w:val="393939"/>
          <w:sz w:val="32"/>
          <w:szCs w:val="32"/>
          <w:shd w:val="clear" w:color="auto" w:fill="FFFFFF"/>
        </w:rPr>
        <w:t>2、肉形石动物分类</w:t>
      </w:r>
    </w:p>
    <w:p>
      <w:pPr>
        <w:pStyle w:val="24"/>
        <w:widowControl/>
        <w:numPr>
          <w:ilvl w:val="1"/>
          <w:numId w:val="4"/>
        </w:numPr>
        <w:spacing w:beforeLines="50" w:afterLines="50"/>
        <w:ind w:firstLineChars="0"/>
        <w:jc w:val="left"/>
        <w:outlineLvl w:val="3"/>
        <w:rPr>
          <w:rFonts w:ascii="仿宋" w:hAnsi="仿宋" w:eastAsia="仿宋"/>
          <w:color w:val="393939"/>
          <w:sz w:val="32"/>
          <w:szCs w:val="32"/>
          <w:shd w:val="clear" w:color="auto" w:fill="FFFFFF"/>
        </w:rPr>
      </w:pPr>
      <w:r>
        <w:rPr>
          <w:rFonts w:hint="eastAsia" w:ascii="仿宋" w:hAnsi="仿宋" w:eastAsia="仿宋"/>
          <w:color w:val="393939"/>
          <w:sz w:val="32"/>
          <w:szCs w:val="32"/>
          <w:shd w:val="clear" w:color="auto" w:fill="FFFFFF"/>
        </w:rPr>
        <w:t xml:space="preserve"> 肉形石动物种类：猪肉类、牛肉类、羊肉类、鸡肉类、鱼肉类、鳄鱼肉类等。</w:t>
      </w:r>
    </w:p>
    <w:p>
      <w:pPr>
        <w:pStyle w:val="24"/>
        <w:widowControl/>
        <w:numPr>
          <w:ilvl w:val="1"/>
          <w:numId w:val="4"/>
        </w:numPr>
        <w:spacing w:beforeLines="50" w:afterLines="50"/>
        <w:ind w:firstLineChars="0"/>
        <w:jc w:val="left"/>
        <w:outlineLvl w:val="3"/>
        <w:rPr>
          <w:rFonts w:ascii="仿宋" w:hAnsi="仿宋" w:eastAsia="仿宋"/>
          <w:color w:val="393939"/>
          <w:sz w:val="32"/>
          <w:szCs w:val="32"/>
          <w:shd w:val="clear" w:color="auto" w:fill="FFFFFF"/>
        </w:rPr>
      </w:pPr>
      <w:r>
        <w:rPr>
          <w:rFonts w:hint="eastAsia" w:ascii="仿宋" w:hAnsi="仿宋" w:eastAsia="仿宋"/>
          <w:color w:val="393939"/>
          <w:sz w:val="32"/>
          <w:szCs w:val="32"/>
          <w:shd w:val="clear" w:color="auto" w:fill="FFFFFF"/>
        </w:rPr>
        <w:t>肉形石动物脏器：内脏器官类、外部器官类等。</w:t>
      </w:r>
    </w:p>
    <w:p>
      <w:pPr>
        <w:pStyle w:val="24"/>
        <w:widowControl/>
        <w:numPr>
          <w:ilvl w:val="0"/>
          <w:numId w:val="5"/>
        </w:numPr>
        <w:spacing w:beforeLines="50" w:afterLines="50"/>
        <w:ind w:firstLineChars="0"/>
        <w:jc w:val="left"/>
        <w:outlineLvl w:val="3"/>
        <w:rPr>
          <w:rFonts w:ascii="仿宋" w:hAnsi="仿宋" w:eastAsia="仿宋"/>
          <w:color w:val="393939"/>
          <w:sz w:val="32"/>
          <w:szCs w:val="32"/>
          <w:shd w:val="clear" w:color="auto" w:fill="FFFFFF"/>
        </w:rPr>
      </w:pPr>
      <w:r>
        <w:rPr>
          <w:rFonts w:hint="eastAsia" w:ascii="仿宋" w:hAnsi="仿宋" w:eastAsia="仿宋"/>
          <w:color w:val="393939"/>
          <w:sz w:val="32"/>
          <w:szCs w:val="32"/>
          <w:shd w:val="clear" w:color="auto" w:fill="FFFFFF"/>
        </w:rPr>
        <w:t>肉形石</w:t>
      </w:r>
      <w:r>
        <w:rPr>
          <w:rFonts w:ascii="仿宋" w:hAnsi="仿宋" w:eastAsia="仿宋"/>
          <w:color w:val="393939"/>
          <w:sz w:val="32"/>
          <w:szCs w:val="32"/>
          <w:shd w:val="clear" w:color="auto" w:fill="FFFFFF"/>
        </w:rPr>
        <w:t>加工</w:t>
      </w:r>
      <w:r>
        <w:rPr>
          <w:rFonts w:hint="eastAsia" w:ascii="仿宋" w:hAnsi="仿宋" w:eastAsia="仿宋"/>
          <w:color w:val="393939"/>
          <w:sz w:val="32"/>
          <w:szCs w:val="32"/>
          <w:shd w:val="clear" w:color="auto" w:fill="FFFFFF"/>
        </w:rPr>
        <w:t>程度分类：生肉类、熟肉类、腊肉类、风干肉类等。</w:t>
      </w:r>
    </w:p>
    <w:p>
      <w:pPr>
        <w:widowControl/>
        <w:numPr>
          <w:ilvl w:val="2"/>
          <w:numId w:val="0"/>
        </w:numPr>
        <w:spacing w:beforeLines="50" w:afterLines="50"/>
        <w:jc w:val="left"/>
        <w:outlineLvl w:val="3"/>
        <w:rPr>
          <w:rFonts w:ascii="仿宋" w:hAnsi="仿宋" w:eastAsia="仿宋"/>
          <w:color w:val="393939"/>
          <w:sz w:val="32"/>
          <w:szCs w:val="32"/>
          <w:shd w:val="clear" w:color="auto" w:fill="FFFFFF"/>
        </w:rPr>
      </w:pPr>
      <w:r>
        <w:rPr>
          <w:rFonts w:hint="eastAsia" w:ascii="仿宋" w:hAnsi="仿宋" w:eastAsia="仿宋"/>
          <w:color w:val="393939"/>
          <w:sz w:val="32"/>
          <w:szCs w:val="32"/>
          <w:shd w:val="clear" w:color="auto" w:fill="FFFFFF"/>
        </w:rPr>
        <w:t>5、肉形石烹饪工艺分类：红烧肉、东坡肉、腊汁肉、水煮肉、水晶肉、五花肉、五香肉、糖醋肉、过油肉、丸子肉、盐焗肉、煎肉、炖肉、蒸肉、炸肉、腌肉、熏肉、酱肉、烤肉、贡肉等。5、肉形石重量分类：超大肉形石、大型肉形石、中型肉形石、小型肉形石、微型肉形石等。</w:t>
      </w:r>
    </w:p>
    <w:p>
      <w:pPr>
        <w:widowControl/>
        <w:numPr>
          <w:ilvl w:val="2"/>
          <w:numId w:val="0"/>
        </w:numPr>
        <w:spacing w:beforeLines="50" w:afterLines="50"/>
        <w:jc w:val="left"/>
        <w:outlineLvl w:val="3"/>
        <w:rPr>
          <w:rFonts w:ascii="仿宋" w:hAnsi="仿宋" w:eastAsia="仿宋"/>
          <w:color w:val="393939"/>
          <w:sz w:val="32"/>
          <w:szCs w:val="32"/>
          <w:shd w:val="clear" w:color="auto" w:fill="FFFFFF"/>
        </w:rPr>
      </w:pPr>
      <w:r>
        <w:rPr>
          <w:rFonts w:hint="eastAsia" w:ascii="仿宋" w:hAnsi="仿宋" w:eastAsia="仿宋"/>
          <w:color w:val="393939"/>
          <w:sz w:val="32"/>
          <w:szCs w:val="32"/>
          <w:shd w:val="clear" w:color="auto" w:fill="FFFFFF"/>
        </w:rPr>
        <w:t>6、肉形石肉皮分类;红烧皮、芙蓉皮、橘红皮、嫣紫皮、黄焗皮、瓷白皮、水煮皮、水晶皮、沙晶皮、碳黑皮、银灰皮、巧克力皮、花彩皮、糯米皮、面包皮、豆腐皮、栗粒皮、蜜柚皮、葡萄皮、鱼鳞皮、沙漠漆皮、烫烧皮、分层皮、二层皮、带血皮等。</w:t>
      </w:r>
    </w:p>
    <w:p>
      <w:pPr>
        <w:widowControl/>
        <w:numPr>
          <w:ilvl w:val="2"/>
          <w:numId w:val="0"/>
        </w:numPr>
        <w:spacing w:beforeLines="50" w:afterLines="50"/>
        <w:jc w:val="left"/>
        <w:outlineLvl w:val="3"/>
        <w:rPr>
          <w:rFonts w:ascii="仿宋" w:hAnsi="仿宋" w:eastAsia="仿宋"/>
          <w:color w:val="393939"/>
          <w:sz w:val="32"/>
          <w:szCs w:val="32"/>
          <w:shd w:val="clear" w:color="auto" w:fill="FFFFFF"/>
        </w:rPr>
      </w:pPr>
      <w:r>
        <w:rPr>
          <w:rFonts w:hint="eastAsia" w:ascii="仿宋" w:hAnsi="仿宋" w:eastAsia="仿宋"/>
          <w:color w:val="393939"/>
          <w:sz w:val="32"/>
          <w:szCs w:val="32"/>
          <w:shd w:val="clear" w:color="auto" w:fill="FFFFFF"/>
        </w:rPr>
        <w:t>二、肉形石鉴评要点及鉴评指标（权重）见表1。</w:t>
      </w:r>
    </w:p>
    <w:p>
      <w:pPr>
        <w:widowControl/>
        <w:numPr>
          <w:ilvl w:val="0"/>
          <w:numId w:val="2"/>
        </w:numPr>
        <w:tabs>
          <w:tab w:val="left" w:pos="360"/>
        </w:tabs>
        <w:spacing w:beforeLines="50"/>
        <w:jc w:val="center"/>
        <w:rPr>
          <w:rFonts w:ascii="黑体" w:hAnsi="Times New Roman" w:eastAsia="黑体"/>
          <w:kern w:val="0"/>
          <w:szCs w:val="20"/>
        </w:rPr>
      </w:pPr>
      <w:r>
        <w:rPr>
          <w:rFonts w:hint="eastAsia" w:ascii="黑体" w:hAnsi="Times New Roman" w:eastAsia="黑体"/>
          <w:kern w:val="0"/>
          <w:szCs w:val="20"/>
        </w:rPr>
        <w:t>肉形石鉴评要点及权重分配表</w:t>
      </w:r>
    </w:p>
    <w:tbl>
      <w:tblPr>
        <w:tblStyle w:val="9"/>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4"/>
        <w:gridCol w:w="1116"/>
        <w:gridCol w:w="6237"/>
        <w:gridCol w:w="10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ind w:firstLine="90" w:firstLineChars="50"/>
              <w:rPr>
                <w:rFonts w:ascii="黑体" w:hAnsi="黑体" w:eastAsia="黑体"/>
                <w:sz w:val="18"/>
                <w:szCs w:val="18"/>
              </w:rPr>
            </w:pPr>
            <w:r>
              <w:rPr>
                <w:rFonts w:hint="eastAsia" w:ascii="黑体" w:hAnsi="黑体" w:eastAsia="黑体"/>
                <w:sz w:val="18"/>
                <w:szCs w:val="18"/>
              </w:rPr>
              <w:t>鉴评要素</w:t>
            </w:r>
          </w:p>
        </w:tc>
        <w:tc>
          <w:tcPr>
            <w:tcW w:w="1116"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黑体" w:hAnsi="黑体" w:eastAsia="黑体"/>
                <w:sz w:val="18"/>
                <w:szCs w:val="18"/>
              </w:rPr>
            </w:pPr>
            <w:r>
              <w:rPr>
                <w:rFonts w:hint="eastAsia" w:ascii="黑体" w:hAnsi="黑体" w:eastAsia="黑体"/>
                <w:sz w:val="18"/>
                <w:szCs w:val="18"/>
              </w:rPr>
              <w:t>要素类别</w:t>
            </w:r>
          </w:p>
        </w:tc>
        <w:tc>
          <w:tcPr>
            <w:tcW w:w="6237"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ind w:firstLine="360" w:firstLineChars="200"/>
              <w:jc w:val="center"/>
              <w:rPr>
                <w:rFonts w:ascii="黑体" w:hAnsi="黑体" w:eastAsia="黑体"/>
                <w:sz w:val="18"/>
                <w:szCs w:val="18"/>
              </w:rPr>
            </w:pPr>
            <w:r>
              <w:rPr>
                <w:rFonts w:hint="eastAsia" w:ascii="黑体" w:hAnsi="黑体" w:eastAsia="黑体"/>
                <w:sz w:val="18"/>
                <w:szCs w:val="18"/>
              </w:rPr>
              <w:t>鉴评要点</w:t>
            </w:r>
          </w:p>
        </w:tc>
        <w:tc>
          <w:tcPr>
            <w:tcW w:w="1010"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黑体" w:hAnsi="黑体" w:eastAsia="黑体"/>
                <w:sz w:val="18"/>
                <w:szCs w:val="18"/>
              </w:rPr>
            </w:pPr>
            <w:r>
              <w:rPr>
                <w:rFonts w:hint="eastAsia" w:ascii="黑体" w:hAnsi="黑体" w:eastAsia="黑体"/>
                <w:sz w:val="18"/>
                <w:szCs w:val="18"/>
              </w:rPr>
              <w:t>权重</w:t>
            </w:r>
          </w:p>
          <w:p>
            <w:pPr>
              <w:tabs>
                <w:tab w:val="center" w:pos="4201"/>
                <w:tab w:val="right" w:leader="dot" w:pos="9298"/>
              </w:tabs>
              <w:autoSpaceDE w:val="0"/>
              <w:autoSpaceDN w:val="0"/>
              <w:jc w:val="center"/>
              <w:rPr>
                <w:rFonts w:ascii="黑体" w:hAnsi="黑体" w:eastAsia="黑体"/>
                <w:sz w:val="18"/>
                <w:szCs w:val="18"/>
              </w:rPr>
            </w:pPr>
            <w:r>
              <w:rPr>
                <w:rFonts w:hint="eastAsia" w:ascii="黑体" w:hAnsi="黑体" w:eastAsia="黑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Merge w:val="restart"/>
            <w:tcBorders>
              <w:top w:val="single" w:color="000000" w:sz="4" w:space="0"/>
              <w:left w:val="single" w:color="000000" w:sz="4" w:space="0"/>
              <w:bottom w:val="single" w:color="000000" w:sz="4" w:space="0"/>
              <w:right w:val="single" w:color="000000" w:sz="4" w:space="0"/>
            </w:tcBorders>
            <w:vAlign w:val="center"/>
          </w:tcPr>
          <w:p>
            <w:pPr>
              <w:widowControl/>
              <w:tabs>
                <w:tab w:val="center" w:pos="4201"/>
                <w:tab w:val="right" w:leader="dot" w:pos="9298"/>
              </w:tabs>
              <w:autoSpaceDE w:val="0"/>
              <w:autoSpaceDN w:val="0"/>
              <w:ind w:firstLine="180" w:firstLineChars="100"/>
              <w:rPr>
                <w:rFonts w:ascii="宋体" w:hAnsi="Times New Roman"/>
                <w:kern w:val="0"/>
                <w:sz w:val="18"/>
                <w:szCs w:val="18"/>
              </w:rPr>
            </w:pPr>
            <w:r>
              <w:rPr>
                <w:rFonts w:hint="eastAsia" w:ascii="宋体" w:hAnsi="Times New Roman"/>
                <w:kern w:val="0"/>
                <w:sz w:val="18"/>
                <w:szCs w:val="18"/>
              </w:rPr>
              <w:t>自然要素</w:t>
            </w:r>
          </w:p>
        </w:tc>
        <w:tc>
          <w:tcPr>
            <w:tcW w:w="1116" w:type="dxa"/>
            <w:tcBorders>
              <w:top w:val="single" w:color="000000" w:sz="4" w:space="0"/>
              <w:left w:val="single" w:color="000000" w:sz="4" w:space="0"/>
              <w:bottom w:val="single" w:color="000000" w:sz="4" w:space="0"/>
              <w:right w:val="single" w:color="000000" w:sz="4" w:space="0"/>
            </w:tcBorders>
            <w:vAlign w:val="center"/>
          </w:tcPr>
          <w:p>
            <w:pPr>
              <w:widowControl/>
              <w:tabs>
                <w:tab w:val="center" w:pos="4201"/>
                <w:tab w:val="right" w:leader="dot" w:pos="9298"/>
              </w:tabs>
              <w:autoSpaceDE w:val="0"/>
              <w:autoSpaceDN w:val="0"/>
              <w:jc w:val="center"/>
              <w:rPr>
                <w:rFonts w:ascii="宋体" w:hAnsi="Times New Roman"/>
                <w:kern w:val="0"/>
                <w:sz w:val="18"/>
                <w:szCs w:val="18"/>
              </w:rPr>
            </w:pPr>
            <w:r>
              <w:rPr>
                <w:rFonts w:hint="eastAsia" w:ascii="宋体" w:hAnsi="Times New Roman"/>
                <w:kern w:val="0"/>
                <w:sz w:val="18"/>
                <w:szCs w:val="18"/>
              </w:rPr>
              <w:t>形态</w:t>
            </w:r>
          </w:p>
        </w:tc>
        <w:tc>
          <w:tcPr>
            <w:tcW w:w="6237" w:type="dxa"/>
            <w:tcBorders>
              <w:top w:val="single" w:color="000000" w:sz="4" w:space="0"/>
              <w:left w:val="single" w:color="000000" w:sz="4" w:space="0"/>
              <w:bottom w:val="single" w:color="000000" w:sz="4" w:space="0"/>
              <w:right w:val="single" w:color="000000" w:sz="4" w:space="0"/>
            </w:tcBorders>
            <w:vAlign w:val="center"/>
          </w:tcPr>
          <w:p>
            <w:pPr>
              <w:widowControl/>
              <w:tabs>
                <w:tab w:val="center" w:pos="4201"/>
                <w:tab w:val="right" w:leader="dot" w:pos="9298"/>
              </w:tabs>
              <w:autoSpaceDE w:val="0"/>
              <w:autoSpaceDN w:val="0"/>
              <w:rPr>
                <w:rFonts w:ascii="宋体" w:hAnsi="Times New Roman"/>
                <w:color w:val="000000"/>
                <w:kern w:val="0"/>
                <w:sz w:val="18"/>
                <w:szCs w:val="18"/>
              </w:rPr>
            </w:pPr>
            <w:r>
              <w:rPr>
                <w:rFonts w:hint="eastAsia" w:ascii="宋体" w:hAnsi="Times New Roman"/>
                <w:kern w:val="0"/>
                <w:sz w:val="18"/>
                <w:szCs w:val="18"/>
              </w:rPr>
              <w:t>石体完整，造型饱满，形象逼真、灵动，与肉类食品、实物大小、形态相似</w:t>
            </w:r>
          </w:p>
        </w:tc>
        <w:tc>
          <w:tcPr>
            <w:tcW w:w="1010" w:type="dxa"/>
            <w:tcBorders>
              <w:top w:val="single" w:color="000000" w:sz="4" w:space="0"/>
              <w:left w:val="single" w:color="000000" w:sz="4" w:space="0"/>
              <w:bottom w:val="single" w:color="000000" w:sz="4" w:space="0"/>
              <w:right w:val="single" w:color="000000" w:sz="4" w:space="0"/>
            </w:tcBorders>
            <w:vAlign w:val="center"/>
          </w:tcPr>
          <w:p>
            <w:pPr>
              <w:widowControl/>
              <w:tabs>
                <w:tab w:val="center" w:pos="4201"/>
                <w:tab w:val="right" w:leader="dot" w:pos="9298"/>
              </w:tabs>
              <w:autoSpaceDE w:val="0"/>
              <w:autoSpaceDN w:val="0"/>
              <w:jc w:val="center"/>
              <w:rPr>
                <w:rFonts w:ascii="宋体" w:hAnsi="Times New Roman"/>
                <w:kern w:val="0"/>
                <w:sz w:val="18"/>
                <w:szCs w:val="18"/>
              </w:rPr>
            </w:pPr>
            <w:r>
              <w:rPr>
                <w:rFonts w:hint="eastAsia" w:ascii="宋体" w:hAnsi="Times New Roman"/>
                <w:kern w:val="0"/>
                <w:sz w:val="18"/>
                <w:szCs w:val="18"/>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黑体" w:hAnsi="黑体" w:eastAsia="黑体"/>
                <w:sz w:val="18"/>
                <w:szCs w:val="18"/>
              </w:rPr>
            </w:pPr>
          </w:p>
        </w:tc>
        <w:tc>
          <w:tcPr>
            <w:tcW w:w="1116"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质地</w:t>
            </w:r>
          </w:p>
        </w:tc>
        <w:tc>
          <w:tcPr>
            <w:tcW w:w="6237"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rPr>
                <w:rFonts w:ascii="宋体" w:hAnsi="宋体"/>
                <w:sz w:val="18"/>
                <w:szCs w:val="18"/>
              </w:rPr>
            </w:pPr>
            <w:r>
              <w:rPr>
                <w:rFonts w:hint="eastAsia" w:ascii="宋体" w:hAnsi="宋体" w:cs="黑体"/>
                <w:sz w:val="18"/>
                <w:szCs w:val="18"/>
              </w:rPr>
              <w:t>坚硬、致密、细腻、油润，石肤完好</w:t>
            </w:r>
          </w:p>
        </w:tc>
        <w:tc>
          <w:tcPr>
            <w:tcW w:w="1010"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黑体" w:hAnsi="黑体" w:eastAsia="黑体"/>
                <w:sz w:val="18"/>
                <w:szCs w:val="18"/>
              </w:rPr>
            </w:pPr>
          </w:p>
        </w:tc>
        <w:tc>
          <w:tcPr>
            <w:tcW w:w="1116"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色泽</w:t>
            </w:r>
          </w:p>
        </w:tc>
        <w:tc>
          <w:tcPr>
            <w:tcW w:w="6237" w:type="dxa"/>
            <w:tcBorders>
              <w:top w:val="single" w:color="000000" w:sz="4" w:space="0"/>
              <w:left w:val="single" w:color="000000" w:sz="4" w:space="0"/>
              <w:bottom w:val="single" w:color="000000" w:sz="4" w:space="0"/>
              <w:right w:val="single" w:color="000000" w:sz="4" w:space="0"/>
            </w:tcBorders>
            <w:vAlign w:val="center"/>
          </w:tcPr>
          <w:p>
            <w:pPr>
              <w:widowControl/>
              <w:spacing w:line="345" w:lineRule="atLeast"/>
              <w:rPr>
                <w:rFonts w:ascii="宋体" w:hAnsi="宋体" w:cs="Courier New"/>
                <w:color w:val="000000"/>
                <w:sz w:val="18"/>
                <w:szCs w:val="18"/>
              </w:rPr>
            </w:pPr>
            <w:r>
              <w:rPr>
                <w:rFonts w:hint="eastAsia" w:ascii="宋体" w:hAnsi="宋体" w:cs="Courier New"/>
                <w:sz w:val="18"/>
                <w:szCs w:val="18"/>
              </w:rPr>
              <w:t>整体协调、靓丽，有光泽感，</w:t>
            </w:r>
            <w:r>
              <w:rPr>
                <w:rFonts w:hint="eastAsia" w:ascii="宋体" w:hAnsi="宋体" w:cs="黑体"/>
                <w:sz w:val="18"/>
                <w:szCs w:val="18"/>
              </w:rPr>
              <w:t>透明度高，</w:t>
            </w:r>
            <w:r>
              <w:rPr>
                <w:rFonts w:hint="eastAsia" w:ascii="宋体" w:hAnsi="宋体" w:cs="Courier New"/>
                <w:sz w:val="18"/>
                <w:szCs w:val="18"/>
              </w:rPr>
              <w:t>协调性好，</w:t>
            </w:r>
            <w:r>
              <w:rPr>
                <w:rFonts w:hint="eastAsia" w:ascii="宋体" w:hAnsi="宋体" w:cs="Courier New"/>
                <w:color w:val="000000"/>
                <w:sz w:val="18"/>
                <w:szCs w:val="18"/>
              </w:rPr>
              <w:t>饱和度谐调，</w:t>
            </w:r>
            <w:r>
              <w:rPr>
                <w:rFonts w:hint="eastAsia" w:ascii="宋体" w:hAnsi="宋体" w:cs="Courier New"/>
                <w:sz w:val="18"/>
                <w:szCs w:val="18"/>
              </w:rPr>
              <w:t>石体不同部位色调反差适度</w:t>
            </w:r>
          </w:p>
        </w:tc>
        <w:tc>
          <w:tcPr>
            <w:tcW w:w="1010"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黑体" w:hAnsi="黑体" w:eastAsia="黑体"/>
                <w:sz w:val="18"/>
                <w:szCs w:val="18"/>
              </w:rPr>
            </w:pPr>
          </w:p>
        </w:tc>
        <w:tc>
          <w:tcPr>
            <w:tcW w:w="1116"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纹理</w:t>
            </w:r>
          </w:p>
        </w:tc>
        <w:tc>
          <w:tcPr>
            <w:tcW w:w="6237" w:type="dxa"/>
            <w:tcBorders>
              <w:top w:val="single" w:color="000000" w:sz="4" w:space="0"/>
              <w:left w:val="single" w:color="000000" w:sz="4" w:space="0"/>
              <w:bottom w:val="single" w:color="000000" w:sz="4" w:space="0"/>
              <w:right w:val="single" w:color="000000" w:sz="4" w:space="0"/>
            </w:tcBorders>
            <w:vAlign w:val="center"/>
          </w:tcPr>
          <w:p>
            <w:pPr>
              <w:widowControl/>
              <w:spacing w:line="345" w:lineRule="atLeast"/>
              <w:rPr>
                <w:rFonts w:ascii="宋体" w:hAnsi="宋体" w:cs="Courier New"/>
                <w:color w:val="000000"/>
                <w:sz w:val="18"/>
                <w:szCs w:val="18"/>
              </w:rPr>
            </w:pPr>
            <w:r>
              <w:rPr>
                <w:rFonts w:hint="eastAsia" w:ascii="宋体" w:hAnsi="宋体" w:cs="Courier New"/>
                <w:sz w:val="18"/>
                <w:szCs w:val="18"/>
              </w:rPr>
              <w:t>清晰、自然、流畅、协调，层次完整，分布合理</w:t>
            </w:r>
          </w:p>
        </w:tc>
        <w:tc>
          <w:tcPr>
            <w:tcW w:w="1010"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黑体" w:hAnsi="黑体" w:eastAsia="黑体"/>
                <w:sz w:val="18"/>
                <w:szCs w:val="18"/>
              </w:rPr>
            </w:pPr>
          </w:p>
        </w:tc>
        <w:tc>
          <w:tcPr>
            <w:tcW w:w="1116"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肉皮</w:t>
            </w:r>
          </w:p>
        </w:tc>
        <w:tc>
          <w:tcPr>
            <w:tcW w:w="6237" w:type="dxa"/>
            <w:tcBorders>
              <w:top w:val="single" w:color="000000" w:sz="4" w:space="0"/>
              <w:left w:val="single" w:color="000000" w:sz="4" w:space="0"/>
              <w:bottom w:val="single" w:color="000000" w:sz="4" w:space="0"/>
              <w:right w:val="single" w:color="000000" w:sz="4" w:space="0"/>
            </w:tcBorders>
            <w:vAlign w:val="center"/>
          </w:tcPr>
          <w:p>
            <w:pPr>
              <w:widowControl/>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逼真、完整、温润、有胶质感，皮纹、毛孔、毛根、鬃线清晰、规整</w:t>
            </w:r>
          </w:p>
        </w:tc>
        <w:tc>
          <w:tcPr>
            <w:tcW w:w="1010"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Merge w:val="restart"/>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ind w:firstLine="180" w:firstLineChars="100"/>
              <w:rPr>
                <w:rFonts w:ascii="宋体" w:hAnsi="宋体"/>
                <w:sz w:val="18"/>
                <w:szCs w:val="18"/>
              </w:rPr>
            </w:pPr>
            <w:r>
              <w:rPr>
                <w:rFonts w:hint="eastAsia" w:ascii="宋体" w:hAnsi="宋体"/>
                <w:sz w:val="18"/>
                <w:szCs w:val="18"/>
              </w:rPr>
              <w:t>人文要素</w:t>
            </w:r>
          </w:p>
        </w:tc>
        <w:tc>
          <w:tcPr>
            <w:tcW w:w="1116"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韵意</w:t>
            </w:r>
          </w:p>
        </w:tc>
        <w:tc>
          <w:tcPr>
            <w:tcW w:w="6237" w:type="dxa"/>
            <w:tcBorders>
              <w:top w:val="single" w:color="000000" w:sz="4" w:space="0"/>
              <w:left w:val="single" w:color="000000" w:sz="4" w:space="0"/>
              <w:bottom w:val="single" w:color="000000" w:sz="4" w:space="0"/>
              <w:right w:val="single" w:color="000000" w:sz="4" w:space="0"/>
            </w:tcBorders>
            <w:vAlign w:val="center"/>
          </w:tcPr>
          <w:p>
            <w:pPr>
              <w:widowControl/>
              <w:spacing w:line="345" w:lineRule="atLeast"/>
              <w:rPr>
                <w:rFonts w:ascii="宋体" w:hAnsi="宋体" w:cs="Courier New"/>
                <w:color w:val="000000"/>
                <w:sz w:val="18"/>
                <w:szCs w:val="18"/>
              </w:rPr>
            </w:pPr>
            <w:r>
              <w:rPr>
                <w:rFonts w:hint="eastAsia" w:ascii="宋体" w:hAnsi="宋体" w:cs="Courier New"/>
                <w:sz w:val="18"/>
                <w:szCs w:val="18"/>
              </w:rPr>
              <w:t>软糯香溢，回味无穷，形神兼备，活灵活现，寓意深刻，内涵丰厚，文化、艺术感强</w:t>
            </w:r>
          </w:p>
        </w:tc>
        <w:tc>
          <w:tcPr>
            <w:tcW w:w="1010"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黑体" w:hAnsi="黑体" w:eastAsia="黑体"/>
                <w:sz w:val="18"/>
                <w:szCs w:val="18"/>
              </w:rPr>
            </w:pPr>
          </w:p>
        </w:tc>
        <w:tc>
          <w:tcPr>
            <w:tcW w:w="1116"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命题</w:t>
            </w:r>
          </w:p>
        </w:tc>
        <w:tc>
          <w:tcPr>
            <w:tcW w:w="6237" w:type="dxa"/>
            <w:tcBorders>
              <w:top w:val="single" w:color="000000" w:sz="4" w:space="0"/>
              <w:left w:val="single" w:color="000000" w:sz="4" w:space="0"/>
              <w:bottom w:val="single" w:color="000000" w:sz="4" w:space="0"/>
              <w:right w:val="single" w:color="000000" w:sz="4" w:space="0"/>
            </w:tcBorders>
            <w:vAlign w:val="center"/>
          </w:tcPr>
          <w:p>
            <w:pPr>
              <w:widowControl/>
              <w:spacing w:line="345" w:lineRule="atLeast"/>
              <w:rPr>
                <w:rFonts w:ascii="宋体" w:hAnsi="宋体" w:cs="Courier New"/>
                <w:color w:val="000000"/>
                <w:sz w:val="18"/>
                <w:szCs w:val="18"/>
              </w:rPr>
            </w:pPr>
            <w:r>
              <w:rPr>
                <w:rFonts w:hint="eastAsia" w:ascii="宋体" w:hAnsi="宋体" w:cs="Courier New"/>
                <w:color w:val="000000"/>
                <w:sz w:val="18"/>
                <w:szCs w:val="18"/>
              </w:rPr>
              <w:t>立意新颖、</w:t>
            </w:r>
            <w:r>
              <w:rPr>
                <w:rFonts w:hint="eastAsia" w:ascii="宋体" w:hAnsi="宋体" w:cs="Courier New"/>
                <w:kern w:val="0"/>
                <w:sz w:val="18"/>
                <w:szCs w:val="18"/>
              </w:rPr>
              <w:t>贴切生动、言简意赅、蕴意深邃，具有丰富的文化内涵和较强的艺术性</w:t>
            </w:r>
          </w:p>
        </w:tc>
        <w:tc>
          <w:tcPr>
            <w:tcW w:w="1010"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6" w:hRule="atLeast"/>
        </w:trPr>
        <w:tc>
          <w:tcPr>
            <w:tcW w:w="138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黑体" w:hAnsi="黑体" w:eastAsia="黑体"/>
                <w:sz w:val="18"/>
                <w:szCs w:val="18"/>
              </w:rPr>
            </w:pPr>
          </w:p>
        </w:tc>
        <w:tc>
          <w:tcPr>
            <w:tcW w:w="1116"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配座</w:t>
            </w:r>
          </w:p>
        </w:tc>
        <w:tc>
          <w:tcPr>
            <w:tcW w:w="6237" w:type="dxa"/>
            <w:tcBorders>
              <w:top w:val="single" w:color="000000" w:sz="4" w:space="0"/>
              <w:left w:val="single" w:color="000000" w:sz="4" w:space="0"/>
              <w:bottom w:val="single" w:color="000000" w:sz="4" w:space="0"/>
              <w:right w:val="single" w:color="000000" w:sz="4" w:space="0"/>
            </w:tcBorders>
            <w:vAlign w:val="center"/>
          </w:tcPr>
          <w:p>
            <w:pPr>
              <w:widowControl/>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造型典雅，衬托主题，比例协调，因石适材，工艺精湛，纹饰考究，艺术性强</w:t>
            </w:r>
          </w:p>
        </w:tc>
        <w:tc>
          <w:tcPr>
            <w:tcW w:w="1010"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黑体" w:hAnsi="黑体" w:eastAsia="黑体"/>
                <w:sz w:val="18"/>
                <w:szCs w:val="18"/>
              </w:rPr>
            </w:pPr>
          </w:p>
        </w:tc>
        <w:tc>
          <w:tcPr>
            <w:tcW w:w="1116"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jc w:val="center"/>
              <w:rPr>
                <w:rFonts w:ascii="宋体" w:hAnsi="宋体"/>
                <w:sz w:val="18"/>
                <w:szCs w:val="18"/>
              </w:rPr>
            </w:pPr>
            <w:r>
              <w:rPr>
                <w:rFonts w:hint="eastAsia" w:ascii="宋体" w:hAnsi="宋体"/>
                <w:sz w:val="18"/>
                <w:szCs w:val="18"/>
              </w:rPr>
              <w:t>传承</w:t>
            </w:r>
          </w:p>
        </w:tc>
        <w:tc>
          <w:tcPr>
            <w:tcW w:w="6237" w:type="dxa"/>
            <w:tcBorders>
              <w:top w:val="single" w:color="000000" w:sz="4" w:space="0"/>
              <w:left w:val="single" w:color="000000" w:sz="4" w:space="0"/>
              <w:bottom w:val="single" w:color="000000" w:sz="4" w:space="0"/>
              <w:right w:val="single" w:color="000000" w:sz="4" w:space="0"/>
            </w:tcBorders>
            <w:vAlign w:val="center"/>
          </w:tcPr>
          <w:p>
            <w:pPr>
              <w:widowControl/>
              <w:spacing w:line="345" w:lineRule="atLeast"/>
              <w:rPr>
                <w:rFonts w:ascii="宋体" w:hAnsi="宋体" w:cs="Courier New"/>
                <w:color w:val="000000"/>
                <w:sz w:val="18"/>
                <w:szCs w:val="18"/>
              </w:rPr>
            </w:pPr>
            <w:r>
              <w:rPr>
                <w:rFonts w:hint="eastAsia" w:ascii="宋体" w:hAnsi="宋体" w:cs="Courier New"/>
                <w:color w:val="000000"/>
                <w:sz w:val="18"/>
                <w:szCs w:val="18"/>
              </w:rPr>
              <w:t>历史传承有序，有据可查；民国后仅作为附加项</w:t>
            </w:r>
          </w:p>
        </w:tc>
        <w:tc>
          <w:tcPr>
            <w:tcW w:w="1010" w:type="dxa"/>
            <w:tcBorders>
              <w:top w:val="single" w:color="000000" w:sz="4" w:space="0"/>
              <w:left w:val="single" w:color="000000" w:sz="4" w:space="0"/>
              <w:bottom w:val="single" w:color="000000" w:sz="4" w:space="0"/>
              <w:right w:val="single" w:color="000000" w:sz="4" w:space="0"/>
            </w:tcBorders>
            <w:vAlign w:val="center"/>
          </w:tcPr>
          <w:p>
            <w:pPr>
              <w:tabs>
                <w:tab w:val="center" w:pos="4201"/>
                <w:tab w:val="right" w:leader="dot" w:pos="9298"/>
              </w:tabs>
              <w:autoSpaceDE w:val="0"/>
              <w:autoSpaceDN w:val="0"/>
              <w:ind w:firstLine="360" w:firstLineChars="200"/>
              <w:rPr>
                <w:rFonts w:ascii="宋体" w:hAnsi="宋体"/>
                <w:sz w:val="18"/>
                <w:szCs w:val="18"/>
              </w:rPr>
            </w:pPr>
            <w:r>
              <w:rPr>
                <w:rFonts w:hint="eastAsia" w:ascii="宋体" w:hAnsi="宋体"/>
                <w:sz w:val="18"/>
                <w:szCs w:val="18"/>
              </w:rPr>
              <w:t>—</w:t>
            </w:r>
          </w:p>
        </w:tc>
      </w:tr>
    </w:tbl>
    <w:p>
      <w:pPr>
        <w:pStyle w:val="15"/>
        <w:rPr>
          <w:sz w:val="32"/>
          <w:szCs w:val="32"/>
        </w:rPr>
      </w:pPr>
    </w:p>
    <w:p>
      <w:pPr>
        <w:rPr>
          <w:rFonts w:eastAsia="黑体"/>
          <w:bCs/>
          <w:kern w:val="44"/>
          <w:sz w:val="32"/>
          <w:szCs w:val="32"/>
        </w:rPr>
      </w:pPr>
      <w:r>
        <w:rPr>
          <w:rFonts w:hint="eastAsia" w:eastAsia="黑体"/>
          <w:bCs/>
          <w:kern w:val="44"/>
          <w:sz w:val="32"/>
          <w:szCs w:val="32"/>
        </w:rPr>
        <w:t>五、重大意见的处理结果</w:t>
      </w:r>
    </w:p>
    <w:p>
      <w:pPr>
        <w:rPr>
          <w:rFonts w:ascii="仿宋" w:hAnsi="仿宋" w:eastAsia="仿宋"/>
          <w:sz w:val="32"/>
          <w:szCs w:val="32"/>
        </w:rPr>
      </w:pPr>
      <w:r>
        <w:rPr>
          <w:rFonts w:hint="eastAsia" w:ascii="仿宋" w:hAnsi="仿宋" w:eastAsia="仿宋"/>
          <w:sz w:val="32"/>
          <w:szCs w:val="32"/>
        </w:rPr>
        <w:t>无</w:t>
      </w:r>
    </w:p>
    <w:p>
      <w:pPr>
        <w:rPr>
          <w:rFonts w:eastAsia="黑体"/>
          <w:bCs/>
          <w:kern w:val="44"/>
          <w:sz w:val="32"/>
          <w:szCs w:val="32"/>
        </w:rPr>
      </w:pPr>
      <w:r>
        <w:rPr>
          <w:rFonts w:hint="eastAsia" w:eastAsia="黑体"/>
          <w:bCs/>
          <w:kern w:val="44"/>
          <w:sz w:val="32"/>
          <w:szCs w:val="32"/>
        </w:rPr>
        <w:t>七、采用国际标准和国外先进标准的程度，以及与国际、国外同类标准水平的对比情况，或与测试的国外样品、样机的有关数据对比情况；</w:t>
      </w:r>
    </w:p>
    <w:p>
      <w:pPr>
        <w:rPr>
          <w:rFonts w:ascii="仿宋" w:hAnsi="仿宋" w:eastAsia="仿宋"/>
          <w:sz w:val="32"/>
          <w:szCs w:val="32"/>
        </w:rPr>
      </w:pPr>
      <w:r>
        <w:rPr>
          <w:rFonts w:hint="eastAsia" w:ascii="仿宋" w:hAnsi="仿宋" w:eastAsia="仿宋"/>
          <w:sz w:val="32"/>
          <w:szCs w:val="32"/>
        </w:rPr>
        <w:t>无</w:t>
      </w:r>
    </w:p>
    <w:p>
      <w:pPr>
        <w:ind w:left="640" w:hanging="640" w:hangingChars="200"/>
        <w:rPr>
          <w:rFonts w:hint="eastAsia" w:ascii="仿宋_GB2312" w:hAnsi="inherit" w:eastAsia="仿宋_GB2312" w:cs="宋体"/>
          <w:kern w:val="0"/>
          <w:sz w:val="32"/>
          <w:szCs w:val="32"/>
        </w:rPr>
      </w:pPr>
      <w:r>
        <w:rPr>
          <w:rFonts w:hint="eastAsia" w:eastAsia="黑体"/>
          <w:bCs/>
          <w:kern w:val="44"/>
          <w:sz w:val="32"/>
          <w:szCs w:val="32"/>
        </w:rPr>
        <w:t>八、标准草稿征求意见汇总表</w:t>
      </w:r>
    </w:p>
    <w:p>
      <w:pPr>
        <w:ind w:firstLine="640" w:firstLineChars="200"/>
        <w:rPr>
          <w:rFonts w:eastAsia="黑体" w:asciiTheme="minorHAnsi" w:hAnsiTheme="minorHAnsi" w:cstheme="minorBidi"/>
          <w:bCs/>
          <w:kern w:val="44"/>
          <w:sz w:val="32"/>
          <w:szCs w:val="32"/>
        </w:rPr>
      </w:pPr>
      <w:r>
        <w:rPr>
          <w:rFonts w:hint="eastAsia" w:ascii="仿宋" w:hAnsi="仿宋" w:eastAsia="仿宋"/>
          <w:sz w:val="32"/>
          <w:szCs w:val="32"/>
        </w:rPr>
        <w:t>2018年12月17日，内蒙古自治区玛瑙玉石标准化技术委员会召开了年会，会议一项重要议程就是对《肉形石分类与鉴定》地方标准的研讨，会议巴彦淖尔产品质量计量检测所、锡林郭勒盟产品质量计量检测所、多伦县食药工商质监局苏尼特左旗食药工商质监局、宝德尔肉石艺术博物馆及锡林郭勒盟各奇石协会成员近50余人参加了会议，具体意见如下：</w:t>
      </w:r>
    </w:p>
    <w:tbl>
      <w:tblPr>
        <w:tblStyle w:val="10"/>
        <w:tblW w:w="949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673"/>
        <w:gridCol w:w="2388"/>
        <w:gridCol w:w="923"/>
        <w:gridCol w:w="1046"/>
        <w:gridCol w:w="10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序号</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kern w:val="0"/>
                <w:sz w:val="20"/>
                <w:szCs w:val="21"/>
              </w:rPr>
              <w:t>章、条、编号</w:t>
            </w:r>
          </w:p>
        </w:tc>
        <w:tc>
          <w:tcPr>
            <w:tcW w:w="23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意见</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应改为</w:t>
            </w:r>
          </w:p>
        </w:tc>
        <w:tc>
          <w:tcPr>
            <w:tcW w:w="1046"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0"/>
                <w:szCs w:val="21"/>
              </w:rPr>
            </w:pPr>
            <w:r>
              <w:rPr>
                <w:rFonts w:hint="eastAsia" w:ascii="宋体" w:hAnsi="Times New Roman"/>
                <w:kern w:val="0"/>
                <w:sz w:val="20"/>
                <w:szCs w:val="21"/>
              </w:rPr>
              <w:t>提出单位</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0"/>
                <w:szCs w:val="21"/>
              </w:rPr>
            </w:pPr>
            <w:r>
              <w:rPr>
                <w:rFonts w:hint="eastAsia" w:ascii="宋体" w:hAnsi="Times New Roman"/>
                <w:kern w:val="0"/>
                <w:sz w:val="20"/>
                <w:szCs w:val="21"/>
              </w:rPr>
              <w:t>采纳与否</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不采纳理由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1</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rFonts w:hint="eastAsia"/>
                <w:kern w:val="0"/>
                <w:sz w:val="20"/>
                <w:szCs w:val="21"/>
              </w:rPr>
              <w:t>标准名称</w:t>
            </w:r>
          </w:p>
        </w:tc>
        <w:tc>
          <w:tcPr>
            <w:tcW w:w="2388"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rFonts w:hint="eastAsia"/>
                <w:kern w:val="0"/>
                <w:sz w:val="20"/>
                <w:szCs w:val="21"/>
              </w:rPr>
              <w:t>内蒙古肉形石分类与鉴定</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kern w:val="0"/>
                <w:sz w:val="20"/>
                <w:szCs w:val="21"/>
              </w:rPr>
            </w:pPr>
            <w:r>
              <w:rPr>
                <w:rFonts w:hint="eastAsia"/>
                <w:kern w:val="0"/>
                <w:sz w:val="20"/>
                <w:szCs w:val="21"/>
              </w:rPr>
              <w:t>肉形石分类与鉴定</w:t>
            </w:r>
          </w:p>
        </w:tc>
        <w:tc>
          <w:tcPr>
            <w:tcW w:w="1046" w:type="dxa"/>
            <w:vMerge w:val="restart"/>
            <w:tcBorders>
              <w:top w:val="single" w:color="auto" w:sz="4" w:space="0"/>
              <w:left w:val="single" w:color="auto" w:sz="4" w:space="0"/>
              <w:right w:val="single" w:color="auto" w:sz="4" w:space="0"/>
            </w:tcBorders>
          </w:tcPr>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rPr>
                <w:kern w:val="0"/>
                <w:sz w:val="20"/>
                <w:szCs w:val="21"/>
              </w:rPr>
            </w:pPr>
          </w:p>
          <w:p>
            <w:pPr>
              <w:jc w:val="center"/>
              <w:rPr>
                <w:kern w:val="0"/>
                <w:sz w:val="20"/>
                <w:szCs w:val="21"/>
              </w:rPr>
            </w:pPr>
            <w:r>
              <w:rPr>
                <w:rFonts w:hint="eastAsia"/>
                <w:kern w:val="0"/>
                <w:sz w:val="20"/>
                <w:szCs w:val="21"/>
              </w:rPr>
              <w:t>巴彦淖尔市产品质量计量检测所</w:t>
            </w:r>
          </w:p>
        </w:tc>
        <w:tc>
          <w:tcPr>
            <w:tcW w:w="10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r>
              <w:rPr>
                <w:rFonts w:hint="eastAsia"/>
                <w:kern w:val="0"/>
                <w:sz w:val="20"/>
                <w:szCs w:val="21"/>
              </w:rPr>
              <w:t>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2</w:t>
            </w:r>
          </w:p>
        </w:tc>
        <w:tc>
          <w:tcPr>
            <w:tcW w:w="167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1</w:t>
            </w:r>
            <w:r>
              <w:rPr>
                <w:rFonts w:hint="eastAsia"/>
                <w:kern w:val="0"/>
                <w:sz w:val="20"/>
                <w:szCs w:val="21"/>
              </w:rPr>
              <w:t>范围</w:t>
            </w:r>
          </w:p>
        </w:tc>
        <w:tc>
          <w:tcPr>
            <w:tcW w:w="2388"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rFonts w:hint="eastAsia"/>
                <w:kern w:val="0"/>
                <w:sz w:val="20"/>
                <w:szCs w:val="21"/>
              </w:rPr>
              <w:t>适用范围不明确，</w:t>
            </w:r>
          </w:p>
        </w:tc>
        <w:tc>
          <w:tcPr>
            <w:tcW w:w="923" w:type="dxa"/>
            <w:vMerge w:val="restart"/>
            <w:tcBorders>
              <w:top w:val="single" w:color="auto" w:sz="4" w:space="0"/>
              <w:left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rFonts w:hint="eastAsia"/>
                <w:kern w:val="0"/>
                <w:sz w:val="20"/>
                <w:szCs w:val="21"/>
              </w:rPr>
              <w:t>（</w:t>
            </w:r>
            <w:r>
              <w:rPr>
                <w:kern w:val="0"/>
                <w:sz w:val="20"/>
                <w:szCs w:val="21"/>
              </w:rPr>
              <w:t>1</w:t>
            </w:r>
            <w:r>
              <w:rPr>
                <w:rFonts w:hint="eastAsia"/>
                <w:kern w:val="0"/>
                <w:sz w:val="20"/>
                <w:szCs w:val="21"/>
              </w:rPr>
              <w:t>范围、第</w:t>
            </w:r>
            <w:r>
              <w:rPr>
                <w:kern w:val="0"/>
                <w:sz w:val="20"/>
                <w:szCs w:val="21"/>
              </w:rPr>
              <w:t>3</w:t>
            </w:r>
            <w:r>
              <w:rPr>
                <w:rFonts w:hint="eastAsia"/>
                <w:kern w:val="0"/>
                <w:sz w:val="20"/>
                <w:szCs w:val="21"/>
              </w:rPr>
              <w:t>章</w:t>
            </w:r>
            <w:r>
              <w:rPr>
                <w:kern w:val="0"/>
                <w:sz w:val="20"/>
                <w:szCs w:val="21"/>
              </w:rPr>
              <w:t xml:space="preserve">  </w:t>
            </w:r>
            <w:r>
              <w:rPr>
                <w:rFonts w:hint="eastAsia"/>
                <w:kern w:val="0"/>
                <w:sz w:val="20"/>
                <w:szCs w:val="21"/>
              </w:rPr>
              <w:t>术语和定义</w:t>
            </w:r>
            <w:r>
              <w:rPr>
                <w:kern w:val="0"/>
                <w:sz w:val="20"/>
                <w:szCs w:val="21"/>
              </w:rPr>
              <w:t xml:space="preserve"> </w:t>
            </w:r>
            <w:r>
              <w:rPr>
                <w:rFonts w:hint="eastAsia"/>
                <w:kern w:val="0"/>
                <w:sz w:val="20"/>
                <w:szCs w:val="21"/>
              </w:rPr>
              <w:t>肉石指示不明，范围不明</w:t>
            </w:r>
          </w:p>
        </w:tc>
        <w:tc>
          <w:tcPr>
            <w:tcW w:w="1046" w:type="dxa"/>
            <w:vMerge w:val="continue"/>
            <w:tcBorders>
              <w:left w:val="single" w:color="auto" w:sz="4" w:space="0"/>
              <w:right w:val="single" w:color="auto" w:sz="4" w:space="0"/>
            </w:tcBorders>
          </w:tcPr>
          <w:p>
            <w:pPr>
              <w:jc w:val="center"/>
              <w:rPr>
                <w:rFonts w:asciiTheme="minorHAnsi" w:hAnsiTheme="minorHAnsi" w:eastAsiaTheme="minorEastAsia" w:cstheme="minorBidi"/>
                <w:kern w:val="2"/>
                <w:sz w:val="21"/>
                <w:szCs w:val="21"/>
              </w:rPr>
            </w:pPr>
          </w:p>
        </w:tc>
        <w:tc>
          <w:tcPr>
            <w:tcW w:w="10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p>
            <w:pPr>
              <w:jc w:val="center"/>
              <w:rPr>
                <w:kern w:val="0"/>
                <w:sz w:val="20"/>
                <w:szCs w:val="21"/>
              </w:rPr>
            </w:pPr>
          </w:p>
          <w:p>
            <w:pPr>
              <w:jc w:val="center"/>
              <w:rPr>
                <w:rFonts w:asciiTheme="minorHAnsi" w:hAnsiTheme="minorHAnsi" w:eastAsiaTheme="minorEastAsia" w:cstheme="minorBidi"/>
                <w:kern w:val="2"/>
                <w:sz w:val="21"/>
                <w:szCs w:val="21"/>
              </w:rPr>
            </w:pPr>
            <w:r>
              <w:rPr>
                <w:rFonts w:hint="eastAsia"/>
                <w:kern w:val="0"/>
                <w:sz w:val="20"/>
                <w:szCs w:val="21"/>
              </w:rPr>
              <w:t>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3</w:t>
            </w:r>
          </w:p>
        </w:tc>
        <w:tc>
          <w:tcPr>
            <w:tcW w:w="16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HAnsi" w:hAnsiTheme="minorHAnsi" w:eastAsiaTheme="minorEastAsia" w:cstheme="minorBidi"/>
                <w:kern w:val="2"/>
                <w:sz w:val="21"/>
                <w:szCs w:val="21"/>
              </w:rPr>
            </w:pPr>
          </w:p>
        </w:tc>
        <w:tc>
          <w:tcPr>
            <w:tcW w:w="2388"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rFonts w:hint="eastAsia"/>
                <w:kern w:val="0"/>
                <w:sz w:val="20"/>
                <w:szCs w:val="21"/>
              </w:rPr>
              <w:t>“是肉形石价格评估的重要依据”。这句话去掉</w:t>
            </w:r>
          </w:p>
        </w:tc>
        <w:tc>
          <w:tcPr>
            <w:tcW w:w="923" w:type="dxa"/>
            <w:vMerge w:val="continue"/>
            <w:tcBorders>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p>
        </w:tc>
        <w:tc>
          <w:tcPr>
            <w:tcW w:w="1046" w:type="dxa"/>
            <w:vMerge w:val="continue"/>
            <w:tcBorders>
              <w:left w:val="single" w:color="auto" w:sz="4" w:space="0"/>
              <w:right w:val="single" w:color="auto" w:sz="4" w:space="0"/>
            </w:tcBorders>
          </w:tcPr>
          <w:p>
            <w:pPr>
              <w:jc w:val="center"/>
              <w:rPr>
                <w:rFonts w:asciiTheme="minorHAnsi" w:hAnsiTheme="minorHAnsi" w:eastAsiaTheme="minorEastAsia" w:cstheme="minorBidi"/>
                <w:kern w:val="2"/>
                <w:sz w:val="21"/>
                <w:szCs w:val="21"/>
              </w:rPr>
            </w:pPr>
          </w:p>
        </w:tc>
        <w:tc>
          <w:tcPr>
            <w:tcW w:w="10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r>
              <w:rPr>
                <w:rFonts w:hint="eastAsia"/>
                <w:kern w:val="0"/>
                <w:sz w:val="20"/>
                <w:szCs w:val="21"/>
              </w:rPr>
              <w:t>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4</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2</w:t>
            </w:r>
            <w:r>
              <w:rPr>
                <w:rFonts w:hint="eastAsia"/>
                <w:kern w:val="0"/>
                <w:sz w:val="20"/>
                <w:szCs w:val="21"/>
              </w:rPr>
              <w:t>规范性引用文件</w:t>
            </w:r>
          </w:p>
        </w:tc>
        <w:tc>
          <w:tcPr>
            <w:tcW w:w="2388" w:type="dxa"/>
            <w:tcBorders>
              <w:top w:val="single" w:color="auto" w:sz="4" w:space="0"/>
              <w:left w:val="single" w:color="auto" w:sz="4" w:space="0"/>
              <w:bottom w:val="single" w:color="auto" w:sz="4" w:space="0"/>
              <w:right w:val="single" w:color="auto" w:sz="4" w:space="0"/>
            </w:tcBorders>
            <w:vAlign w:val="center"/>
          </w:tcPr>
          <w:p>
            <w:pPr>
              <w:pStyle w:val="16"/>
              <w:spacing w:before="240" w:after="240"/>
              <w:ind w:firstLine="0" w:firstLineChars="0"/>
              <w:jc w:val="center"/>
              <w:rPr>
                <w:sz w:val="20"/>
                <w:szCs w:val="21"/>
              </w:rPr>
            </w:pPr>
            <w:r>
              <w:rPr>
                <w:rFonts w:hint="eastAsia"/>
                <w:sz w:val="20"/>
                <w:szCs w:val="21"/>
              </w:rPr>
              <w:t>中的10项标准，需要在后面的文本中引用，不引用第二章去掉，但是不合适，有4项标准还是要保留,分别为GB/T 16553-2017 珠宝玉石鉴定、GB/T 166552-2017 珠宝玉石 名称、GB/T 33541-2017 珠宝玉石及贵金属产品抽样检验合格判定准则、GB/T 34098-2017 石英质玉 分类与定名；并按顺序排列。</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p>
        </w:tc>
        <w:tc>
          <w:tcPr>
            <w:tcW w:w="1046" w:type="dxa"/>
            <w:vMerge w:val="continue"/>
            <w:tcBorders>
              <w:left w:val="single" w:color="auto" w:sz="4" w:space="0"/>
              <w:right w:val="single" w:color="auto" w:sz="4" w:space="0"/>
            </w:tcBorders>
          </w:tcPr>
          <w:p>
            <w:pPr>
              <w:jc w:val="center"/>
              <w:rPr>
                <w:rFonts w:asciiTheme="minorHAnsi" w:hAnsiTheme="minorHAnsi" w:eastAsiaTheme="minorEastAsia" w:cstheme="minorBidi"/>
                <w:kern w:val="2"/>
                <w:sz w:val="21"/>
                <w:szCs w:val="21"/>
              </w:rPr>
            </w:pPr>
          </w:p>
        </w:tc>
        <w:tc>
          <w:tcPr>
            <w:tcW w:w="10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rFonts w:asciiTheme="minorHAnsi" w:hAnsiTheme="minorHAnsi" w:eastAsiaTheme="minorEastAsia" w:cstheme="minorBidi"/>
                <w:kern w:val="2"/>
                <w:sz w:val="21"/>
                <w:szCs w:val="21"/>
              </w:rPr>
            </w:pPr>
            <w:r>
              <w:rPr>
                <w:rFonts w:hint="eastAsia"/>
                <w:kern w:val="0"/>
                <w:sz w:val="20"/>
                <w:szCs w:val="21"/>
              </w:rPr>
              <w:t>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kern w:val="0"/>
                <w:sz w:val="20"/>
                <w:szCs w:val="21"/>
              </w:rPr>
            </w:pPr>
          </w:p>
          <w:p>
            <w:pPr>
              <w:jc w:val="center"/>
              <w:rPr>
                <w:rFonts w:asciiTheme="minorHAnsi" w:hAnsiTheme="minorHAnsi" w:eastAsiaTheme="minorEastAsia" w:cstheme="minorBidi"/>
                <w:kern w:val="2"/>
                <w:sz w:val="21"/>
                <w:szCs w:val="21"/>
              </w:rPr>
            </w:pPr>
            <w:r>
              <w:rPr>
                <w:rFonts w:hint="eastAsia"/>
                <w:kern w:val="0"/>
                <w:sz w:val="20"/>
                <w:szCs w:val="21"/>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5</w:t>
            </w:r>
          </w:p>
        </w:tc>
        <w:tc>
          <w:tcPr>
            <w:tcW w:w="167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第3章        术语和定义</w:t>
            </w:r>
          </w:p>
        </w:tc>
        <w:tc>
          <w:tcPr>
            <w:tcW w:w="23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（3.1、3.2和3.3建议放在编制说明当中）</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rFonts w:hint="eastAsia" w:ascii="宋体" w:hAnsi="Times New Roman"/>
                <w:kern w:val="0"/>
                <w:sz w:val="20"/>
                <w:szCs w:val="21"/>
              </w:rPr>
              <w:t>术语和定义不应该自己定义。</w:t>
            </w:r>
          </w:p>
        </w:tc>
        <w:tc>
          <w:tcPr>
            <w:tcW w:w="1046" w:type="dxa"/>
            <w:vMerge w:val="continue"/>
            <w:tcBorders>
              <w:left w:val="single" w:color="auto" w:sz="4" w:space="0"/>
              <w:right w:val="single" w:color="auto" w:sz="4" w:space="0"/>
            </w:tcBorders>
          </w:tcPr>
          <w:p>
            <w:pPr>
              <w:jc w:val="center"/>
              <w:rPr>
                <w:rFonts w:ascii="宋体" w:hAnsi="Times New Roman"/>
                <w:kern w:val="0"/>
                <w:sz w:val="21"/>
                <w:szCs w:val="21"/>
              </w:rPr>
            </w:pPr>
          </w:p>
        </w:tc>
        <w:tc>
          <w:tcPr>
            <w:tcW w:w="1059" w:type="dxa"/>
            <w:tcBorders>
              <w:top w:val="single" w:color="auto" w:sz="4" w:space="0"/>
              <w:left w:val="single" w:color="auto" w:sz="4" w:space="0"/>
              <w:bottom w:val="single" w:color="auto" w:sz="4" w:space="0"/>
              <w:right w:val="single" w:color="auto" w:sz="4" w:space="0"/>
            </w:tcBorders>
          </w:tcPr>
          <w:p>
            <w:pPr>
              <w:jc w:val="center"/>
              <w:rPr>
                <w:rFonts w:ascii="宋体" w:hAnsi="Times New Roman"/>
                <w:kern w:val="0"/>
                <w:sz w:val="21"/>
                <w:szCs w:val="21"/>
              </w:rPr>
            </w:pPr>
            <w:r>
              <w:rPr>
                <w:rFonts w:hint="eastAsia" w:ascii="宋体" w:hAnsi="Times New Roman"/>
                <w:kern w:val="0"/>
                <w:sz w:val="20"/>
                <w:szCs w:val="21"/>
              </w:rPr>
              <w:t>部分采纳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宋体" w:hAnsi="Times New Roman"/>
                <w:kern w:val="0"/>
                <w:sz w:val="21"/>
                <w:szCs w:val="21"/>
              </w:rPr>
            </w:pPr>
            <w:r>
              <w:rPr>
                <w:rFonts w:hint="eastAsia" w:ascii="宋体" w:hAnsi="Times New Roman"/>
                <w:kern w:val="0"/>
                <w:sz w:val="20"/>
                <w:szCs w:val="21"/>
              </w:rPr>
              <w:t>有些有出处，就写明出处了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6</w:t>
            </w:r>
          </w:p>
        </w:tc>
        <w:tc>
          <w:tcPr>
            <w:tcW w:w="16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Times New Roman"/>
                <w:kern w:val="0"/>
                <w:sz w:val="21"/>
                <w:szCs w:val="21"/>
              </w:rPr>
            </w:pPr>
          </w:p>
        </w:tc>
        <w:tc>
          <w:tcPr>
            <w:tcW w:w="23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3.2有</w:t>
            </w:r>
            <w:r>
              <w:rPr>
                <w:rFonts w:hint="eastAsia"/>
                <w:kern w:val="0"/>
                <w:sz w:val="20"/>
                <w:szCs w:val="21"/>
              </w:rPr>
              <w:t>肉类食品特征</w:t>
            </w:r>
          </w:p>
        </w:tc>
        <w:tc>
          <w:tcPr>
            <w:tcW w:w="923" w:type="dxa"/>
            <w:tcBorders>
              <w:top w:val="single" w:color="auto" w:sz="4" w:space="0"/>
              <w:left w:val="single" w:color="auto" w:sz="4" w:space="0"/>
              <w:bottom w:val="single" w:color="auto" w:sz="4" w:space="0"/>
              <w:right w:val="single" w:color="auto" w:sz="4" w:space="0"/>
            </w:tcBorders>
            <w:vAlign w:val="center"/>
          </w:tcPr>
          <w:p>
            <w:pPr>
              <w:rPr>
                <w:rFonts w:asciiTheme="minorHAnsi" w:hAnsiTheme="minorHAnsi" w:eastAsiaTheme="minorEastAsia" w:cstheme="minorBidi"/>
                <w:kern w:val="2"/>
                <w:sz w:val="21"/>
                <w:szCs w:val="21"/>
              </w:rPr>
            </w:pPr>
            <w:r>
              <w:rPr>
                <w:rFonts w:hint="eastAsia"/>
                <w:kern w:val="0"/>
                <w:sz w:val="20"/>
                <w:szCs w:val="21"/>
              </w:rPr>
              <w:t>肉类食品外形特征</w:t>
            </w:r>
          </w:p>
        </w:tc>
        <w:tc>
          <w:tcPr>
            <w:tcW w:w="1046" w:type="dxa"/>
            <w:vMerge w:val="continue"/>
            <w:tcBorders>
              <w:left w:val="single" w:color="auto" w:sz="4" w:space="0"/>
              <w:right w:val="single" w:color="auto" w:sz="4" w:space="0"/>
            </w:tcBorders>
          </w:tcPr>
          <w:p>
            <w:pPr>
              <w:jc w:val="center"/>
              <w:rPr>
                <w:kern w:val="0"/>
                <w:sz w:val="20"/>
                <w:szCs w:val="21"/>
              </w:rPr>
            </w:pPr>
          </w:p>
        </w:tc>
        <w:tc>
          <w:tcPr>
            <w:tcW w:w="10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r>
              <w:rPr>
                <w:rFonts w:hint="eastAsia" w:ascii="宋体" w:hAnsi="Times New Roman"/>
                <w:kern w:val="0"/>
                <w:sz w:val="20"/>
                <w:szCs w:val="21"/>
              </w:rPr>
              <w:t>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7</w:t>
            </w:r>
          </w:p>
        </w:tc>
        <w:tc>
          <w:tcPr>
            <w:tcW w:w="167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第4章 材料性质</w:t>
            </w:r>
          </w:p>
        </w:tc>
        <w:tc>
          <w:tcPr>
            <w:tcW w:w="23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4.2</w:t>
            </w:r>
            <w:r>
              <w:rPr>
                <w:rFonts w:hint="eastAsia" w:ascii="宋体" w:hAnsi="宋体"/>
                <w:kern w:val="0"/>
                <w:sz w:val="20"/>
                <w:szCs w:val="21"/>
              </w:rPr>
              <w:t>摩氏硬度：5.0～7.5。</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GB 34098</w:t>
            </w:r>
            <w:r>
              <w:rPr>
                <w:rFonts w:hint="eastAsia"/>
                <w:kern w:val="0"/>
                <w:sz w:val="20"/>
                <w:szCs w:val="21"/>
              </w:rPr>
              <w:t>，硬度是否正确。</w:t>
            </w:r>
          </w:p>
        </w:tc>
        <w:tc>
          <w:tcPr>
            <w:tcW w:w="1046" w:type="dxa"/>
            <w:vMerge w:val="continue"/>
            <w:tcBorders>
              <w:left w:val="single" w:color="auto" w:sz="4" w:space="0"/>
              <w:right w:val="single" w:color="auto" w:sz="4" w:space="0"/>
            </w:tcBorders>
          </w:tcPr>
          <w:p>
            <w:pPr>
              <w:jc w:val="center"/>
              <w:rPr>
                <w:rFonts w:asciiTheme="minorHAnsi" w:hAnsiTheme="minorHAnsi" w:eastAsiaTheme="minorEastAsia" w:cstheme="minorBidi"/>
                <w:kern w:val="2"/>
                <w:sz w:val="21"/>
                <w:szCs w:val="21"/>
              </w:rPr>
            </w:pPr>
          </w:p>
        </w:tc>
        <w:tc>
          <w:tcPr>
            <w:tcW w:w="10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r>
              <w:rPr>
                <w:rFonts w:hint="eastAsia" w:ascii="宋体" w:hAnsi="Times New Roman"/>
                <w:kern w:val="0"/>
                <w:sz w:val="20"/>
                <w:szCs w:val="21"/>
              </w:rPr>
              <w:t>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8</w:t>
            </w:r>
          </w:p>
        </w:tc>
        <w:tc>
          <w:tcPr>
            <w:tcW w:w="16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Times New Roman"/>
                <w:kern w:val="0"/>
                <w:sz w:val="21"/>
                <w:szCs w:val="21"/>
              </w:rPr>
            </w:pPr>
          </w:p>
        </w:tc>
        <w:tc>
          <w:tcPr>
            <w:tcW w:w="2388" w:type="dxa"/>
            <w:tcBorders>
              <w:top w:val="single" w:color="auto" w:sz="4" w:space="0"/>
              <w:left w:val="single" w:color="auto" w:sz="4" w:space="0"/>
              <w:bottom w:val="single" w:color="auto" w:sz="4" w:space="0"/>
              <w:right w:val="single" w:color="auto" w:sz="4" w:space="0"/>
            </w:tcBorders>
            <w:vAlign w:val="center"/>
          </w:tcPr>
          <w:p>
            <w:pPr>
              <w:pStyle w:val="19"/>
              <w:numPr>
                <w:ilvl w:val="0"/>
                <w:numId w:val="0"/>
              </w:numPr>
              <w:spacing w:before="156" w:after="156"/>
              <w:jc w:val="center"/>
              <w:rPr>
                <w:rFonts w:ascii="宋体" w:hAnsi="宋体" w:eastAsia="宋体"/>
                <w:sz w:val="20"/>
              </w:rPr>
            </w:pPr>
            <w:r>
              <w:rPr>
                <w:rFonts w:hint="eastAsia" w:ascii="宋体" w:eastAsia="宋体"/>
                <w:sz w:val="20"/>
              </w:rPr>
              <w:t>4.4</w:t>
            </w:r>
            <w:r>
              <w:rPr>
                <w:rFonts w:hint="eastAsia" w:ascii="宋体" w:hAnsi="宋体" w:eastAsia="宋体"/>
                <w:sz w:val="20"/>
              </w:rPr>
              <w:t>各种颜色，主要白色、紫色、红色等。</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rFonts w:hint="eastAsia"/>
                <w:kern w:val="0"/>
                <w:sz w:val="20"/>
                <w:szCs w:val="21"/>
              </w:rPr>
              <w:t>各种颜色改为：常见颜色。</w:t>
            </w:r>
          </w:p>
        </w:tc>
        <w:tc>
          <w:tcPr>
            <w:tcW w:w="1046" w:type="dxa"/>
            <w:vMerge w:val="continue"/>
            <w:tcBorders>
              <w:left w:val="single" w:color="auto" w:sz="4" w:space="0"/>
              <w:right w:val="single" w:color="auto" w:sz="4" w:space="0"/>
            </w:tcBorders>
          </w:tcPr>
          <w:p>
            <w:pPr>
              <w:jc w:val="center"/>
              <w:rPr>
                <w:rFonts w:asciiTheme="minorHAnsi" w:hAnsiTheme="minorHAnsi" w:eastAsiaTheme="minorEastAsia" w:cstheme="minorBidi"/>
                <w:kern w:val="2"/>
                <w:sz w:val="21"/>
                <w:szCs w:val="21"/>
              </w:rPr>
            </w:pPr>
          </w:p>
        </w:tc>
        <w:tc>
          <w:tcPr>
            <w:tcW w:w="10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r>
              <w:rPr>
                <w:rFonts w:hint="eastAsia" w:ascii="宋体" w:hAnsi="Times New Roman"/>
                <w:kern w:val="0"/>
                <w:sz w:val="20"/>
                <w:szCs w:val="21"/>
              </w:rPr>
              <w:t>采纳采纳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9</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7.2.4和7.2.5</w:t>
            </w:r>
          </w:p>
        </w:tc>
        <w:tc>
          <w:tcPr>
            <w:tcW w:w="2388" w:type="dxa"/>
            <w:tcBorders>
              <w:top w:val="single" w:color="auto" w:sz="4" w:space="0"/>
              <w:left w:val="single" w:color="auto" w:sz="4" w:space="0"/>
              <w:bottom w:val="single" w:color="auto" w:sz="4" w:space="0"/>
              <w:right w:val="single" w:color="auto" w:sz="4" w:space="0"/>
            </w:tcBorders>
            <w:vAlign w:val="center"/>
          </w:tcPr>
          <w:p>
            <w:pPr>
              <w:pStyle w:val="16"/>
              <w:spacing w:before="240" w:after="240"/>
              <w:ind w:firstLine="400"/>
              <w:jc w:val="center"/>
              <w:rPr>
                <w:sz w:val="20"/>
                <w:szCs w:val="21"/>
              </w:rPr>
            </w:pPr>
            <w:r>
              <w:rPr>
                <w:rFonts w:hint="eastAsia"/>
                <w:sz w:val="20"/>
                <w:szCs w:val="21"/>
              </w:rPr>
              <w:t>肉纤维清晰可见，肥瘦相间，层次明显，分布合理；肉皮感强，毛孔明显，毛根清晰可见，手感及好。</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rFonts w:hint="eastAsia"/>
                <w:kern w:val="0"/>
                <w:sz w:val="20"/>
                <w:szCs w:val="21"/>
              </w:rPr>
              <w:t>表述不规范，分布合理不好鉴定。手感及好</w:t>
            </w:r>
            <w:r>
              <w:rPr>
                <w:kern w:val="0"/>
                <w:sz w:val="20"/>
                <w:szCs w:val="21"/>
              </w:rPr>
              <w:t>,</w:t>
            </w:r>
            <w:r>
              <w:rPr>
                <w:rFonts w:hint="eastAsia"/>
                <w:kern w:val="0"/>
                <w:sz w:val="20"/>
                <w:szCs w:val="21"/>
              </w:rPr>
              <w:t>不准确。</w:t>
            </w:r>
          </w:p>
        </w:tc>
        <w:tc>
          <w:tcPr>
            <w:tcW w:w="1046" w:type="dxa"/>
            <w:vMerge w:val="continue"/>
            <w:tcBorders>
              <w:left w:val="single" w:color="auto" w:sz="4" w:space="0"/>
              <w:right w:val="single" w:color="auto" w:sz="4" w:space="0"/>
            </w:tcBorders>
          </w:tcPr>
          <w:p>
            <w:pPr>
              <w:jc w:val="center"/>
              <w:rPr>
                <w:rFonts w:asciiTheme="minorHAnsi" w:hAnsiTheme="minorHAnsi" w:eastAsiaTheme="minorEastAsia" w:cstheme="minorBidi"/>
                <w:kern w:val="2"/>
                <w:sz w:val="21"/>
                <w:szCs w:val="21"/>
              </w:rPr>
            </w:pPr>
          </w:p>
        </w:tc>
        <w:tc>
          <w:tcPr>
            <w:tcW w:w="10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r>
              <w:rPr>
                <w:rFonts w:hint="eastAsia" w:ascii="宋体" w:hAnsi="Times New Roman"/>
                <w:kern w:val="0"/>
                <w:sz w:val="20"/>
                <w:szCs w:val="21"/>
              </w:rPr>
              <w:t>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10</w:t>
            </w:r>
          </w:p>
        </w:tc>
        <w:tc>
          <w:tcPr>
            <w:tcW w:w="1673" w:type="dxa"/>
            <w:vMerge w:val="restart"/>
            <w:tcBorders>
              <w:top w:val="single" w:color="auto" w:sz="4" w:space="0"/>
              <w:left w:val="single" w:color="auto" w:sz="4" w:space="0"/>
              <w:bottom w:val="single" w:color="auto" w:sz="4" w:space="0"/>
              <w:right w:val="single" w:color="auto" w:sz="4" w:space="0"/>
            </w:tcBorders>
            <w:vAlign w:val="center"/>
          </w:tcPr>
          <w:p>
            <w:pPr>
              <w:ind w:firstLine="500" w:firstLineChars="250"/>
              <w:rPr>
                <w:rFonts w:ascii="宋体" w:hAnsi="Times New Roman"/>
                <w:kern w:val="0"/>
                <w:sz w:val="21"/>
                <w:szCs w:val="21"/>
              </w:rPr>
            </w:pPr>
            <w:r>
              <w:rPr>
                <w:rFonts w:hint="eastAsia" w:ascii="宋体" w:hAnsi="Times New Roman"/>
                <w:kern w:val="0"/>
                <w:sz w:val="20"/>
                <w:szCs w:val="21"/>
              </w:rPr>
              <w:t>8</w:t>
            </w:r>
          </w:p>
        </w:tc>
        <w:tc>
          <w:tcPr>
            <w:tcW w:w="2388" w:type="dxa"/>
            <w:tcBorders>
              <w:top w:val="single" w:color="auto" w:sz="4" w:space="0"/>
              <w:left w:val="single" w:color="auto" w:sz="4" w:space="0"/>
              <w:bottom w:val="single" w:color="auto" w:sz="4" w:space="0"/>
              <w:right w:val="single" w:color="auto" w:sz="4" w:space="0"/>
            </w:tcBorders>
            <w:vAlign w:val="center"/>
          </w:tcPr>
          <w:p>
            <w:pPr>
              <w:pStyle w:val="19"/>
              <w:numPr>
                <w:ilvl w:val="0"/>
                <w:numId w:val="0"/>
              </w:numPr>
              <w:spacing w:before="156" w:after="156"/>
              <w:jc w:val="center"/>
              <w:rPr>
                <w:rFonts w:ascii="宋体" w:eastAsia="宋体"/>
                <w:sz w:val="20"/>
              </w:rPr>
            </w:pPr>
            <w:r>
              <w:rPr>
                <w:rFonts w:hint="eastAsia" w:ascii="宋体" w:eastAsia="宋体"/>
                <w:sz w:val="20"/>
              </w:rPr>
              <w:t>鉴评对象</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rFonts w:hint="eastAsia"/>
                <w:kern w:val="0"/>
                <w:sz w:val="20"/>
                <w:szCs w:val="21"/>
              </w:rPr>
              <w:t>应修改</w:t>
            </w:r>
          </w:p>
        </w:tc>
        <w:tc>
          <w:tcPr>
            <w:tcW w:w="1046" w:type="dxa"/>
            <w:vMerge w:val="continue"/>
            <w:tcBorders>
              <w:left w:val="single" w:color="auto" w:sz="4" w:space="0"/>
              <w:right w:val="single" w:color="auto" w:sz="4" w:space="0"/>
            </w:tcBorders>
          </w:tcPr>
          <w:p>
            <w:pPr>
              <w:ind w:firstLine="315" w:firstLineChars="150"/>
              <w:rPr>
                <w:rFonts w:asciiTheme="minorHAnsi" w:hAnsiTheme="minorHAnsi" w:eastAsiaTheme="minorEastAsia" w:cstheme="minorBidi"/>
                <w:kern w:val="2"/>
                <w:sz w:val="21"/>
                <w:szCs w:val="21"/>
              </w:rPr>
            </w:pPr>
          </w:p>
        </w:tc>
        <w:tc>
          <w:tcPr>
            <w:tcW w:w="1059" w:type="dxa"/>
            <w:tcBorders>
              <w:top w:val="single" w:color="auto" w:sz="4" w:space="0"/>
              <w:left w:val="single" w:color="auto" w:sz="4" w:space="0"/>
              <w:bottom w:val="single" w:color="auto" w:sz="4" w:space="0"/>
              <w:right w:val="single" w:color="auto" w:sz="4" w:space="0"/>
            </w:tcBorders>
          </w:tcPr>
          <w:p>
            <w:pPr>
              <w:ind w:firstLine="300" w:firstLineChars="150"/>
              <w:rPr>
                <w:rFonts w:asciiTheme="minorHAnsi" w:hAnsiTheme="minorHAnsi" w:eastAsiaTheme="minorEastAsia" w:cstheme="minorBidi"/>
                <w:kern w:val="2"/>
                <w:sz w:val="21"/>
                <w:szCs w:val="21"/>
              </w:rPr>
            </w:pPr>
            <w:r>
              <w:rPr>
                <w:rFonts w:hint="eastAsia" w:ascii="宋体" w:hAnsi="Times New Roman"/>
                <w:kern w:val="0"/>
                <w:sz w:val="20"/>
                <w:szCs w:val="21"/>
              </w:rPr>
              <w:t>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11</w:t>
            </w:r>
          </w:p>
        </w:tc>
        <w:tc>
          <w:tcPr>
            <w:tcW w:w="16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Times New Roman"/>
                <w:kern w:val="0"/>
                <w:sz w:val="21"/>
                <w:szCs w:val="21"/>
              </w:rPr>
            </w:pPr>
          </w:p>
        </w:tc>
        <w:tc>
          <w:tcPr>
            <w:tcW w:w="2388" w:type="dxa"/>
            <w:tcBorders>
              <w:top w:val="single" w:color="auto" w:sz="4" w:space="0"/>
              <w:left w:val="single" w:color="auto" w:sz="4" w:space="0"/>
              <w:bottom w:val="single" w:color="auto" w:sz="4" w:space="0"/>
              <w:right w:val="single" w:color="auto" w:sz="4" w:space="0"/>
            </w:tcBorders>
            <w:vAlign w:val="center"/>
          </w:tcPr>
          <w:p>
            <w:pPr>
              <w:pStyle w:val="16"/>
              <w:spacing w:before="240" w:after="240"/>
              <w:ind w:firstLine="0" w:firstLineChars="0"/>
              <w:jc w:val="center"/>
              <w:rPr>
                <w:sz w:val="20"/>
                <w:szCs w:val="21"/>
              </w:rPr>
            </w:pPr>
            <w:r>
              <w:rPr>
                <w:rFonts w:hint="eastAsia"/>
                <w:sz w:val="20"/>
                <w:szCs w:val="21"/>
              </w:rPr>
              <w:t>b)担任评估人员不得有自己或亲属的参加肉石评比。</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rFonts w:hint="eastAsia" w:ascii="宋体" w:hAnsi="Times New Roman"/>
                <w:kern w:val="0"/>
                <w:sz w:val="20"/>
                <w:szCs w:val="21"/>
              </w:rPr>
              <w:t>表述重新修改。</w:t>
            </w:r>
          </w:p>
        </w:tc>
        <w:tc>
          <w:tcPr>
            <w:tcW w:w="1046" w:type="dxa"/>
            <w:vMerge w:val="restart"/>
            <w:tcBorders>
              <w:left w:val="single" w:color="auto" w:sz="4" w:space="0"/>
              <w:right w:val="single" w:color="auto" w:sz="4" w:space="0"/>
            </w:tcBorders>
          </w:tcPr>
          <w:p>
            <w:pPr>
              <w:jc w:val="center"/>
              <w:rPr>
                <w:kern w:val="0"/>
                <w:sz w:val="20"/>
                <w:szCs w:val="21"/>
              </w:rPr>
            </w:pPr>
          </w:p>
          <w:p>
            <w:pPr>
              <w:jc w:val="center"/>
              <w:rPr>
                <w:kern w:val="0"/>
                <w:sz w:val="20"/>
                <w:szCs w:val="21"/>
              </w:rPr>
            </w:pPr>
          </w:p>
          <w:p>
            <w:pPr>
              <w:jc w:val="center"/>
              <w:rPr>
                <w:rFonts w:ascii="宋体" w:hAnsi="Times New Roman"/>
                <w:kern w:val="0"/>
                <w:sz w:val="21"/>
                <w:szCs w:val="21"/>
              </w:rPr>
            </w:pPr>
            <w:r>
              <w:rPr>
                <w:rFonts w:hint="eastAsia"/>
                <w:kern w:val="0"/>
                <w:sz w:val="20"/>
                <w:szCs w:val="21"/>
              </w:rPr>
              <w:t>巴彦淖尔市产品质量计量检测所</w:t>
            </w:r>
          </w:p>
        </w:tc>
        <w:tc>
          <w:tcPr>
            <w:tcW w:w="1059" w:type="dxa"/>
            <w:tcBorders>
              <w:top w:val="single" w:color="auto" w:sz="4" w:space="0"/>
              <w:left w:val="single" w:color="auto" w:sz="4" w:space="0"/>
              <w:bottom w:val="single" w:color="auto" w:sz="4" w:space="0"/>
              <w:right w:val="single" w:color="auto" w:sz="4" w:space="0"/>
            </w:tcBorders>
          </w:tcPr>
          <w:p>
            <w:pPr>
              <w:jc w:val="center"/>
              <w:rPr>
                <w:rFonts w:ascii="宋体" w:hAnsi="Times New Roman"/>
                <w:kern w:val="0"/>
                <w:sz w:val="21"/>
                <w:szCs w:val="21"/>
              </w:rPr>
            </w:pPr>
            <w:r>
              <w:rPr>
                <w:rFonts w:hint="eastAsia" w:ascii="宋体" w:hAnsi="Times New Roman"/>
                <w:kern w:val="0"/>
                <w:sz w:val="20"/>
                <w:szCs w:val="21"/>
              </w:rPr>
              <w:t>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宋体" w:hAnsi="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r>
              <w:rPr>
                <w:kern w:val="0"/>
                <w:sz w:val="20"/>
                <w:szCs w:val="21"/>
              </w:rPr>
              <w:t>12</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9等级</w:t>
            </w:r>
          </w:p>
        </w:tc>
        <w:tc>
          <w:tcPr>
            <w:tcW w:w="23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1"/>
                <w:szCs w:val="21"/>
              </w:rPr>
            </w:pPr>
            <w:r>
              <w:rPr>
                <w:rFonts w:hint="eastAsia" w:ascii="宋体" w:hAnsi="Times New Roman"/>
                <w:kern w:val="0"/>
                <w:sz w:val="20"/>
                <w:szCs w:val="21"/>
              </w:rPr>
              <w:t>应该是：肉形石天然分一等、二等。雕刻分一等、二等。建议这样。</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rPr>
            </w:pPr>
          </w:p>
        </w:tc>
        <w:tc>
          <w:tcPr>
            <w:tcW w:w="1046" w:type="dxa"/>
            <w:vMerge w:val="continue"/>
            <w:tcBorders>
              <w:left w:val="single" w:color="auto" w:sz="4" w:space="0"/>
              <w:right w:val="single" w:color="auto" w:sz="4" w:space="0"/>
            </w:tcBorders>
          </w:tcPr>
          <w:p>
            <w:pPr>
              <w:jc w:val="center"/>
              <w:rPr>
                <w:rFonts w:asciiTheme="minorHAnsi" w:hAnsiTheme="minorHAnsi" w:eastAsiaTheme="minorEastAsia" w:cstheme="minorBidi"/>
                <w:kern w:val="2"/>
                <w:sz w:val="21"/>
                <w:szCs w:val="21"/>
              </w:rPr>
            </w:pPr>
          </w:p>
        </w:tc>
        <w:tc>
          <w:tcPr>
            <w:tcW w:w="10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r>
              <w:rPr>
                <w:rFonts w:hint="eastAsia" w:ascii="宋体" w:hAnsi="Times New Roman"/>
                <w:kern w:val="0"/>
                <w:sz w:val="20"/>
                <w:szCs w:val="21"/>
              </w:rPr>
              <w:t>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1" w:hRule="atLeast"/>
        </w:trPr>
        <w:tc>
          <w:tcPr>
            <w:tcW w:w="850" w:type="dxa"/>
            <w:tcBorders>
              <w:top w:val="single" w:color="auto" w:sz="4" w:space="0"/>
              <w:left w:val="single" w:color="auto" w:sz="4" w:space="0"/>
              <w:bottom w:val="single" w:color="auto" w:sz="4" w:space="0"/>
              <w:right w:val="single" w:color="auto" w:sz="4" w:space="0"/>
            </w:tcBorders>
            <w:vAlign w:val="center"/>
          </w:tcPr>
          <w:p>
            <w:pPr>
              <w:jc w:val="center"/>
              <w:rPr>
                <w:kern w:val="0"/>
                <w:sz w:val="20"/>
                <w:szCs w:val="21"/>
              </w:rPr>
            </w:pPr>
            <w:r>
              <w:rPr>
                <w:rFonts w:hint="eastAsia"/>
                <w:kern w:val="0"/>
                <w:sz w:val="20"/>
                <w:szCs w:val="21"/>
              </w:rPr>
              <w:t>13</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0"/>
                <w:szCs w:val="21"/>
              </w:rPr>
            </w:pPr>
            <w:r>
              <w:rPr>
                <w:rFonts w:hint="eastAsia" w:ascii="宋体" w:hAnsi="Times New Roman"/>
                <w:kern w:val="0"/>
                <w:sz w:val="20"/>
                <w:szCs w:val="21"/>
              </w:rPr>
              <w:t>4.4 折射率</w:t>
            </w:r>
          </w:p>
        </w:tc>
        <w:tc>
          <w:tcPr>
            <w:tcW w:w="2388"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kern w:val="0"/>
                <w:sz w:val="20"/>
                <w:szCs w:val="21"/>
              </w:rPr>
            </w:pPr>
            <w:r>
              <w:rPr>
                <w:rFonts w:hint="eastAsia" w:asciiTheme="minorHAnsi" w:hAnsiTheme="minorHAnsi" w:eastAsiaTheme="minorEastAsia" w:cstheme="minorBidi"/>
                <w:kern w:val="0"/>
                <w:sz w:val="20"/>
                <w:szCs w:val="21"/>
              </w:rPr>
              <w:t>肉石理论上折射率是1.54，但是现实中测折射率的仪器折射仪很小，首饰类可以测，原石测不了</w:t>
            </w:r>
            <w:r>
              <w:rPr>
                <w:rFonts w:hint="eastAsia" w:ascii="宋体" w:hAnsi="Times New Roman"/>
                <w:kern w:val="0"/>
                <w:sz w:val="20"/>
                <w:szCs w:val="21"/>
              </w:rPr>
              <w:t xml:space="preserve"> </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0"/>
                <w:sz w:val="20"/>
                <w:szCs w:val="21"/>
              </w:rPr>
            </w:pPr>
            <w:r>
              <w:rPr>
                <w:rFonts w:hint="eastAsia" w:asciiTheme="minorHAnsi" w:hAnsiTheme="minorHAnsi" w:eastAsiaTheme="minorEastAsia" w:cstheme="minorBidi"/>
                <w:kern w:val="0"/>
                <w:sz w:val="20"/>
                <w:szCs w:val="21"/>
              </w:rPr>
              <w:t>不建议标出</w:t>
            </w:r>
          </w:p>
        </w:tc>
        <w:tc>
          <w:tcPr>
            <w:tcW w:w="1046" w:type="dxa"/>
            <w:vMerge w:val="restart"/>
            <w:tcBorders>
              <w:left w:val="single" w:color="auto" w:sz="4" w:space="0"/>
              <w:right w:val="single" w:color="auto" w:sz="4" w:space="0"/>
            </w:tcBorders>
          </w:tcPr>
          <w:p>
            <w:pPr>
              <w:rPr>
                <w:rFonts w:ascii="宋体" w:hAnsi="Times New Roman"/>
                <w:kern w:val="0"/>
                <w:sz w:val="20"/>
                <w:szCs w:val="21"/>
              </w:rPr>
            </w:pPr>
          </w:p>
          <w:p>
            <w:pPr>
              <w:rPr>
                <w:rFonts w:ascii="宋体" w:hAnsi="Times New Roman"/>
                <w:kern w:val="0"/>
                <w:sz w:val="20"/>
                <w:szCs w:val="21"/>
              </w:rPr>
            </w:pPr>
          </w:p>
          <w:p>
            <w:pPr>
              <w:rPr>
                <w:rFonts w:ascii="宋体" w:hAnsi="Times New Roman"/>
                <w:kern w:val="0"/>
                <w:sz w:val="20"/>
                <w:szCs w:val="21"/>
              </w:rPr>
            </w:pPr>
            <w:r>
              <w:rPr>
                <w:rFonts w:hint="eastAsia" w:ascii="宋体" w:hAnsi="Times New Roman"/>
                <w:kern w:val="0"/>
                <w:sz w:val="20"/>
                <w:szCs w:val="21"/>
              </w:rPr>
              <w:t>内蒙古产品质量检验研究院</w:t>
            </w: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0"/>
                <w:sz w:val="20"/>
                <w:szCs w:val="21"/>
              </w:rPr>
            </w:pPr>
            <w:r>
              <w:rPr>
                <w:rFonts w:hint="eastAsia" w:asciiTheme="minorHAnsi" w:hAnsiTheme="minorHAnsi" w:eastAsiaTheme="minorEastAsia" w:cstheme="minorBidi"/>
                <w:kern w:val="0"/>
                <w:sz w:val="20"/>
                <w:szCs w:val="21"/>
              </w:rPr>
              <w:t>未采纳，暂时保留，等审定会确认</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tcBorders>
              <w:top w:val="single" w:color="auto" w:sz="4" w:space="0"/>
              <w:left w:val="single" w:color="auto" w:sz="4" w:space="0"/>
              <w:bottom w:val="single" w:color="auto" w:sz="4" w:space="0"/>
              <w:right w:val="single" w:color="auto" w:sz="4" w:space="0"/>
            </w:tcBorders>
            <w:vAlign w:val="center"/>
          </w:tcPr>
          <w:p>
            <w:pPr>
              <w:jc w:val="center"/>
              <w:rPr>
                <w:kern w:val="0"/>
                <w:sz w:val="20"/>
                <w:szCs w:val="21"/>
              </w:rPr>
            </w:pPr>
            <w:r>
              <w:rPr>
                <w:rFonts w:hint="eastAsia"/>
                <w:kern w:val="0"/>
                <w:sz w:val="20"/>
                <w:szCs w:val="21"/>
              </w:rPr>
              <w:t>14</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kern w:val="0"/>
                <w:sz w:val="20"/>
                <w:szCs w:val="21"/>
              </w:rPr>
            </w:pPr>
            <w:r>
              <w:rPr>
                <w:rFonts w:hint="eastAsia" w:ascii="宋体" w:hAnsi="Times New Roman"/>
                <w:kern w:val="0"/>
                <w:sz w:val="20"/>
                <w:szCs w:val="21"/>
              </w:rPr>
              <w:t>有害元素检测是否有必要</w:t>
            </w:r>
          </w:p>
        </w:tc>
        <w:tc>
          <w:tcPr>
            <w:tcW w:w="2388" w:type="dxa"/>
            <w:tcBorders>
              <w:top w:val="single" w:color="auto" w:sz="4" w:space="0"/>
              <w:left w:val="single" w:color="auto" w:sz="4" w:space="0"/>
              <w:bottom w:val="single" w:color="auto" w:sz="4" w:space="0"/>
              <w:right w:val="single" w:color="auto" w:sz="4" w:space="0"/>
            </w:tcBorders>
            <w:vAlign w:val="center"/>
          </w:tcPr>
          <w:p>
            <w:pPr>
              <w:rPr>
                <w:rFonts w:asciiTheme="minorHAnsi" w:hAnsiTheme="minorHAnsi" w:eastAsiaTheme="minorEastAsia" w:cstheme="minorBidi"/>
                <w:kern w:val="0"/>
                <w:sz w:val="20"/>
                <w:szCs w:val="21"/>
              </w:rPr>
            </w:pPr>
            <w:r>
              <w:rPr>
                <w:rFonts w:hint="eastAsia" w:asciiTheme="minorHAnsi" w:hAnsiTheme="minorHAnsi" w:eastAsiaTheme="minorEastAsia" w:cstheme="minorBidi"/>
                <w:kern w:val="0"/>
                <w:sz w:val="20"/>
                <w:szCs w:val="21"/>
              </w:rPr>
              <w:t>肉石一般作为摆件，不佩带一般没必要进行有害物质检测，且不是产品标准</w:t>
            </w:r>
          </w:p>
        </w:tc>
        <w:tc>
          <w:tcPr>
            <w:tcW w:w="923"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0"/>
                <w:sz w:val="20"/>
                <w:szCs w:val="21"/>
              </w:rPr>
            </w:pPr>
          </w:p>
        </w:tc>
        <w:tc>
          <w:tcPr>
            <w:tcW w:w="1046" w:type="dxa"/>
            <w:vMerge w:val="continue"/>
            <w:tcBorders>
              <w:left w:val="single" w:color="auto" w:sz="4" w:space="0"/>
              <w:bottom w:val="single" w:color="auto" w:sz="4" w:space="0"/>
              <w:right w:val="single" w:color="auto" w:sz="4" w:space="0"/>
            </w:tcBorders>
          </w:tcPr>
          <w:p>
            <w:pPr>
              <w:rPr>
                <w:rFonts w:ascii="宋体" w:hAnsi="Times New Roman"/>
                <w:kern w:val="0"/>
                <w:sz w:val="20"/>
                <w:szCs w:val="21"/>
              </w:rPr>
            </w:pPr>
          </w:p>
        </w:tc>
        <w:tc>
          <w:tcPr>
            <w:tcW w:w="1059"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0"/>
                <w:sz w:val="20"/>
                <w:szCs w:val="21"/>
              </w:rPr>
            </w:pPr>
            <w:r>
              <w:rPr>
                <w:rFonts w:hint="eastAsia" w:asciiTheme="minorHAnsi" w:hAnsiTheme="minorHAnsi" w:eastAsiaTheme="minorEastAsia" w:cstheme="minorBidi"/>
                <w:kern w:val="0"/>
                <w:sz w:val="20"/>
                <w:szCs w:val="21"/>
              </w:rPr>
              <w:t>采纳</w:t>
            </w:r>
          </w:p>
        </w:tc>
        <w:tc>
          <w:tcPr>
            <w:tcW w:w="1559" w:type="dxa"/>
            <w:tcBorders>
              <w:top w:val="single" w:color="auto" w:sz="4" w:space="0"/>
              <w:left w:val="single" w:color="auto" w:sz="4" w:space="0"/>
              <w:bottom w:val="single" w:color="auto" w:sz="4" w:space="0"/>
              <w:right w:val="single" w:color="auto" w:sz="4" w:space="0"/>
            </w:tcBorders>
          </w:tcPr>
          <w:p>
            <w:pPr>
              <w:jc w:val="center"/>
              <w:rPr>
                <w:rFonts w:asciiTheme="minorHAnsi" w:hAnsiTheme="minorHAnsi" w:eastAsiaTheme="minorEastAsia" w:cstheme="minorBidi"/>
                <w:kern w:val="0"/>
                <w:sz w:val="20"/>
                <w:szCs w:val="21"/>
              </w:rPr>
            </w:pPr>
          </w:p>
        </w:tc>
      </w:tr>
    </w:tbl>
    <w:p>
      <w:pPr>
        <w:pStyle w:val="15"/>
        <w:rPr>
          <w:sz w:val="32"/>
          <w:szCs w:val="32"/>
        </w:rPr>
      </w:pPr>
      <w:r>
        <w:rPr>
          <w:rFonts w:hint="eastAsia"/>
          <w:sz w:val="32"/>
          <w:szCs w:val="32"/>
        </w:rPr>
        <w:t>以上共</w:t>
      </w:r>
      <w:r>
        <w:rPr>
          <w:sz w:val="32"/>
          <w:szCs w:val="32"/>
        </w:rPr>
        <w:t>1</w:t>
      </w:r>
      <w:r>
        <w:rPr>
          <w:rFonts w:hint="eastAsia"/>
          <w:sz w:val="32"/>
          <w:szCs w:val="32"/>
        </w:rPr>
        <w:t>4条意见，后面13和14条意见为2019年3月进行征求意见结果。有</w:t>
      </w:r>
      <w:r>
        <w:rPr>
          <w:sz w:val="32"/>
          <w:szCs w:val="32"/>
        </w:rPr>
        <w:t>1</w:t>
      </w:r>
      <w:r>
        <w:rPr>
          <w:rFonts w:hint="eastAsia"/>
          <w:sz w:val="32"/>
          <w:szCs w:val="32"/>
        </w:rPr>
        <w:t>2条采纳，其余2条未部分采纳。</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inherit">
    <w:altName w:val="Times New Roman"/>
    <w:panose1 w:val="00000000000000000000"/>
    <w:charset w:val="00"/>
    <w:family w:val="roman"/>
    <w:pitch w:val="default"/>
    <w:sig w:usb0="00000000" w:usb1="00000000" w:usb2="00000000" w:usb3="00000000" w:csb0="00000000"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5CDC3B"/>
    <w:multiLevelType w:val="singleLevel"/>
    <w:tmpl w:val="C75CDC3B"/>
    <w:lvl w:ilvl="0" w:tentative="0">
      <w:start w:val="2"/>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8"/>
      <w:suff w:val="nothing"/>
      <w:lvlText w:val="%1.%2.%3　"/>
      <w:lvlJc w:val="left"/>
      <w:pPr>
        <w:ind w:left="0" w:firstLine="0"/>
      </w:pPr>
      <w:rPr>
        <w:rFonts w:hint="eastAsia" w:ascii="黑体" w:hAnsi="Times New Roman" w:eastAsia="黑体"/>
        <w:b w:val="0"/>
        <w:i w:val="0"/>
        <w:sz w:val="21"/>
      </w:rPr>
    </w:lvl>
    <w:lvl w:ilvl="3" w:tentative="0">
      <w:start w:val="1"/>
      <w:numFmt w:val="decimal"/>
      <w:pStyle w:val="17"/>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DA007C3"/>
    <w:multiLevelType w:val="multilevel"/>
    <w:tmpl w:val="2DA007C3"/>
    <w:lvl w:ilvl="0" w:tentative="0">
      <w:start w:val="4"/>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46260FA"/>
    <w:multiLevelType w:val="multilevel"/>
    <w:tmpl w:val="646260FA"/>
    <w:lvl w:ilvl="0" w:tentative="0">
      <w:start w:val="1"/>
      <w:numFmt w:val="decimal"/>
      <w:pStyle w:val="2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72EF7F7D"/>
    <w:multiLevelType w:val="multilevel"/>
    <w:tmpl w:val="72EF7F7D"/>
    <w:lvl w:ilvl="0" w:tentative="0">
      <w:start w:val="2"/>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4809"/>
    <w:rsid w:val="00015722"/>
    <w:rsid w:val="0003606A"/>
    <w:rsid w:val="000372A0"/>
    <w:rsid w:val="00056961"/>
    <w:rsid w:val="00065F29"/>
    <w:rsid w:val="0008456F"/>
    <w:rsid w:val="000A6BE4"/>
    <w:rsid w:val="000C2C62"/>
    <w:rsid w:val="000C5080"/>
    <w:rsid w:val="000D3F96"/>
    <w:rsid w:val="000D52E0"/>
    <w:rsid w:val="000D5E68"/>
    <w:rsid w:val="000E6927"/>
    <w:rsid w:val="000F3E36"/>
    <w:rsid w:val="000F43C7"/>
    <w:rsid w:val="000F6EE7"/>
    <w:rsid w:val="001230F8"/>
    <w:rsid w:val="001266D5"/>
    <w:rsid w:val="00174809"/>
    <w:rsid w:val="00175ACA"/>
    <w:rsid w:val="001A7314"/>
    <w:rsid w:val="001F7B86"/>
    <w:rsid w:val="002266C9"/>
    <w:rsid w:val="00235E95"/>
    <w:rsid w:val="002531AD"/>
    <w:rsid w:val="002636E8"/>
    <w:rsid w:val="002B0AD0"/>
    <w:rsid w:val="002B75E8"/>
    <w:rsid w:val="002C4087"/>
    <w:rsid w:val="002C727D"/>
    <w:rsid w:val="002D5E0A"/>
    <w:rsid w:val="00305AF5"/>
    <w:rsid w:val="003147CB"/>
    <w:rsid w:val="003156CD"/>
    <w:rsid w:val="0032284D"/>
    <w:rsid w:val="00326C62"/>
    <w:rsid w:val="0034461A"/>
    <w:rsid w:val="003A222E"/>
    <w:rsid w:val="003B748B"/>
    <w:rsid w:val="003C1071"/>
    <w:rsid w:val="003D10B2"/>
    <w:rsid w:val="003E269D"/>
    <w:rsid w:val="003E74B7"/>
    <w:rsid w:val="00411091"/>
    <w:rsid w:val="00414C55"/>
    <w:rsid w:val="00416E25"/>
    <w:rsid w:val="00427A54"/>
    <w:rsid w:val="004356F5"/>
    <w:rsid w:val="004517D2"/>
    <w:rsid w:val="004907DF"/>
    <w:rsid w:val="004B5DBE"/>
    <w:rsid w:val="004B76C3"/>
    <w:rsid w:val="004B7FED"/>
    <w:rsid w:val="004C05BF"/>
    <w:rsid w:val="004F38B1"/>
    <w:rsid w:val="0050740D"/>
    <w:rsid w:val="005101FD"/>
    <w:rsid w:val="00520328"/>
    <w:rsid w:val="005213EB"/>
    <w:rsid w:val="0053258C"/>
    <w:rsid w:val="005665A5"/>
    <w:rsid w:val="00572C2D"/>
    <w:rsid w:val="005A3D76"/>
    <w:rsid w:val="005C2A56"/>
    <w:rsid w:val="0061411F"/>
    <w:rsid w:val="006229D4"/>
    <w:rsid w:val="00667E65"/>
    <w:rsid w:val="00673BC5"/>
    <w:rsid w:val="006755ED"/>
    <w:rsid w:val="00680FC1"/>
    <w:rsid w:val="006817B3"/>
    <w:rsid w:val="00682E7C"/>
    <w:rsid w:val="00686636"/>
    <w:rsid w:val="00690911"/>
    <w:rsid w:val="0076282F"/>
    <w:rsid w:val="007A6E57"/>
    <w:rsid w:val="007C412E"/>
    <w:rsid w:val="007C47A9"/>
    <w:rsid w:val="007C726A"/>
    <w:rsid w:val="007F7379"/>
    <w:rsid w:val="0084493C"/>
    <w:rsid w:val="00853381"/>
    <w:rsid w:val="00890BB4"/>
    <w:rsid w:val="008A047E"/>
    <w:rsid w:val="008B2BD9"/>
    <w:rsid w:val="008B34D2"/>
    <w:rsid w:val="008B7D15"/>
    <w:rsid w:val="008E4A7F"/>
    <w:rsid w:val="00910195"/>
    <w:rsid w:val="00927DF2"/>
    <w:rsid w:val="009315DA"/>
    <w:rsid w:val="00980B47"/>
    <w:rsid w:val="009A6B84"/>
    <w:rsid w:val="009B111F"/>
    <w:rsid w:val="009D5682"/>
    <w:rsid w:val="00A27944"/>
    <w:rsid w:val="00A41229"/>
    <w:rsid w:val="00A53F05"/>
    <w:rsid w:val="00A563DC"/>
    <w:rsid w:val="00A901C6"/>
    <w:rsid w:val="00AB5BCC"/>
    <w:rsid w:val="00AC5C11"/>
    <w:rsid w:val="00AF53B2"/>
    <w:rsid w:val="00B22A3D"/>
    <w:rsid w:val="00B46F65"/>
    <w:rsid w:val="00B84D25"/>
    <w:rsid w:val="00B9008E"/>
    <w:rsid w:val="00B92525"/>
    <w:rsid w:val="00BB1D43"/>
    <w:rsid w:val="00BB46AA"/>
    <w:rsid w:val="00BC6E40"/>
    <w:rsid w:val="00BD1627"/>
    <w:rsid w:val="00BD63C4"/>
    <w:rsid w:val="00BE40BF"/>
    <w:rsid w:val="00BE40D4"/>
    <w:rsid w:val="00BF28F2"/>
    <w:rsid w:val="00BF3B52"/>
    <w:rsid w:val="00C1330E"/>
    <w:rsid w:val="00C13A57"/>
    <w:rsid w:val="00C21658"/>
    <w:rsid w:val="00C24E65"/>
    <w:rsid w:val="00C2521E"/>
    <w:rsid w:val="00C35621"/>
    <w:rsid w:val="00C37FD9"/>
    <w:rsid w:val="00C54AD6"/>
    <w:rsid w:val="00C67560"/>
    <w:rsid w:val="00C875DF"/>
    <w:rsid w:val="00CA19CC"/>
    <w:rsid w:val="00CA262F"/>
    <w:rsid w:val="00CB4806"/>
    <w:rsid w:val="00CC0C32"/>
    <w:rsid w:val="00CF59D8"/>
    <w:rsid w:val="00CF5A41"/>
    <w:rsid w:val="00D01DA9"/>
    <w:rsid w:val="00D11906"/>
    <w:rsid w:val="00D64EB2"/>
    <w:rsid w:val="00D66348"/>
    <w:rsid w:val="00D70B02"/>
    <w:rsid w:val="00D77C25"/>
    <w:rsid w:val="00D9190C"/>
    <w:rsid w:val="00DA3798"/>
    <w:rsid w:val="00DD75C2"/>
    <w:rsid w:val="00DE30EC"/>
    <w:rsid w:val="00DF46E5"/>
    <w:rsid w:val="00E06301"/>
    <w:rsid w:val="00E572A9"/>
    <w:rsid w:val="00E57307"/>
    <w:rsid w:val="00E73D6A"/>
    <w:rsid w:val="00E8721E"/>
    <w:rsid w:val="00EE7383"/>
    <w:rsid w:val="00EF2821"/>
    <w:rsid w:val="00F307EE"/>
    <w:rsid w:val="00F30EB8"/>
    <w:rsid w:val="00F334D1"/>
    <w:rsid w:val="00F35F4B"/>
    <w:rsid w:val="00F527FA"/>
    <w:rsid w:val="00F6021F"/>
    <w:rsid w:val="00F630A8"/>
    <w:rsid w:val="00F646FD"/>
    <w:rsid w:val="00F82A7A"/>
    <w:rsid w:val="00F84AD8"/>
    <w:rsid w:val="00F97392"/>
    <w:rsid w:val="00FA0254"/>
    <w:rsid w:val="00FA2E8F"/>
    <w:rsid w:val="00FB1784"/>
    <w:rsid w:val="00FD5C33"/>
    <w:rsid w:val="00FD71B9"/>
    <w:rsid w:val="00FF13B6"/>
    <w:rsid w:val="15634540"/>
    <w:rsid w:val="787B1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eastAsia="黑体" w:asciiTheme="minorHAnsi" w:hAnsiTheme="minorHAnsi" w:cstheme="minorBidi"/>
      <w:bCs/>
      <w:kern w:val="44"/>
      <w:sz w:val="32"/>
      <w:szCs w:val="44"/>
    </w:rPr>
  </w:style>
  <w:style w:type="paragraph" w:styleId="3">
    <w:name w:val="heading 2"/>
    <w:basedOn w:val="1"/>
    <w:next w:val="1"/>
    <w:link w:val="14"/>
    <w:unhideWhenUsed/>
    <w:qFormat/>
    <w:uiPriority w:val="9"/>
    <w:pPr>
      <w:keepNext/>
      <w:keepLines/>
      <w:spacing w:before="260" w:after="260" w:line="416" w:lineRule="auto"/>
      <w:outlineLvl w:val="1"/>
    </w:pPr>
    <w:rPr>
      <w:rFonts w:eastAsia="黑体" w:asciiTheme="majorHAnsi" w:hAnsiTheme="majorHAnsi" w:cstheme="majorBidi"/>
      <w:bCs/>
      <w:sz w:val="30"/>
      <w:szCs w:val="32"/>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8">
    <w:name w:val="Strong"/>
    <w:basedOn w:val="7"/>
    <w:qFormat/>
    <w:uiPriority w:val="0"/>
    <w:rPr>
      <w:b/>
    </w:rPr>
  </w:style>
  <w:style w:type="table" w:styleId="10">
    <w:name w:val="Table Grid"/>
    <w:basedOn w:val="9"/>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7"/>
    <w:link w:val="5"/>
    <w:uiPriority w:val="99"/>
    <w:rPr>
      <w:sz w:val="18"/>
      <w:szCs w:val="18"/>
    </w:rPr>
  </w:style>
  <w:style w:type="character" w:customStyle="1" w:styleId="12">
    <w:name w:val="页脚 Char"/>
    <w:basedOn w:val="7"/>
    <w:link w:val="4"/>
    <w:qFormat/>
    <w:uiPriority w:val="99"/>
    <w:rPr>
      <w:sz w:val="18"/>
      <w:szCs w:val="18"/>
    </w:rPr>
  </w:style>
  <w:style w:type="character" w:customStyle="1" w:styleId="13">
    <w:name w:val="标题 1 Char"/>
    <w:basedOn w:val="7"/>
    <w:link w:val="2"/>
    <w:qFormat/>
    <w:uiPriority w:val="9"/>
    <w:rPr>
      <w:rFonts w:eastAsia="黑体"/>
      <w:bCs/>
      <w:kern w:val="44"/>
      <w:sz w:val="32"/>
      <w:szCs w:val="44"/>
    </w:rPr>
  </w:style>
  <w:style w:type="character" w:customStyle="1" w:styleId="14">
    <w:name w:val="标题 2 Char"/>
    <w:basedOn w:val="7"/>
    <w:link w:val="3"/>
    <w:qFormat/>
    <w:uiPriority w:val="9"/>
    <w:rPr>
      <w:rFonts w:eastAsia="黑体" w:asciiTheme="majorHAnsi" w:hAnsiTheme="majorHAnsi" w:cstheme="majorBidi"/>
      <w:bCs/>
      <w:sz w:val="30"/>
      <w:szCs w:val="32"/>
    </w:rPr>
  </w:style>
  <w:style w:type="paragraph" w:customStyle="1" w:styleId="15">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paragraph" w:customStyle="1" w:styleId="17">
    <w:name w:val="三级条标题"/>
    <w:basedOn w:val="18"/>
    <w:next w:val="16"/>
    <w:qFormat/>
    <w:uiPriority w:val="0"/>
    <w:pPr>
      <w:numPr>
        <w:ilvl w:val="3"/>
      </w:numPr>
      <w:outlineLvl w:val="4"/>
    </w:pPr>
  </w:style>
  <w:style w:type="paragraph" w:customStyle="1" w:styleId="18">
    <w:name w:val="二级条标题"/>
    <w:basedOn w:val="19"/>
    <w:next w:val="16"/>
    <w:qFormat/>
    <w:uiPriority w:val="0"/>
    <w:pPr>
      <w:numPr>
        <w:ilvl w:val="2"/>
      </w:numPr>
      <w:spacing w:before="50" w:after="50"/>
      <w:outlineLvl w:val="3"/>
    </w:pPr>
  </w:style>
  <w:style w:type="paragraph" w:customStyle="1" w:styleId="19">
    <w:name w:val="一级条标题"/>
    <w:next w:val="16"/>
    <w:qFormat/>
    <w:uiPriority w:val="0"/>
    <w:pPr>
      <w:numPr>
        <w:ilvl w:val="1"/>
        <w:numId w:val="1"/>
      </w:numPr>
      <w:spacing w:beforeLines="50" w:afterLines="50"/>
      <w:outlineLvl w:val="2"/>
    </w:pPr>
    <w:rPr>
      <w:rFonts w:ascii="黑体" w:hAnsi="Times New Roman" w:eastAsia="黑体" w:cs="Times New Roman"/>
      <w:kern w:val="0"/>
      <w:sz w:val="21"/>
      <w:szCs w:val="21"/>
      <w:lang w:val="en-US" w:eastAsia="zh-CN" w:bidi="ar-SA"/>
    </w:rPr>
  </w:style>
  <w:style w:type="character" w:customStyle="1" w:styleId="20">
    <w:name w:val="段 Char"/>
    <w:basedOn w:val="7"/>
    <w:link w:val="16"/>
    <w:qFormat/>
    <w:locked/>
    <w:uiPriority w:val="0"/>
    <w:rPr>
      <w:rFonts w:ascii="宋体" w:hAnsi="Times New Roman" w:eastAsia="宋体" w:cs="Times New Roman"/>
      <w:kern w:val="0"/>
      <w:szCs w:val="20"/>
    </w:rPr>
  </w:style>
  <w:style w:type="paragraph" w:customStyle="1" w:styleId="21">
    <w:name w:val="章标题"/>
    <w:next w:val="16"/>
    <w:qFormat/>
    <w:uiPriority w:val="0"/>
    <w:pPr>
      <w:spacing w:beforeLines="100"/>
      <w:jc w:val="both"/>
      <w:outlineLvl w:val="1"/>
    </w:pPr>
    <w:rPr>
      <w:rFonts w:ascii="黑体" w:hAnsi="Times New Roman" w:eastAsia="黑体" w:cs="Times New Roman"/>
      <w:kern w:val="0"/>
      <w:sz w:val="21"/>
      <w:szCs w:val="20"/>
      <w:lang w:val="en-US" w:eastAsia="zh-CN" w:bidi="ar-SA"/>
    </w:rPr>
  </w:style>
  <w:style w:type="paragraph" w:customStyle="1" w:styleId="22">
    <w:name w:val="四级条标题"/>
    <w:basedOn w:val="17"/>
    <w:next w:val="16"/>
    <w:qFormat/>
    <w:uiPriority w:val="0"/>
    <w:pPr>
      <w:numPr>
        <w:ilvl w:val="0"/>
        <w:numId w:val="0"/>
      </w:numPr>
      <w:spacing w:before="0" w:after="0"/>
      <w:outlineLvl w:val="5"/>
    </w:pPr>
  </w:style>
  <w:style w:type="paragraph" w:customStyle="1" w:styleId="23">
    <w:name w:val="五级条标题"/>
    <w:basedOn w:val="22"/>
    <w:next w:val="16"/>
    <w:qFormat/>
    <w:uiPriority w:val="0"/>
    <w:pPr>
      <w:outlineLvl w:val="6"/>
    </w:pPr>
  </w:style>
  <w:style w:type="paragraph" w:customStyle="1" w:styleId="24">
    <w:name w:val="List Paragraph"/>
    <w:basedOn w:val="1"/>
    <w:qFormat/>
    <w:uiPriority w:val="34"/>
    <w:pPr>
      <w:ind w:firstLine="420" w:firstLineChars="200"/>
    </w:pPr>
  </w:style>
  <w:style w:type="paragraph" w:customStyle="1" w:styleId="25">
    <w:name w:val="正文图标题"/>
    <w:next w:val="16"/>
    <w:uiPriority w:val="0"/>
    <w:pPr>
      <w:numPr>
        <w:ilvl w:val="0"/>
        <w:numId w:val="2"/>
      </w:numPr>
      <w:tabs>
        <w:tab w:val="left" w:pos="360"/>
      </w:tabs>
      <w:spacing w:beforeLines="50" w:afterLines="50"/>
      <w:jc w:val="center"/>
    </w:pPr>
    <w:rPr>
      <w:rFonts w:ascii="黑体" w:hAnsi="Times New Roman" w:eastAsia="黑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848</Words>
  <Characters>4838</Characters>
  <Lines>40</Lines>
  <Paragraphs>11</Paragraphs>
  <TotalTime>1561</TotalTime>
  <ScaleCrop>false</ScaleCrop>
  <LinksUpToDate>false</LinksUpToDate>
  <CharactersWithSpaces>5675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2019-03-22T05:19:00Z</dcterms:created>
  <dc:creator>USER</dc:creator>
  <cp:lastModifiedBy>HCH</cp:lastModifiedBy>
  <dcterms:modified xsi:type="dcterms:W3CDTF">2019-07-04T06:48:23Z</dcterms:modified>
  <cp:revision>200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