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2019年广东省食品用玻璃制品省级</w:t>
      </w:r>
    </w:p>
    <w:p>
      <w:pPr>
        <w:spacing w:line="66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监督抽查实施细则</w:t>
      </w:r>
    </w:p>
    <w:p>
      <w:pPr>
        <w:autoSpaceDE w:val="0"/>
        <w:autoSpaceDN w:val="0"/>
        <w:adjustRightInd w:val="0"/>
        <w:spacing w:line="276" w:lineRule="auto"/>
        <w:ind w:right="28"/>
        <w:rPr>
          <w:rFonts w:ascii="黑体" w:hAnsi="宋体" w:eastAsia="黑体"/>
          <w:b/>
          <w:bCs/>
          <w:sz w:val="28"/>
          <w:szCs w:val="28"/>
        </w:rPr>
      </w:pPr>
    </w:p>
    <w:p>
      <w:pPr>
        <w:spacing w:line="560" w:lineRule="exact"/>
        <w:rPr>
          <w:rFonts w:ascii="黑体" w:hAnsi="黑体" w:eastAsia="黑体"/>
          <w:sz w:val="28"/>
          <w:szCs w:val="28"/>
        </w:rPr>
      </w:pPr>
      <w:r>
        <w:rPr>
          <w:rFonts w:ascii="黑体" w:hAnsi="黑体" w:eastAsia="黑体" w:cs="黑体"/>
          <w:sz w:val="28"/>
          <w:szCs w:val="28"/>
        </w:rPr>
        <w:t xml:space="preserve">1 </w:t>
      </w:r>
      <w:r>
        <w:rPr>
          <w:rFonts w:hint="eastAsia" w:ascii="黑体" w:hAnsi="黑体" w:eastAsia="黑体" w:cs="黑体"/>
          <w:sz w:val="28"/>
          <w:szCs w:val="28"/>
        </w:rPr>
        <w:t>适用范围</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本细则适用于广东省食品相关产品</w:t>
      </w:r>
      <w:r>
        <w:rPr>
          <w:rFonts w:hint="eastAsia" w:ascii="仿宋_GB2312" w:hAnsi="仿宋_GB2312" w:eastAsia="仿宋_GB2312" w:cs="仿宋_GB2312"/>
          <w:sz w:val="28"/>
          <w:szCs w:val="28"/>
          <w:lang w:eastAsia="zh-CN"/>
        </w:rPr>
        <w:t>省级</w:t>
      </w:r>
      <w:bookmarkStart w:id="0" w:name="_GoBack"/>
      <w:bookmarkEnd w:id="0"/>
      <w:r>
        <w:rPr>
          <w:rFonts w:hint="eastAsia" w:ascii="仿宋_GB2312" w:hAnsi="仿宋_GB2312" w:eastAsia="仿宋_GB2312" w:cs="仿宋_GB2312"/>
          <w:sz w:val="28"/>
          <w:szCs w:val="28"/>
        </w:rPr>
        <w:t>监督抽查，监督抽查产品范围为</w:t>
      </w:r>
      <w:r>
        <w:rPr>
          <w:rFonts w:hint="eastAsia" w:ascii="仿宋_GB2312" w:hAnsi="仿宋_GB2312" w:eastAsia="仿宋_GB2312" w:cs="仿宋_GB2312"/>
          <w:sz w:val="28"/>
          <w:szCs w:val="28"/>
          <w:lang w:eastAsia="zh-CN"/>
        </w:rPr>
        <w:t>广东省</w:t>
      </w:r>
      <w:r>
        <w:rPr>
          <w:rFonts w:hint="eastAsia" w:ascii="仿宋_GB2312" w:hAnsi="仿宋_GB2312" w:eastAsia="仿宋_GB2312" w:cs="仿宋_GB2312"/>
          <w:color w:val="auto"/>
          <w:kern w:val="0"/>
          <w:sz w:val="28"/>
          <w:szCs w:val="28"/>
          <w:highlight w:val="none"/>
        </w:rPr>
        <w:t>生产</w:t>
      </w:r>
      <w:r>
        <w:rPr>
          <w:rFonts w:hint="eastAsia" w:ascii="仿宋_GB2312" w:hAnsi="仿宋_GB2312" w:eastAsia="仿宋_GB2312" w:cs="仿宋_GB2312"/>
          <w:color w:val="auto"/>
          <w:kern w:val="0"/>
          <w:sz w:val="28"/>
          <w:szCs w:val="28"/>
          <w:highlight w:val="none"/>
          <w:lang w:eastAsia="zh-CN"/>
        </w:rPr>
        <w:t>、流通、食品经营环节</w:t>
      </w:r>
      <w:r>
        <w:rPr>
          <w:rFonts w:hint="eastAsia" w:ascii="仿宋_GB2312" w:hAnsi="仿宋_GB2312" w:eastAsia="仿宋_GB2312" w:cs="仿宋_GB2312"/>
          <w:color w:val="auto"/>
          <w:kern w:val="0"/>
          <w:sz w:val="28"/>
          <w:szCs w:val="28"/>
          <w:lang w:eastAsia="zh-CN"/>
        </w:rPr>
        <w:t>应</w:t>
      </w:r>
      <w:r>
        <w:rPr>
          <w:rFonts w:hint="eastAsia" w:ascii="仿宋_GB2312" w:hAnsi="仿宋_GB2312" w:eastAsia="仿宋_GB2312" w:cs="仿宋_GB2312"/>
          <w:kern w:val="0"/>
          <w:sz w:val="28"/>
          <w:szCs w:val="28"/>
          <w:lang w:eastAsia="zh-CN"/>
        </w:rPr>
        <w:t>用</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食品用玻璃制品。</w:t>
      </w:r>
    </w:p>
    <w:p>
      <w:pPr>
        <w:spacing w:line="560" w:lineRule="exact"/>
        <w:rPr>
          <w:rFonts w:ascii="黑体" w:hAnsi="黑体" w:eastAsia="黑体"/>
          <w:sz w:val="28"/>
          <w:szCs w:val="28"/>
        </w:rPr>
      </w:pPr>
      <w:r>
        <w:rPr>
          <w:rFonts w:ascii="黑体" w:hAnsi="黑体" w:eastAsia="黑体" w:cs="黑体"/>
          <w:sz w:val="28"/>
          <w:szCs w:val="28"/>
        </w:rPr>
        <w:t xml:space="preserve">2 </w:t>
      </w:r>
      <w:r>
        <w:rPr>
          <w:rFonts w:hint="eastAsia" w:ascii="黑体" w:hAnsi="黑体" w:eastAsia="黑体" w:cs="黑体"/>
          <w:sz w:val="28"/>
          <w:szCs w:val="28"/>
        </w:rPr>
        <w:t>检验依据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下列文件凡是注明日期的，其随后所有的修改单或修订版均不适用于本规范。</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GB 4806.</w:t>
      </w:r>
      <w:r>
        <w:rPr>
          <w:rFonts w:hint="eastAsia" w:ascii="仿宋_GB2312" w:hAnsi="仿宋_GB2312" w:eastAsia="仿宋_GB2312" w:cs="仿宋_GB2312"/>
          <w:sz w:val="28"/>
          <w:szCs w:val="28"/>
        </w:rPr>
        <w:t>5</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《食品安全国家标准 玻璃制品》</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GB 31604</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34-2016</w:t>
      </w:r>
      <w:r>
        <w:rPr>
          <w:rFonts w:hint="eastAsia" w:ascii="仿宋_GB2312" w:hAnsi="仿宋_GB2312" w:eastAsia="仿宋_GB2312" w:cs="仿宋_GB2312"/>
          <w:sz w:val="28"/>
          <w:szCs w:val="28"/>
        </w:rPr>
        <w:t>《食品安全国家标准 食品接触材料及制品 铅的测定及迁移量的测定》</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GB 31604</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24-2016</w:t>
      </w:r>
      <w:r>
        <w:rPr>
          <w:rFonts w:hint="eastAsia" w:ascii="仿宋_GB2312" w:hAnsi="仿宋_GB2312" w:eastAsia="仿宋_GB2312" w:cs="仿宋_GB2312"/>
          <w:sz w:val="28"/>
          <w:szCs w:val="28"/>
        </w:rPr>
        <w:t>《食品安全国家标准 食品接触材料及制品 镉迁移量的测定》</w:t>
      </w:r>
    </w:p>
    <w:p>
      <w:pPr>
        <w:widowControl/>
        <w:spacing w:line="560" w:lineRule="exact"/>
        <w:ind w:firstLine="560" w:firstLineChars="200"/>
        <w:jc w:val="left"/>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其他现行有效的企业标准及产品明示质量要求</w:t>
      </w:r>
    </w:p>
    <w:p>
      <w:pPr>
        <w:widowControl/>
        <w:spacing w:line="560" w:lineRule="exact"/>
        <w:ind w:firstLine="560" w:firstLineChars="200"/>
        <w:jc w:val="left"/>
        <w:rPr>
          <w:rFonts w:hint="eastAsia" w:ascii="仿宋_GB2312" w:hAnsi="仿宋_GB2312" w:eastAsia="仿宋_GB2312" w:cs="仿宋_GB2312"/>
          <w:kern w:val="0"/>
          <w:sz w:val="28"/>
          <w:szCs w:val="28"/>
          <w:highlight w:val="yellow"/>
        </w:rPr>
      </w:pPr>
      <w:r>
        <w:rPr>
          <w:rFonts w:hint="eastAsia" w:ascii="仿宋_GB2312" w:hAnsi="仿宋_GB2312" w:eastAsia="仿宋_GB2312" w:cs="仿宋_GB2312"/>
          <w:kern w:val="0"/>
          <w:sz w:val="28"/>
          <w:szCs w:val="28"/>
          <w:highlight w:val="none"/>
        </w:rPr>
        <w:t>相关的法律法规、部门规章和规范</w:t>
      </w:r>
    </w:p>
    <w:p>
      <w:pPr>
        <w:spacing w:line="560" w:lineRule="exact"/>
        <w:rPr>
          <w:rFonts w:ascii="黑体" w:hAnsi="黑体" w:eastAsia="黑体"/>
          <w:sz w:val="28"/>
          <w:szCs w:val="28"/>
        </w:rPr>
      </w:pPr>
      <w:r>
        <w:rPr>
          <w:rFonts w:ascii="黑体" w:hAnsi="黑体" w:eastAsia="黑体" w:cs="黑体"/>
          <w:sz w:val="28"/>
          <w:szCs w:val="28"/>
        </w:rPr>
        <w:t xml:space="preserve">3 </w:t>
      </w:r>
      <w:r>
        <w:rPr>
          <w:rFonts w:hint="eastAsia" w:ascii="黑体" w:hAnsi="黑体" w:eastAsia="黑体" w:cs="黑体"/>
          <w:sz w:val="28"/>
          <w:szCs w:val="28"/>
        </w:rPr>
        <w:t>抽样</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3.1</w:t>
      </w:r>
      <w:r>
        <w:rPr>
          <w:rFonts w:hint="eastAsia" w:ascii="仿宋_GB2312" w:hAnsi="仿宋_GB2312" w:eastAsia="仿宋_GB2312" w:cs="仿宋_GB2312"/>
          <w:sz w:val="28"/>
          <w:szCs w:val="28"/>
        </w:rPr>
        <w:t>抽样方法、基数及数量</w:t>
      </w:r>
    </w:p>
    <w:p>
      <w:pPr>
        <w:spacing w:line="56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在企业的成品库内或市场待销产品中随机抽取有产品质量检验合格证明或者以其他形式表明合格的、近期生产的产品。抽取样品应为同一型号规格、同一批次的产品。</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抽查样品基数满足抽样数量即可。</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采用随机抽样法。抽样时，将所要抽取的产品码放成规整的长方体，通过使用随机骰子或扑克牌等工具来确定所要抽取的样品的三维坐标。</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产品抽样数量按下表所示；抽取的两份样品分别单独封装，一份作为检验样品，一份作为复检备用样品。</w:t>
      </w:r>
    </w:p>
    <w:p>
      <w:pPr>
        <w:widowControl w:val="0"/>
        <w:spacing w:line="360" w:lineRule="auto"/>
        <w:jc w:val="center"/>
        <w:outlineLvl w:val="0"/>
        <w:rPr>
          <w:rFonts w:ascii="仿宋_GB2312" w:eastAsia="仿宋_GB2312" w:hAnsiTheme="minorEastAsia"/>
          <w:color w:val="000000" w:themeColor="text1"/>
          <w:kern w:val="2"/>
          <w:sz w:val="28"/>
          <w:szCs w:val="28"/>
        </w:rPr>
      </w:pPr>
      <w:r>
        <w:rPr>
          <w:rFonts w:hint="eastAsia" w:ascii="仿宋_GB2312" w:eastAsia="仿宋_GB2312" w:hAnsiTheme="minorEastAsia"/>
          <w:color w:val="000000" w:themeColor="text1"/>
          <w:kern w:val="2"/>
          <w:sz w:val="28"/>
          <w:szCs w:val="28"/>
        </w:rPr>
        <w:t>表</w:t>
      </w:r>
      <w:r>
        <w:rPr>
          <w:rFonts w:ascii="仿宋_GB2312" w:eastAsia="仿宋_GB2312" w:hAnsiTheme="minorEastAsia"/>
          <w:color w:val="000000" w:themeColor="text1"/>
          <w:kern w:val="2"/>
          <w:sz w:val="28"/>
          <w:szCs w:val="28"/>
        </w:rPr>
        <w:t>1</w:t>
      </w:r>
      <w:r>
        <w:rPr>
          <w:rFonts w:hint="eastAsia" w:ascii="仿宋_GB2312" w:eastAsia="仿宋_GB2312" w:hAnsiTheme="minorEastAsia"/>
          <w:color w:val="000000" w:themeColor="text1"/>
          <w:kern w:val="2"/>
          <w:sz w:val="28"/>
          <w:szCs w:val="28"/>
        </w:rPr>
        <w:t>：</w:t>
      </w:r>
      <w:r>
        <w:rPr>
          <w:rFonts w:ascii="仿宋_GB2312" w:eastAsia="仿宋_GB2312" w:hAnsiTheme="minorEastAsia"/>
          <w:color w:val="000000" w:themeColor="text1"/>
          <w:kern w:val="2"/>
          <w:sz w:val="28"/>
          <w:szCs w:val="28"/>
        </w:rPr>
        <w:t>201</w:t>
      </w:r>
      <w:r>
        <w:rPr>
          <w:rFonts w:hint="eastAsia" w:ascii="仿宋_GB2312" w:eastAsia="仿宋_GB2312" w:hAnsiTheme="minorEastAsia"/>
          <w:color w:val="000000" w:themeColor="text1"/>
          <w:kern w:val="2"/>
          <w:sz w:val="28"/>
          <w:szCs w:val="28"/>
        </w:rPr>
        <w:t>9年广东省食品用玻璃制品抽样数量</w:t>
      </w:r>
    </w:p>
    <w:tbl>
      <w:tblPr>
        <w:tblStyle w:val="5"/>
        <w:tblW w:w="8336" w:type="dxa"/>
        <w:tblInd w:w="-13" w:type="dxa"/>
        <w:tblLayout w:type="fixed"/>
        <w:tblCellMar>
          <w:top w:w="15" w:type="dxa"/>
          <w:left w:w="15" w:type="dxa"/>
          <w:bottom w:w="15" w:type="dxa"/>
          <w:right w:w="15" w:type="dxa"/>
        </w:tblCellMar>
      </w:tblPr>
      <w:tblGrid>
        <w:gridCol w:w="1729"/>
        <w:gridCol w:w="2552"/>
        <w:gridCol w:w="4055"/>
      </w:tblGrid>
      <w:tr>
        <w:tblPrEx>
          <w:tblLayout w:type="fixed"/>
          <w:tblCellMar>
            <w:top w:w="15" w:type="dxa"/>
            <w:left w:w="15" w:type="dxa"/>
            <w:bottom w:w="15" w:type="dxa"/>
            <w:right w:w="15" w:type="dxa"/>
          </w:tblCellMar>
        </w:tblPrEx>
        <w:trPr>
          <w:cantSplit/>
          <w:trHeight w:val="454" w:hRule="atLeast"/>
        </w:trPr>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eastAsia="仿宋_GB2312" w:hAnsiTheme="minorEastAsia"/>
                <w:b/>
                <w:color w:val="000000" w:themeColor="text1"/>
                <w:kern w:val="2"/>
                <w:sz w:val="24"/>
                <w:szCs w:val="24"/>
              </w:rPr>
            </w:pPr>
            <w:r>
              <w:rPr>
                <w:rFonts w:hint="eastAsia" w:ascii="仿宋_GB2312" w:eastAsia="仿宋_GB2312" w:hAnsiTheme="minorEastAsia"/>
                <w:b/>
                <w:color w:val="000000" w:themeColor="text1"/>
                <w:kern w:val="2"/>
                <w:sz w:val="24"/>
                <w:szCs w:val="24"/>
              </w:rPr>
              <w:t>抽查产品</w:t>
            </w:r>
          </w:p>
        </w:tc>
        <w:tc>
          <w:tcPr>
            <w:tcW w:w="25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eastAsia="仿宋_GB2312" w:hAnsiTheme="minorEastAsia"/>
                <w:b/>
                <w:color w:val="000000" w:themeColor="text1"/>
                <w:kern w:val="2"/>
                <w:sz w:val="24"/>
                <w:szCs w:val="24"/>
              </w:rPr>
            </w:pPr>
            <w:r>
              <w:rPr>
                <w:rFonts w:hint="eastAsia" w:ascii="仿宋_GB2312" w:eastAsia="仿宋_GB2312" w:hAnsiTheme="minorEastAsia"/>
                <w:b/>
                <w:color w:val="000000" w:themeColor="text1"/>
                <w:kern w:val="2"/>
                <w:sz w:val="24"/>
                <w:szCs w:val="24"/>
              </w:rPr>
              <w:t>相关产品</w:t>
            </w:r>
          </w:p>
        </w:tc>
        <w:tc>
          <w:tcPr>
            <w:tcW w:w="4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eastAsia="仿宋_GB2312" w:hAnsiTheme="minorEastAsia"/>
                <w:b/>
                <w:color w:val="000000" w:themeColor="text1"/>
                <w:kern w:val="2"/>
                <w:sz w:val="24"/>
                <w:szCs w:val="24"/>
              </w:rPr>
            </w:pPr>
            <w:r>
              <w:rPr>
                <w:rFonts w:hint="eastAsia" w:ascii="仿宋_GB2312" w:eastAsia="仿宋_GB2312" w:hAnsiTheme="minorEastAsia"/>
                <w:b/>
                <w:color w:val="000000" w:themeColor="text1"/>
                <w:kern w:val="2"/>
                <w:sz w:val="24"/>
                <w:szCs w:val="24"/>
              </w:rPr>
              <w:t>抽样数量</w:t>
            </w:r>
          </w:p>
        </w:tc>
      </w:tr>
      <w:tr>
        <w:tblPrEx>
          <w:tblLayout w:type="fixed"/>
          <w:tblCellMar>
            <w:top w:w="15" w:type="dxa"/>
            <w:left w:w="15" w:type="dxa"/>
            <w:bottom w:w="15" w:type="dxa"/>
            <w:right w:w="15" w:type="dxa"/>
          </w:tblCellMar>
        </w:tblPrEx>
        <w:trPr>
          <w:cantSplit/>
          <w:trHeight w:val="454" w:hRule="atLeast"/>
        </w:trPr>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食品用玻璃制品</w:t>
            </w:r>
          </w:p>
        </w:tc>
        <w:tc>
          <w:tcPr>
            <w:tcW w:w="25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锅、碗、碟、杯、盘、壶等</w:t>
            </w:r>
          </w:p>
        </w:tc>
        <w:tc>
          <w:tcPr>
            <w:tcW w:w="4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样品不少于6件，</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件作为检验样品，</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件作为复检备用样品</w:t>
            </w:r>
          </w:p>
        </w:tc>
      </w:tr>
      <w:tr>
        <w:tblPrEx>
          <w:tblLayout w:type="fixed"/>
          <w:tblCellMar>
            <w:top w:w="15" w:type="dxa"/>
            <w:left w:w="15" w:type="dxa"/>
            <w:bottom w:w="15" w:type="dxa"/>
            <w:right w:w="15" w:type="dxa"/>
          </w:tblCellMar>
        </w:tblPrEx>
        <w:trPr>
          <w:cantSplit/>
          <w:trHeight w:val="454" w:hRule="atLeast"/>
        </w:trPr>
        <w:tc>
          <w:tcPr>
            <w:tcW w:w="83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备注：小件样品需适当增加抽样数量，以满足检验需要。</w:t>
            </w:r>
          </w:p>
        </w:tc>
      </w:tr>
    </w:tbl>
    <w:p>
      <w:pPr>
        <w:spacing w:line="560" w:lineRule="exact"/>
        <w:ind w:firstLine="560" w:firstLineChars="200"/>
        <w:rPr>
          <w:rFonts w:ascii="仿宋_GB2312" w:hAnsi="仿宋_GB2312" w:eastAsia="仿宋_GB2312"/>
          <w:sz w:val="28"/>
          <w:szCs w:val="28"/>
        </w:rPr>
      </w:pP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抽样单备注：</w:t>
      </w:r>
    </w:p>
    <w:p>
      <w:pPr>
        <w:spacing w:line="560" w:lineRule="exact"/>
        <w:ind w:firstLine="560" w:firstLineChars="200"/>
        <w:rPr>
          <w:rFonts w:ascii="仿宋_GB2312" w:hAnsi="仿宋_GB2312" w:eastAsia="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、所有产品需备注</w:t>
      </w:r>
      <w:r>
        <w:rPr>
          <w:rFonts w:hint="eastAsia" w:ascii="仿宋_GB2312" w:hAnsi="仿宋_GB2312" w:eastAsia="仿宋_GB2312" w:cs="仿宋_GB2312"/>
          <w:color w:val="auto"/>
          <w:sz w:val="28"/>
          <w:szCs w:val="28"/>
        </w:rPr>
        <w:t>材质，以及</w:t>
      </w:r>
      <w:r>
        <w:rPr>
          <w:rFonts w:hint="eastAsia" w:ascii="仿宋_GB2312" w:hAnsi="仿宋_GB2312" w:eastAsia="仿宋_GB2312" w:cs="仿宋_GB2312"/>
          <w:sz w:val="28"/>
          <w:szCs w:val="28"/>
        </w:rPr>
        <w:t>分类：①烹饪器皿、②可微波炉使用制品、③其他常温条件使用器皿。</w:t>
      </w:r>
    </w:p>
    <w:p>
      <w:pPr>
        <w:spacing w:line="560" w:lineRule="exact"/>
        <w:ind w:firstLine="560" w:firstLineChars="200"/>
        <w:rPr>
          <w:rFonts w:ascii="仿宋_GB2312" w:hAnsi="仿宋_GB2312" w:eastAsia="仿宋_GB2312"/>
          <w:sz w:val="28"/>
          <w:szCs w:val="28"/>
        </w:rPr>
      </w:pPr>
      <w:r>
        <w:rPr>
          <w:rFonts w:ascii="仿宋_GB2312" w:hAnsi="仿宋_GB2312" w:eastAsia="仿宋_GB2312" w:cs="仿宋_GB2312"/>
          <w:sz w:val="28"/>
          <w:szCs w:val="28"/>
        </w:rPr>
        <w:t>3.2</w:t>
      </w:r>
      <w:r>
        <w:rPr>
          <w:rFonts w:hint="eastAsia" w:ascii="仿宋_GB2312" w:hAnsi="仿宋_GB2312" w:eastAsia="仿宋_GB2312" w:cs="仿宋_GB2312"/>
          <w:sz w:val="28"/>
          <w:szCs w:val="28"/>
        </w:rPr>
        <w:t>样品处置</w:t>
      </w:r>
    </w:p>
    <w:p>
      <w:pPr>
        <w:spacing w:line="560" w:lineRule="exact"/>
        <w:ind w:firstLine="560" w:firstLineChars="200"/>
        <w:rPr>
          <w:rFonts w:ascii="仿宋_GB2312" w:hAnsi="仿宋_GB2312" w:eastAsia="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、检验用样品及备用样品应分别封样，由抽样人员带回或按规定要求寄、送至指定的检验机构相</w:t>
      </w:r>
      <w:r>
        <w:rPr>
          <w:rFonts w:hint="eastAsia" w:ascii="仿宋_GB2312" w:hAnsi="仿宋_GB2312" w:eastAsia="仿宋_GB2312"/>
          <w:sz w:val="28"/>
          <w:szCs w:val="28"/>
        </w:rPr>
        <w:t>关部门，备用样品封存于承检机构。</w:t>
      </w:r>
    </w:p>
    <w:p>
      <w:pPr>
        <w:spacing w:line="560" w:lineRule="exact"/>
        <w:ind w:firstLine="560" w:firstLineChars="200"/>
        <w:rPr>
          <w:rFonts w:ascii="仿宋_GB2312" w:hAnsi="仿宋_GB2312" w:eastAsia="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、抽样人员封样时，应当有防拆封措施，以保证样品的真实性。</w:t>
      </w:r>
    </w:p>
    <w:p>
      <w:pPr>
        <w:spacing w:line="560" w:lineRule="exact"/>
        <w:ind w:firstLine="560" w:firstLineChars="200"/>
        <w:rPr>
          <w:rFonts w:ascii="仿宋_GB2312" w:hAnsi="仿宋_GB2312" w:eastAsia="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、检验机构负责对样品的验收，样品接收时应查验封条是否完好，包装是否损坏，发现包装破损，应及时确认样品损坏情况。</w:t>
      </w:r>
    </w:p>
    <w:p>
      <w:pPr>
        <w:spacing w:line="560" w:lineRule="exact"/>
        <w:ind w:firstLine="560" w:firstLineChars="200"/>
        <w:rPr>
          <w:rFonts w:ascii="仿宋_GB2312" w:hAnsi="仿宋_GB2312" w:eastAsia="仿宋_GB2312"/>
          <w:sz w:val="28"/>
          <w:szCs w:val="28"/>
        </w:rPr>
      </w:pPr>
      <w:r>
        <w:rPr>
          <w:rFonts w:ascii="仿宋_GB2312" w:hAnsi="仿宋_GB2312" w:eastAsia="仿宋_GB2312" w:cs="仿宋_GB2312"/>
          <w:sz w:val="28"/>
          <w:szCs w:val="28"/>
        </w:rPr>
        <w:t xml:space="preserve">3.3 </w:t>
      </w:r>
      <w:r>
        <w:rPr>
          <w:rFonts w:hint="eastAsia" w:ascii="仿宋_GB2312" w:hAnsi="仿宋_GB2312" w:eastAsia="仿宋_GB2312" w:cs="仿宋_GB2312"/>
          <w:sz w:val="28"/>
          <w:szCs w:val="28"/>
        </w:rPr>
        <w:t>抽样单</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按有关规定填写抽样单，并记录被抽查产品及企业相关信息。生产领域抽样时，同时记录被抽查企业上一年度生产的食品用玻璃产品销售总额，以万元计；若企业上一年度未生产，则记录本年度实际销售额，并加以注明。对于产品检验所需的样品技术参数等信息，需要被抽查企业提供的，应在抽样现场获取，并经企业确认。</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注：记录的“产品销售总额”中的产品是指计划抽查的产品，如计划抽查食品用玻璃产品，就只记录被抽查企业的食品用玻璃产品年销售总额。</w:t>
      </w:r>
    </w:p>
    <w:p>
      <w:pPr>
        <w:spacing w:line="560" w:lineRule="exact"/>
        <w:rPr>
          <w:rFonts w:ascii="黑体" w:hAnsi="黑体" w:eastAsia="黑体"/>
          <w:sz w:val="28"/>
          <w:szCs w:val="28"/>
        </w:rPr>
      </w:pPr>
      <w:r>
        <w:rPr>
          <w:rFonts w:ascii="黑体" w:hAnsi="黑体" w:eastAsia="黑体" w:cs="黑体"/>
          <w:sz w:val="28"/>
          <w:szCs w:val="28"/>
        </w:rPr>
        <w:t xml:space="preserve">4 </w:t>
      </w:r>
      <w:r>
        <w:rPr>
          <w:rFonts w:hint="eastAsia" w:ascii="黑体" w:hAnsi="黑体" w:eastAsia="黑体" w:cs="黑体"/>
          <w:sz w:val="28"/>
          <w:szCs w:val="28"/>
        </w:rPr>
        <w:t>检验项目要求</w:t>
      </w:r>
    </w:p>
    <w:p>
      <w:pPr>
        <w:widowControl w:val="0"/>
        <w:spacing w:line="360" w:lineRule="auto"/>
        <w:jc w:val="center"/>
        <w:outlineLvl w:val="0"/>
        <w:rPr>
          <w:rFonts w:ascii="仿宋_GB2312" w:eastAsia="仿宋_GB2312" w:hAnsiTheme="minorEastAsia"/>
          <w:color w:val="000000" w:themeColor="text1"/>
          <w:kern w:val="2"/>
          <w:sz w:val="28"/>
          <w:szCs w:val="28"/>
        </w:rPr>
      </w:pPr>
      <w:r>
        <w:rPr>
          <w:rFonts w:hint="eastAsia" w:ascii="仿宋_GB2312" w:eastAsia="仿宋_GB2312" w:hAnsiTheme="minorEastAsia"/>
          <w:color w:val="000000" w:themeColor="text1"/>
          <w:kern w:val="2"/>
          <w:sz w:val="28"/>
          <w:szCs w:val="28"/>
        </w:rPr>
        <w:t>表</w:t>
      </w:r>
      <w:r>
        <w:rPr>
          <w:rFonts w:ascii="仿宋_GB2312" w:eastAsia="仿宋_GB2312" w:hAnsiTheme="minorEastAsia"/>
          <w:color w:val="000000" w:themeColor="text1"/>
          <w:kern w:val="2"/>
          <w:sz w:val="28"/>
          <w:szCs w:val="28"/>
        </w:rPr>
        <w:t>2</w:t>
      </w:r>
      <w:r>
        <w:rPr>
          <w:rFonts w:hint="eastAsia" w:ascii="仿宋_GB2312" w:eastAsia="仿宋_GB2312" w:hAnsiTheme="minorEastAsia"/>
          <w:color w:val="000000" w:themeColor="text1"/>
          <w:kern w:val="2"/>
          <w:sz w:val="28"/>
          <w:szCs w:val="28"/>
        </w:rPr>
        <w:t>：</w:t>
      </w:r>
      <w:r>
        <w:rPr>
          <w:rFonts w:ascii="仿宋_GB2312" w:eastAsia="仿宋_GB2312" w:hAnsiTheme="minorEastAsia"/>
          <w:color w:val="000000" w:themeColor="text1"/>
          <w:kern w:val="2"/>
          <w:sz w:val="28"/>
          <w:szCs w:val="28"/>
        </w:rPr>
        <w:t>201</w:t>
      </w:r>
      <w:r>
        <w:rPr>
          <w:rFonts w:hint="eastAsia" w:ascii="仿宋_GB2312" w:eastAsia="仿宋_GB2312" w:hAnsiTheme="minorEastAsia"/>
          <w:color w:val="000000" w:themeColor="text1"/>
          <w:kern w:val="2"/>
          <w:sz w:val="28"/>
          <w:szCs w:val="28"/>
        </w:rPr>
        <w:t>9年广东省食品用玻璃制品监督抽查检验项目</w:t>
      </w:r>
    </w:p>
    <w:tbl>
      <w:tblPr>
        <w:tblStyle w:val="5"/>
        <w:tblW w:w="8773" w:type="dxa"/>
        <w:jc w:val="center"/>
        <w:tblInd w:w="0" w:type="dxa"/>
        <w:tblLayout w:type="fixed"/>
        <w:tblCellMar>
          <w:top w:w="15" w:type="dxa"/>
          <w:left w:w="15" w:type="dxa"/>
          <w:bottom w:w="15" w:type="dxa"/>
          <w:right w:w="15" w:type="dxa"/>
        </w:tblCellMar>
      </w:tblPr>
      <w:tblGrid>
        <w:gridCol w:w="931"/>
        <w:gridCol w:w="1288"/>
        <w:gridCol w:w="2301"/>
        <w:gridCol w:w="2268"/>
        <w:gridCol w:w="992"/>
        <w:gridCol w:w="993"/>
      </w:tblGrid>
      <w:tr>
        <w:tblPrEx>
          <w:tblLayout w:type="fixed"/>
          <w:tblCellMar>
            <w:top w:w="15" w:type="dxa"/>
            <w:left w:w="15" w:type="dxa"/>
            <w:bottom w:w="15" w:type="dxa"/>
            <w:right w:w="15" w:type="dxa"/>
          </w:tblCellMar>
        </w:tblPrEx>
        <w:trPr>
          <w:cantSplit/>
          <w:trHeight w:val="653" w:hRule="atLeast"/>
          <w:jc w:val="center"/>
        </w:trPr>
        <w:tc>
          <w:tcPr>
            <w:tcW w:w="931" w:type="dxa"/>
            <w:vMerge w:val="restart"/>
            <w:tcBorders>
              <w:top w:val="single" w:color="000000" w:sz="4" w:space="0"/>
              <w:left w:val="single" w:color="000000" w:sz="4" w:space="0"/>
              <w:right w:val="single" w:color="000000" w:sz="4" w:space="0"/>
            </w:tcBorders>
            <w:shd w:val="clear" w:color="auto" w:fill="FFFFFF"/>
            <w:vAlign w:val="center"/>
          </w:tcPr>
          <w:p>
            <w:pPr>
              <w:jc w:val="center"/>
              <w:textAlignment w:val="center"/>
              <w:rPr>
                <w:rFonts w:ascii="仿宋_GB2312" w:eastAsia="仿宋_GB2312" w:hAnsiTheme="minorEastAsia"/>
                <w:b/>
                <w:color w:val="000000" w:themeColor="text1"/>
                <w:kern w:val="2"/>
                <w:sz w:val="24"/>
                <w:szCs w:val="24"/>
              </w:rPr>
            </w:pPr>
            <w:r>
              <w:rPr>
                <w:rFonts w:hint="eastAsia" w:ascii="仿宋_GB2312" w:eastAsia="仿宋_GB2312" w:hAnsiTheme="minorEastAsia"/>
                <w:b/>
                <w:color w:val="000000" w:themeColor="text1"/>
                <w:kern w:val="2"/>
                <w:sz w:val="24"/>
                <w:szCs w:val="24"/>
              </w:rPr>
              <w:t>序号</w:t>
            </w:r>
          </w:p>
        </w:tc>
        <w:tc>
          <w:tcPr>
            <w:tcW w:w="1288" w:type="dxa"/>
            <w:vMerge w:val="restart"/>
            <w:tcBorders>
              <w:top w:val="single" w:color="000000" w:sz="4" w:space="0"/>
              <w:left w:val="single" w:color="000000" w:sz="4" w:space="0"/>
              <w:right w:val="single" w:color="000000" w:sz="4" w:space="0"/>
            </w:tcBorders>
            <w:shd w:val="clear" w:color="auto" w:fill="FFFFFF"/>
            <w:vAlign w:val="center"/>
          </w:tcPr>
          <w:p>
            <w:pPr>
              <w:jc w:val="center"/>
              <w:textAlignment w:val="center"/>
              <w:rPr>
                <w:rFonts w:ascii="仿宋_GB2312" w:eastAsia="仿宋_GB2312" w:hAnsiTheme="minorEastAsia"/>
                <w:b/>
                <w:color w:val="000000" w:themeColor="text1"/>
                <w:kern w:val="2"/>
                <w:sz w:val="24"/>
                <w:szCs w:val="24"/>
              </w:rPr>
            </w:pPr>
            <w:r>
              <w:rPr>
                <w:rFonts w:hint="eastAsia" w:ascii="仿宋_GB2312" w:eastAsia="仿宋_GB2312" w:hAnsiTheme="minorEastAsia"/>
                <w:b/>
                <w:color w:val="000000" w:themeColor="text1"/>
                <w:kern w:val="2"/>
                <w:sz w:val="24"/>
                <w:szCs w:val="24"/>
              </w:rPr>
              <w:t>检验项目</w:t>
            </w:r>
          </w:p>
        </w:tc>
        <w:tc>
          <w:tcPr>
            <w:tcW w:w="2301" w:type="dxa"/>
            <w:vMerge w:val="restart"/>
            <w:tcBorders>
              <w:top w:val="single" w:color="000000" w:sz="4" w:space="0"/>
              <w:left w:val="single" w:color="000000" w:sz="4" w:space="0"/>
              <w:right w:val="single" w:color="000000" w:sz="4" w:space="0"/>
            </w:tcBorders>
            <w:shd w:val="clear" w:color="auto" w:fill="FFFFFF"/>
            <w:vAlign w:val="center"/>
          </w:tcPr>
          <w:p>
            <w:pPr>
              <w:jc w:val="center"/>
              <w:textAlignment w:val="center"/>
              <w:rPr>
                <w:rFonts w:ascii="仿宋_GB2312" w:eastAsia="仿宋_GB2312" w:hAnsiTheme="minorEastAsia"/>
                <w:b/>
                <w:color w:val="000000" w:themeColor="text1"/>
                <w:kern w:val="2"/>
                <w:sz w:val="24"/>
                <w:szCs w:val="24"/>
              </w:rPr>
            </w:pPr>
            <w:r>
              <w:rPr>
                <w:rFonts w:hint="eastAsia" w:ascii="仿宋_GB2312" w:eastAsia="仿宋_GB2312" w:hAnsiTheme="minorEastAsia"/>
                <w:b/>
                <w:color w:val="000000" w:themeColor="text1"/>
                <w:kern w:val="2"/>
                <w:sz w:val="24"/>
                <w:szCs w:val="24"/>
              </w:rPr>
              <w:t>依据法律法规或标准</w:t>
            </w:r>
          </w:p>
        </w:tc>
        <w:tc>
          <w:tcPr>
            <w:tcW w:w="2268" w:type="dxa"/>
            <w:vMerge w:val="restart"/>
            <w:tcBorders>
              <w:top w:val="single" w:color="000000" w:sz="4" w:space="0"/>
              <w:left w:val="single" w:color="000000" w:sz="4" w:space="0"/>
              <w:right w:val="single" w:color="000000" w:sz="4" w:space="0"/>
            </w:tcBorders>
            <w:vAlign w:val="center"/>
          </w:tcPr>
          <w:p>
            <w:pPr>
              <w:jc w:val="center"/>
              <w:textAlignment w:val="center"/>
              <w:rPr>
                <w:rFonts w:ascii="仿宋_GB2312" w:eastAsia="仿宋_GB2312" w:hAnsiTheme="minorEastAsia"/>
                <w:b/>
                <w:color w:val="000000" w:themeColor="text1"/>
                <w:kern w:val="2"/>
                <w:sz w:val="24"/>
                <w:szCs w:val="24"/>
              </w:rPr>
            </w:pPr>
            <w:r>
              <w:rPr>
                <w:rFonts w:hint="eastAsia" w:ascii="仿宋_GB2312" w:eastAsia="仿宋_GB2312" w:hAnsiTheme="minorEastAsia"/>
                <w:b/>
                <w:color w:val="000000" w:themeColor="text1"/>
                <w:kern w:val="2"/>
                <w:sz w:val="24"/>
                <w:szCs w:val="24"/>
              </w:rPr>
              <w:t>检验方法</w:t>
            </w:r>
          </w:p>
        </w:tc>
        <w:tc>
          <w:tcPr>
            <w:tcW w:w="1985" w:type="dxa"/>
            <w:gridSpan w:val="2"/>
            <w:tcBorders>
              <w:top w:val="single" w:color="000000" w:sz="4" w:space="0"/>
              <w:left w:val="single" w:color="000000" w:sz="4" w:space="0"/>
              <w:bottom w:val="single" w:color="000000" w:sz="4" w:space="0"/>
              <w:right w:val="single" w:color="000000" w:sz="4" w:space="0"/>
            </w:tcBorders>
          </w:tcPr>
          <w:p>
            <w:pPr>
              <w:jc w:val="center"/>
              <w:textAlignment w:val="center"/>
              <w:rPr>
                <w:rFonts w:ascii="仿宋_GB2312" w:eastAsia="仿宋_GB2312" w:hAnsiTheme="minorEastAsia"/>
                <w:b/>
                <w:color w:val="000000" w:themeColor="text1"/>
                <w:kern w:val="2"/>
                <w:sz w:val="24"/>
                <w:szCs w:val="24"/>
              </w:rPr>
            </w:pPr>
            <w:r>
              <w:rPr>
                <w:rFonts w:hint="eastAsia" w:ascii="仿宋_GB2312" w:eastAsia="仿宋_GB2312" w:hAnsiTheme="minorEastAsia"/>
                <w:b/>
                <w:color w:val="000000" w:themeColor="text1"/>
                <w:kern w:val="2"/>
                <w:sz w:val="24"/>
                <w:szCs w:val="24"/>
              </w:rPr>
              <w:t>重要程度或不合格程度分类</w:t>
            </w:r>
          </w:p>
        </w:tc>
      </w:tr>
      <w:tr>
        <w:tblPrEx>
          <w:tblLayout w:type="fixed"/>
          <w:tblCellMar>
            <w:top w:w="15" w:type="dxa"/>
            <w:left w:w="15" w:type="dxa"/>
            <w:bottom w:w="15" w:type="dxa"/>
            <w:right w:w="15" w:type="dxa"/>
          </w:tblCellMar>
        </w:tblPrEx>
        <w:trPr>
          <w:cantSplit/>
          <w:trHeight w:val="653" w:hRule="atLeast"/>
          <w:jc w:val="center"/>
        </w:trPr>
        <w:tc>
          <w:tcPr>
            <w:tcW w:w="931" w:type="dxa"/>
            <w:vMerge w:val="continue"/>
            <w:tcBorders>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eastAsia="仿宋_GB2312" w:hAnsiTheme="minorEastAsia"/>
                <w:b/>
                <w:color w:val="000000" w:themeColor="text1"/>
                <w:kern w:val="2"/>
                <w:sz w:val="24"/>
                <w:szCs w:val="24"/>
              </w:rPr>
            </w:pPr>
          </w:p>
        </w:tc>
        <w:tc>
          <w:tcPr>
            <w:tcW w:w="1288" w:type="dxa"/>
            <w:vMerge w:val="continue"/>
            <w:tcBorders>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eastAsia="仿宋_GB2312" w:hAnsiTheme="minorEastAsia"/>
                <w:b/>
                <w:color w:val="000000" w:themeColor="text1"/>
                <w:kern w:val="2"/>
                <w:sz w:val="24"/>
                <w:szCs w:val="24"/>
              </w:rPr>
            </w:pPr>
          </w:p>
        </w:tc>
        <w:tc>
          <w:tcPr>
            <w:tcW w:w="2301" w:type="dxa"/>
            <w:vMerge w:val="continue"/>
            <w:tcBorders>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eastAsia="仿宋_GB2312" w:hAnsiTheme="minorEastAsia"/>
                <w:b/>
                <w:color w:val="000000" w:themeColor="text1"/>
                <w:kern w:val="2"/>
                <w:sz w:val="24"/>
                <w:szCs w:val="24"/>
              </w:rPr>
            </w:pPr>
          </w:p>
        </w:tc>
        <w:tc>
          <w:tcPr>
            <w:tcW w:w="2268" w:type="dxa"/>
            <w:vMerge w:val="continue"/>
            <w:tcBorders>
              <w:left w:val="single" w:color="000000" w:sz="4" w:space="0"/>
              <w:bottom w:val="single" w:color="000000" w:sz="4" w:space="0"/>
              <w:right w:val="single" w:color="000000" w:sz="4" w:space="0"/>
            </w:tcBorders>
            <w:vAlign w:val="center"/>
          </w:tcPr>
          <w:p>
            <w:pPr>
              <w:jc w:val="center"/>
              <w:textAlignment w:val="center"/>
              <w:rPr>
                <w:rFonts w:ascii="仿宋_GB2312" w:eastAsia="仿宋_GB2312" w:hAnsiTheme="minorEastAsia"/>
                <w:b/>
                <w:color w:val="000000" w:themeColor="text1"/>
                <w:kern w:val="2"/>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color w:val="000000"/>
                <w:szCs w:val="21"/>
              </w:rPr>
            </w:pPr>
            <w:r>
              <w:rPr>
                <w:rFonts w:ascii="宋体" w:hAnsi="宋体"/>
                <w:color w:val="000000"/>
                <w:szCs w:val="21"/>
              </w:rPr>
              <w:t>A</w:t>
            </w:r>
            <w:r>
              <w:rPr>
                <w:rFonts w:hint="eastAsia" w:ascii="宋体" w:hAnsi="宋体"/>
                <w:color w:val="000000"/>
                <w:szCs w:val="21"/>
              </w:rPr>
              <w:t>类</w:t>
            </w:r>
          </w:p>
        </w:tc>
        <w:tc>
          <w:tcPr>
            <w:tcW w:w="9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color w:val="000000"/>
                <w:szCs w:val="21"/>
              </w:rPr>
            </w:pPr>
            <w:r>
              <w:rPr>
                <w:rFonts w:ascii="宋体" w:hAnsi="宋体"/>
                <w:color w:val="000000"/>
                <w:szCs w:val="21"/>
              </w:rPr>
              <w:t>B</w:t>
            </w:r>
            <w:r>
              <w:rPr>
                <w:rFonts w:hint="eastAsia" w:ascii="宋体" w:hAnsi="宋体"/>
                <w:color w:val="000000"/>
                <w:szCs w:val="21"/>
              </w:rPr>
              <w:t>类</w:t>
            </w:r>
          </w:p>
        </w:tc>
      </w:tr>
      <w:tr>
        <w:tblPrEx>
          <w:tblLayout w:type="fixed"/>
          <w:tblCellMar>
            <w:top w:w="15" w:type="dxa"/>
            <w:left w:w="15" w:type="dxa"/>
            <w:bottom w:w="15" w:type="dxa"/>
            <w:right w:w="15" w:type="dxa"/>
          </w:tblCellMar>
        </w:tblPrEx>
        <w:trPr>
          <w:cantSplit/>
          <w:trHeight w:val="940" w:hRule="atLeast"/>
          <w:jc w:val="center"/>
        </w:trPr>
        <w:tc>
          <w:tcPr>
            <w:tcW w:w="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仿宋_GB2312" w:eastAsia="仿宋_GB2312" w:cs="仿宋_GB2312"/>
                <w:sz w:val="28"/>
                <w:szCs w:val="28"/>
              </w:rPr>
            </w:pPr>
            <w:r>
              <w:rPr>
                <w:rFonts w:ascii="仿宋_GB2312" w:hAnsi="仿宋_GB2312" w:eastAsia="仿宋_GB2312" w:cs="仿宋_GB2312"/>
                <w:sz w:val="28"/>
                <w:szCs w:val="28"/>
              </w:rPr>
              <w:t>1</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铅（Pb）</w:t>
            </w:r>
          </w:p>
        </w:tc>
        <w:tc>
          <w:tcPr>
            <w:tcW w:w="2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仿宋_GB2312" w:eastAsia="仿宋_GB2312" w:cs="仿宋_GB2312"/>
                <w:sz w:val="28"/>
                <w:szCs w:val="28"/>
              </w:rPr>
            </w:pPr>
            <w:r>
              <w:rPr>
                <w:rFonts w:ascii="仿宋_GB2312" w:hAnsi="仿宋_GB2312" w:eastAsia="仿宋_GB2312" w:cs="仿宋_GB2312"/>
                <w:sz w:val="28"/>
                <w:szCs w:val="28"/>
              </w:rPr>
              <w:t>GB 4806.</w:t>
            </w:r>
            <w:r>
              <w:rPr>
                <w:rFonts w:hint="eastAsia" w:ascii="仿宋_GB2312" w:hAnsi="仿宋_GB2312" w:eastAsia="仿宋_GB2312" w:cs="仿宋_GB2312"/>
                <w:sz w:val="28"/>
                <w:szCs w:val="28"/>
              </w:rPr>
              <w:t>5</w:t>
            </w:r>
            <w:r>
              <w:rPr>
                <w:rFonts w:ascii="仿宋_GB2312" w:hAnsi="仿宋_GB2312" w:eastAsia="仿宋_GB2312" w:cs="仿宋_GB2312"/>
                <w:sz w:val="28"/>
                <w:szCs w:val="28"/>
              </w:rPr>
              <w:t>-2016</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 31604.34-2016</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8"/>
                <w:szCs w:val="28"/>
              </w:rPr>
            </w:pPr>
            <w:r>
              <w:rPr>
                <w:rFonts w:ascii="仿宋" w:hAnsi="仿宋" w:eastAsia="仿宋"/>
                <w:color w:val="000000"/>
                <w:sz w:val="21"/>
                <w:szCs w:val="21"/>
              </w:rPr>
              <w:t>●</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cantSplit/>
          <w:trHeight w:val="940" w:hRule="atLeast"/>
          <w:jc w:val="center"/>
        </w:trPr>
        <w:tc>
          <w:tcPr>
            <w:tcW w:w="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仿宋_GB2312" w:eastAsia="仿宋_GB2312" w:cs="仿宋_GB2312"/>
                <w:sz w:val="28"/>
                <w:szCs w:val="28"/>
              </w:rPr>
            </w:pPr>
            <w:r>
              <w:rPr>
                <w:rFonts w:ascii="仿宋_GB2312" w:hAnsi="仿宋_GB2312" w:eastAsia="仿宋_GB2312" w:cs="仿宋_GB2312"/>
                <w:sz w:val="28"/>
                <w:szCs w:val="28"/>
              </w:rPr>
              <w:t>2</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镉（Cd）</w:t>
            </w:r>
          </w:p>
        </w:tc>
        <w:tc>
          <w:tcPr>
            <w:tcW w:w="2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_GB2312" w:hAnsi="仿宋_GB2312" w:eastAsia="仿宋_GB2312" w:cs="仿宋_GB2312"/>
                <w:sz w:val="28"/>
                <w:szCs w:val="28"/>
              </w:rPr>
            </w:pPr>
            <w:r>
              <w:rPr>
                <w:rFonts w:ascii="仿宋_GB2312" w:hAnsi="仿宋_GB2312" w:eastAsia="仿宋_GB2312" w:cs="仿宋_GB2312"/>
                <w:sz w:val="28"/>
                <w:szCs w:val="28"/>
              </w:rPr>
              <w:t>GB 4806.</w:t>
            </w:r>
            <w:r>
              <w:rPr>
                <w:rFonts w:hint="eastAsia" w:ascii="仿宋_GB2312" w:hAnsi="仿宋_GB2312" w:eastAsia="仿宋_GB2312" w:cs="仿宋_GB2312"/>
                <w:sz w:val="28"/>
                <w:szCs w:val="28"/>
              </w:rPr>
              <w:t>5</w:t>
            </w:r>
            <w:r>
              <w:rPr>
                <w:rFonts w:ascii="仿宋_GB2312" w:hAnsi="仿宋_GB2312" w:eastAsia="仿宋_GB2312" w:cs="仿宋_GB2312"/>
                <w:sz w:val="28"/>
                <w:szCs w:val="28"/>
              </w:rPr>
              <w:t>-2016</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GB 31604.24-2016</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8"/>
                <w:szCs w:val="28"/>
              </w:rPr>
            </w:pPr>
            <w:r>
              <w:rPr>
                <w:rFonts w:ascii="仿宋" w:hAnsi="仿宋" w:eastAsia="仿宋"/>
                <w:color w:val="000000"/>
                <w:sz w:val="21"/>
                <w:szCs w:val="21"/>
              </w:rPr>
              <w:t>●</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8"/>
                <w:szCs w:val="28"/>
              </w:rPr>
            </w:pPr>
          </w:p>
        </w:tc>
      </w:tr>
    </w:tbl>
    <w:p>
      <w:pPr>
        <w:spacing w:line="560" w:lineRule="exact"/>
        <w:rPr>
          <w:rFonts w:ascii="仿宋_GB2312" w:hAnsi="仿宋_GB2312" w:eastAsia="仿宋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4.1检验应注意的问题</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若被检产品明示的质量要求高于本细则中检验项目依据的标准要求时，应按被检产品明示的质量要求判定。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若被检产品明示的质量要求低于本细则中检验项目依据的强制性标准要求时，应按照强制性标准要求判定。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若被检产品明示的质量要求缺少本细则中检验项目依据的强制性标准要求时，应按照强制性标准要求判定。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4.2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4.3若样品出现封样状态破坏或样品异常损坏的情况，影响检验结果，则停止对该样品的检验。</w:t>
      </w:r>
    </w:p>
    <w:p>
      <w:pPr>
        <w:widowControl w:val="0"/>
        <w:autoSpaceDE w:val="0"/>
        <w:autoSpaceDN w:val="0"/>
        <w:adjustRightInd w:val="0"/>
        <w:spacing w:line="360" w:lineRule="auto"/>
        <w:ind w:right="28" w:firstLine="420" w:firstLineChars="200"/>
        <w:jc w:val="both"/>
        <w:rPr>
          <w:rFonts w:ascii="宋体"/>
          <w:color w:val="000000"/>
          <w:sz w:val="21"/>
          <w:szCs w:val="21"/>
        </w:rPr>
      </w:pPr>
    </w:p>
    <w:p>
      <w:pPr>
        <w:spacing w:line="560" w:lineRule="exact"/>
        <w:rPr>
          <w:rFonts w:ascii="黑体" w:hAnsi="黑体" w:eastAsia="黑体"/>
          <w:sz w:val="28"/>
          <w:szCs w:val="28"/>
        </w:rPr>
      </w:pPr>
      <w:r>
        <w:rPr>
          <w:rFonts w:ascii="黑体" w:hAnsi="黑体" w:eastAsia="黑体" w:cs="黑体"/>
          <w:sz w:val="28"/>
          <w:szCs w:val="28"/>
        </w:rPr>
        <w:t>5</w:t>
      </w:r>
      <w:r>
        <w:rPr>
          <w:rFonts w:hint="eastAsia" w:ascii="黑体" w:hAnsi="黑体" w:eastAsia="黑体" w:cs="黑体"/>
          <w:sz w:val="28"/>
          <w:szCs w:val="28"/>
        </w:rPr>
        <w:t>判定原则</w:t>
      </w:r>
    </w:p>
    <w:p>
      <w:pPr>
        <w:spacing w:line="360" w:lineRule="auto"/>
        <w:ind w:firstLine="560" w:firstLineChars="200"/>
        <w:rPr>
          <w:rFonts w:ascii="仿宋_GB2312" w:hAnsi="仿宋_GB2312" w:eastAsia="仿宋_GB2312"/>
          <w:sz w:val="28"/>
          <w:szCs w:val="28"/>
        </w:rPr>
      </w:pPr>
      <w:r>
        <w:rPr>
          <w:rFonts w:ascii="仿宋_GB2312" w:hAnsi="仿宋_GB2312" w:eastAsia="仿宋_GB2312" w:cs="仿宋_GB2312"/>
          <w:sz w:val="28"/>
          <w:szCs w:val="28"/>
        </w:rPr>
        <w:t xml:space="preserve">5.1 </w:t>
      </w:r>
      <w:r>
        <w:rPr>
          <w:rFonts w:hint="eastAsia" w:ascii="仿宋_GB2312" w:hAnsi="仿宋_GB2312" w:eastAsia="仿宋_GB2312" w:cs="仿宋_GB2312"/>
          <w:sz w:val="28"/>
          <w:szCs w:val="28"/>
        </w:rPr>
        <w:t>单项判定</w:t>
      </w:r>
    </w:p>
    <w:p>
      <w:pPr>
        <w:snapToGrid w:val="0"/>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201</w:t>
      </w:r>
      <w:r>
        <w:rPr>
          <w:rFonts w:hint="eastAsia" w:ascii="仿宋_GB2312" w:hAnsi="仿宋_GB2312" w:eastAsia="仿宋_GB2312" w:cs="仿宋_GB2312"/>
          <w:sz w:val="24"/>
          <w:szCs w:val="24"/>
        </w:rPr>
        <w:t>9年广东省食品用玻璃制品检验项目样本大小和判定数组</w:t>
      </w:r>
    </w:p>
    <w:tbl>
      <w:tblPr>
        <w:tblStyle w:val="5"/>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8"/>
        <w:gridCol w:w="2270"/>
        <w:gridCol w:w="2141"/>
        <w:gridCol w:w="33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454" w:hRule="atLeast"/>
          <w:tblHeader/>
          <w:jc w:val="center"/>
        </w:trPr>
        <w:tc>
          <w:tcPr>
            <w:tcW w:w="808" w:type="dxa"/>
            <w:vAlign w:val="center"/>
          </w:tcPr>
          <w:p>
            <w:pPr>
              <w:spacing w:line="360" w:lineRule="auto"/>
              <w:jc w:val="center"/>
              <w:textAlignment w:val="center"/>
              <w:rPr>
                <w:rFonts w:ascii="仿宋_GB2312" w:eastAsia="仿宋_GB2312" w:hAnsiTheme="minorEastAsia"/>
                <w:b/>
                <w:color w:val="000000" w:themeColor="text1"/>
                <w:kern w:val="2"/>
                <w:sz w:val="24"/>
                <w:szCs w:val="24"/>
              </w:rPr>
            </w:pPr>
            <w:r>
              <w:rPr>
                <w:rFonts w:hint="eastAsia" w:ascii="仿宋_GB2312" w:eastAsia="仿宋_GB2312" w:hAnsiTheme="minorEastAsia"/>
                <w:b/>
                <w:color w:val="000000" w:themeColor="text1"/>
                <w:kern w:val="2"/>
                <w:sz w:val="24"/>
                <w:szCs w:val="24"/>
              </w:rPr>
              <w:t>序号</w:t>
            </w:r>
          </w:p>
        </w:tc>
        <w:tc>
          <w:tcPr>
            <w:tcW w:w="2270" w:type="dxa"/>
            <w:vAlign w:val="center"/>
          </w:tcPr>
          <w:p>
            <w:pPr>
              <w:spacing w:line="360" w:lineRule="auto"/>
              <w:jc w:val="center"/>
              <w:textAlignment w:val="center"/>
              <w:rPr>
                <w:rFonts w:ascii="仿宋_GB2312" w:eastAsia="仿宋_GB2312" w:hAnsiTheme="minorEastAsia"/>
                <w:b/>
                <w:color w:val="000000" w:themeColor="text1"/>
                <w:kern w:val="2"/>
                <w:sz w:val="24"/>
                <w:szCs w:val="24"/>
              </w:rPr>
            </w:pPr>
            <w:r>
              <w:rPr>
                <w:rFonts w:hint="eastAsia" w:ascii="仿宋_GB2312" w:eastAsia="仿宋_GB2312" w:hAnsiTheme="minorEastAsia"/>
                <w:b/>
                <w:color w:val="000000" w:themeColor="text1"/>
                <w:kern w:val="2"/>
                <w:sz w:val="24"/>
                <w:szCs w:val="24"/>
              </w:rPr>
              <w:t>检验项目</w:t>
            </w:r>
          </w:p>
        </w:tc>
        <w:tc>
          <w:tcPr>
            <w:tcW w:w="2141" w:type="dxa"/>
            <w:vAlign w:val="center"/>
          </w:tcPr>
          <w:p>
            <w:pPr>
              <w:spacing w:line="360" w:lineRule="auto"/>
              <w:jc w:val="center"/>
              <w:textAlignment w:val="center"/>
              <w:rPr>
                <w:rFonts w:ascii="仿宋_GB2312" w:eastAsia="仿宋_GB2312" w:hAnsiTheme="minorEastAsia"/>
                <w:b/>
                <w:color w:val="000000" w:themeColor="text1"/>
                <w:kern w:val="2"/>
                <w:sz w:val="24"/>
                <w:szCs w:val="24"/>
              </w:rPr>
            </w:pPr>
            <w:r>
              <w:rPr>
                <w:rFonts w:hint="eastAsia" w:ascii="仿宋_GB2312" w:eastAsia="仿宋_GB2312" w:hAnsiTheme="minorEastAsia"/>
                <w:b/>
                <w:color w:val="000000" w:themeColor="text1"/>
                <w:kern w:val="2"/>
                <w:sz w:val="24"/>
                <w:szCs w:val="24"/>
              </w:rPr>
              <w:t>样本大小</w:t>
            </w:r>
          </w:p>
        </w:tc>
        <w:tc>
          <w:tcPr>
            <w:tcW w:w="3303" w:type="dxa"/>
            <w:vAlign w:val="center"/>
          </w:tcPr>
          <w:p>
            <w:pPr>
              <w:spacing w:line="360" w:lineRule="auto"/>
              <w:jc w:val="center"/>
              <w:textAlignment w:val="center"/>
              <w:rPr>
                <w:rFonts w:ascii="仿宋_GB2312" w:eastAsia="仿宋_GB2312" w:hAnsiTheme="minorEastAsia"/>
                <w:b/>
                <w:color w:val="000000" w:themeColor="text1"/>
                <w:kern w:val="2"/>
                <w:sz w:val="24"/>
                <w:szCs w:val="24"/>
              </w:rPr>
            </w:pPr>
            <w:r>
              <w:rPr>
                <w:rFonts w:hint="eastAsia" w:ascii="仿宋_GB2312" w:eastAsia="仿宋_GB2312" w:hAnsiTheme="minorEastAsia"/>
                <w:b/>
                <w:color w:val="000000" w:themeColor="text1"/>
                <w:kern w:val="2"/>
                <w:sz w:val="24"/>
                <w:szCs w:val="24"/>
              </w:rPr>
              <w:t>判定数组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808" w:type="dxa"/>
            <w:vAlign w:val="center"/>
          </w:tcPr>
          <w:p>
            <w:pPr>
              <w:spacing w:line="360" w:lineRule="auto"/>
              <w:jc w:val="center"/>
              <w:rPr>
                <w:rFonts w:ascii="仿宋" w:hAnsi="仿宋" w:eastAsia="仿宋" w:cs="仿宋"/>
                <w:kern w:val="2"/>
                <w:sz w:val="28"/>
                <w:szCs w:val="28"/>
              </w:rPr>
            </w:pPr>
            <w:r>
              <w:rPr>
                <w:rFonts w:ascii="仿宋" w:hAnsi="仿宋" w:eastAsia="仿宋" w:cs="仿宋"/>
                <w:kern w:val="2"/>
                <w:sz w:val="28"/>
                <w:szCs w:val="28"/>
              </w:rPr>
              <w:t>1</w:t>
            </w:r>
          </w:p>
        </w:tc>
        <w:tc>
          <w:tcPr>
            <w:tcW w:w="2270" w:type="dxa"/>
            <w:tcBorders>
              <w:bottom w:val="single" w:color="auto" w:sz="4" w:space="0"/>
            </w:tcBorders>
            <w:vAlign w:val="center"/>
          </w:tcPr>
          <w:p>
            <w:pPr>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铅（Pb）</w:t>
            </w:r>
          </w:p>
        </w:tc>
        <w:tc>
          <w:tcPr>
            <w:tcW w:w="2141" w:type="dxa"/>
            <w:tcBorders>
              <w:bottom w:val="single" w:color="auto" w:sz="4" w:space="0"/>
            </w:tcBorders>
            <w:vAlign w:val="center"/>
          </w:tcPr>
          <w:p>
            <w:pPr>
              <w:spacing w:line="360" w:lineRule="auto"/>
              <w:jc w:val="center"/>
              <w:rPr>
                <w:rFonts w:ascii="仿宋" w:hAnsi="仿宋" w:eastAsia="仿宋" w:cs="仿宋"/>
                <w:kern w:val="2"/>
                <w:sz w:val="28"/>
                <w:szCs w:val="28"/>
              </w:rPr>
            </w:pPr>
            <w:r>
              <w:rPr>
                <w:rFonts w:ascii="仿宋" w:hAnsi="仿宋" w:eastAsia="仿宋" w:cs="仿宋"/>
                <w:kern w:val="2"/>
                <w:sz w:val="28"/>
                <w:szCs w:val="28"/>
              </w:rPr>
              <w:t>n=3</w:t>
            </w:r>
          </w:p>
        </w:tc>
        <w:tc>
          <w:tcPr>
            <w:tcW w:w="3303" w:type="dxa"/>
            <w:tcBorders>
              <w:bottom w:val="single" w:color="auto" w:sz="4" w:space="0"/>
            </w:tcBorders>
            <w:vAlign w:val="center"/>
          </w:tcPr>
          <w:p>
            <w:pPr>
              <w:spacing w:line="360" w:lineRule="auto"/>
              <w:jc w:val="center"/>
              <w:textAlignment w:val="center"/>
              <w:rPr>
                <w:rFonts w:ascii="仿宋" w:hAnsi="仿宋" w:eastAsia="仿宋" w:cs="仿宋"/>
                <w:kern w:val="2"/>
                <w:sz w:val="28"/>
                <w:szCs w:val="28"/>
              </w:rPr>
            </w:pPr>
            <w:r>
              <w:rPr>
                <w:rFonts w:hint="eastAsia" w:ascii="仿宋" w:hAnsi="仿宋" w:eastAsia="仿宋" w:cs="仿宋"/>
                <w:kern w:val="2"/>
                <w:sz w:val="28"/>
                <w:szCs w:val="28"/>
              </w:rPr>
              <w:t>全部通过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808" w:type="dxa"/>
            <w:vAlign w:val="center"/>
          </w:tcPr>
          <w:p>
            <w:pPr>
              <w:spacing w:line="360" w:lineRule="auto"/>
              <w:jc w:val="center"/>
              <w:rPr>
                <w:rFonts w:ascii="仿宋" w:hAnsi="仿宋" w:eastAsia="仿宋" w:cs="仿宋"/>
                <w:kern w:val="2"/>
                <w:sz w:val="28"/>
                <w:szCs w:val="28"/>
              </w:rPr>
            </w:pPr>
            <w:r>
              <w:rPr>
                <w:rFonts w:ascii="仿宋" w:hAnsi="仿宋" w:eastAsia="仿宋" w:cs="仿宋"/>
                <w:kern w:val="2"/>
                <w:sz w:val="28"/>
                <w:szCs w:val="28"/>
              </w:rPr>
              <w:t>2</w:t>
            </w:r>
          </w:p>
        </w:tc>
        <w:tc>
          <w:tcPr>
            <w:tcW w:w="2270" w:type="dxa"/>
            <w:tcBorders>
              <w:top w:val="single" w:color="auto" w:sz="4" w:space="0"/>
              <w:bottom w:val="single" w:color="auto" w:sz="4" w:space="0"/>
            </w:tcBorders>
            <w:vAlign w:val="center"/>
          </w:tcPr>
          <w:p>
            <w:pPr>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镉（Cd）</w:t>
            </w:r>
          </w:p>
        </w:tc>
        <w:tc>
          <w:tcPr>
            <w:tcW w:w="2141" w:type="dxa"/>
            <w:tcBorders>
              <w:top w:val="single" w:color="auto" w:sz="4" w:space="0"/>
              <w:bottom w:val="single" w:color="auto" w:sz="4" w:space="0"/>
            </w:tcBorders>
            <w:vAlign w:val="center"/>
          </w:tcPr>
          <w:p>
            <w:pPr>
              <w:spacing w:line="360" w:lineRule="auto"/>
              <w:jc w:val="center"/>
              <w:rPr>
                <w:rFonts w:ascii="仿宋" w:hAnsi="仿宋" w:eastAsia="仿宋" w:cs="仿宋"/>
                <w:kern w:val="2"/>
                <w:sz w:val="28"/>
                <w:szCs w:val="28"/>
              </w:rPr>
            </w:pPr>
            <w:r>
              <w:rPr>
                <w:rFonts w:ascii="仿宋" w:hAnsi="仿宋" w:eastAsia="仿宋" w:cs="仿宋"/>
                <w:kern w:val="2"/>
                <w:sz w:val="28"/>
                <w:szCs w:val="28"/>
              </w:rPr>
              <w:t>n=3</w:t>
            </w:r>
          </w:p>
        </w:tc>
        <w:tc>
          <w:tcPr>
            <w:tcW w:w="3303" w:type="dxa"/>
            <w:tcBorders>
              <w:top w:val="single" w:color="auto" w:sz="4" w:space="0"/>
              <w:bottom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cs="仿宋"/>
                <w:kern w:val="2"/>
                <w:sz w:val="28"/>
                <w:szCs w:val="28"/>
              </w:rPr>
              <w:t>全部通过</w:t>
            </w:r>
          </w:p>
        </w:tc>
      </w:tr>
    </w:tbl>
    <w:p>
      <w:pPr>
        <w:spacing w:line="560" w:lineRule="exact"/>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sz w:val="28"/>
          <w:szCs w:val="28"/>
        </w:rPr>
      </w:pPr>
      <w:r>
        <w:rPr>
          <w:rFonts w:ascii="仿宋_GB2312" w:hAnsi="仿宋_GB2312" w:eastAsia="仿宋_GB2312" w:cs="仿宋_GB2312"/>
          <w:sz w:val="28"/>
          <w:szCs w:val="28"/>
        </w:rPr>
        <w:t>5.2</w:t>
      </w:r>
      <w:r>
        <w:rPr>
          <w:rFonts w:hint="eastAsia" w:ascii="仿宋_GB2312" w:hAnsi="仿宋_GB2312" w:eastAsia="仿宋_GB2312" w:cs="仿宋_GB2312"/>
          <w:sz w:val="28"/>
          <w:szCs w:val="28"/>
        </w:rPr>
        <w:t>产品检验结果综合判定原则</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经检验，检验项目全部合格，判定为被抽查产品合格；检验项目中任一项或一项以上不合格，判定为被抽查产品不合格。其中，当产品中存在A类项目不合格时，属于严重不合格。</w:t>
      </w:r>
    </w:p>
    <w:p>
      <w:pPr>
        <w:spacing w:line="560" w:lineRule="exact"/>
        <w:ind w:firstLine="560" w:firstLineChars="200"/>
        <w:rPr>
          <w:rFonts w:ascii="仿宋_GB2312" w:hAnsi="仿宋_GB2312" w:eastAsia="仿宋_GB2312"/>
          <w:sz w:val="28"/>
          <w:szCs w:val="28"/>
        </w:rPr>
      </w:pPr>
    </w:p>
    <w:p>
      <w:pPr>
        <w:spacing w:line="560" w:lineRule="exact"/>
        <w:rPr>
          <w:rFonts w:ascii="黑体" w:hAnsi="黑体" w:eastAsia="黑体"/>
          <w:sz w:val="28"/>
          <w:szCs w:val="28"/>
        </w:rPr>
      </w:pPr>
      <w:r>
        <w:rPr>
          <w:rFonts w:ascii="黑体" w:hAnsi="黑体" w:eastAsia="黑体" w:cs="黑体"/>
          <w:sz w:val="28"/>
          <w:szCs w:val="28"/>
        </w:rPr>
        <w:t xml:space="preserve">6 </w:t>
      </w:r>
      <w:r>
        <w:rPr>
          <w:rFonts w:hint="eastAsia" w:ascii="黑体" w:hAnsi="黑体" w:eastAsia="黑体" w:cs="黑体"/>
          <w:sz w:val="28"/>
          <w:szCs w:val="28"/>
        </w:rPr>
        <w:t>异议处理</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对判定不合格产品进行复检时，按以下方式进行：</w:t>
      </w:r>
    </w:p>
    <w:p>
      <w:pPr>
        <w:widowControl w:val="0"/>
        <w:spacing w:line="360" w:lineRule="auto"/>
        <w:ind w:firstLine="42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rPr>
        <w:t>对不合格项目复检时，可以在原样上检验的在原样上复检，不可以在原样上检验的采用备用样复检。</w:t>
      </w:r>
      <w:r>
        <w:rPr>
          <w:rFonts w:hint="eastAsia" w:ascii="仿宋_GB2312" w:hAnsi="仿宋_GB2312" w:eastAsia="仿宋_GB2312" w:cs="仿宋_GB2312"/>
          <w:kern w:val="0"/>
          <w:sz w:val="28"/>
          <w:szCs w:val="28"/>
        </w:rPr>
        <w:t>复检结论为最终</w:t>
      </w:r>
      <w:r>
        <w:rPr>
          <w:rFonts w:hint="eastAsia" w:ascii="仿宋_GB2312" w:hAnsi="仿宋_GB2312" w:eastAsia="仿宋_GB2312" w:cs="仿宋_GB2312"/>
          <w:kern w:val="0"/>
          <w:sz w:val="28"/>
          <w:szCs w:val="28"/>
          <w:lang w:eastAsia="zh-CN"/>
        </w:rPr>
        <w:t>检验</w:t>
      </w:r>
      <w:r>
        <w:rPr>
          <w:rFonts w:hint="eastAsia" w:ascii="仿宋_GB2312" w:hAnsi="仿宋_GB2312" w:eastAsia="仿宋_GB2312" w:cs="仿宋_GB2312"/>
          <w:kern w:val="0"/>
          <w:sz w:val="28"/>
          <w:szCs w:val="28"/>
        </w:rPr>
        <w:t>结论</w:t>
      </w:r>
      <w:r>
        <w:rPr>
          <w:rFonts w:hint="eastAsia" w:ascii="仿宋_GB2312" w:hAnsi="仿宋_GB2312" w:eastAsia="仿宋_GB2312" w:cs="仿宋_GB2312"/>
          <w:kern w:val="2"/>
          <w:sz w:val="28"/>
          <w:szCs w:val="28"/>
        </w:rPr>
        <w:t>。</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法律、法规规定不得复检的其他情况</w:t>
      </w:r>
      <w:r>
        <w:rPr>
          <w:rFonts w:hint="eastAsia" w:ascii="仿宋_GB2312" w:hAnsi="仿宋_GB2312" w:eastAsia="仿宋_GB2312" w:cs="仿宋_GB2312"/>
          <w:sz w:val="28"/>
          <w:szCs w:val="28"/>
          <w:lang w:eastAsia="zh-CN"/>
        </w:rPr>
        <w:t>除外</w:t>
      </w:r>
      <w:r>
        <w:rPr>
          <w:rFonts w:hint="eastAsia" w:ascii="仿宋_GB2312" w:hAnsi="仿宋_GB2312" w:eastAsia="仿宋_GB2312" w:cs="仿宋_GB2312"/>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文鼎小标宋简">
    <w:panose1 w:val="0201060901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文鼎小标宋简">
    <w:panose1 w:val="02010609010101010101"/>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8D2669"/>
    <w:rsid w:val="00006269"/>
    <w:rsid w:val="00021F1A"/>
    <w:rsid w:val="000466CE"/>
    <w:rsid w:val="00053101"/>
    <w:rsid w:val="000618F3"/>
    <w:rsid w:val="00062AB5"/>
    <w:rsid w:val="000E1138"/>
    <w:rsid w:val="001132F7"/>
    <w:rsid w:val="00121512"/>
    <w:rsid w:val="001415AA"/>
    <w:rsid w:val="00145026"/>
    <w:rsid w:val="001531CB"/>
    <w:rsid w:val="00154390"/>
    <w:rsid w:val="0018461B"/>
    <w:rsid w:val="00185A99"/>
    <w:rsid w:val="00195BFD"/>
    <w:rsid w:val="001A2A3B"/>
    <w:rsid w:val="001D09C8"/>
    <w:rsid w:val="001D3922"/>
    <w:rsid w:val="001E3F22"/>
    <w:rsid w:val="001F17FB"/>
    <w:rsid w:val="00204EC9"/>
    <w:rsid w:val="00227B49"/>
    <w:rsid w:val="00234AC0"/>
    <w:rsid w:val="0025380E"/>
    <w:rsid w:val="00273134"/>
    <w:rsid w:val="00277F63"/>
    <w:rsid w:val="00284225"/>
    <w:rsid w:val="00290974"/>
    <w:rsid w:val="00291831"/>
    <w:rsid w:val="002A67DC"/>
    <w:rsid w:val="002D1E67"/>
    <w:rsid w:val="002D5330"/>
    <w:rsid w:val="002F073F"/>
    <w:rsid w:val="002F67A8"/>
    <w:rsid w:val="003059FE"/>
    <w:rsid w:val="00307FA7"/>
    <w:rsid w:val="00311C60"/>
    <w:rsid w:val="00323539"/>
    <w:rsid w:val="00326B48"/>
    <w:rsid w:val="00332669"/>
    <w:rsid w:val="0033608D"/>
    <w:rsid w:val="00336DBD"/>
    <w:rsid w:val="00355D44"/>
    <w:rsid w:val="003A0A50"/>
    <w:rsid w:val="003A6325"/>
    <w:rsid w:val="003B6A2D"/>
    <w:rsid w:val="003B73B5"/>
    <w:rsid w:val="003C2D19"/>
    <w:rsid w:val="003C342A"/>
    <w:rsid w:val="003E4D34"/>
    <w:rsid w:val="003F73B0"/>
    <w:rsid w:val="00423280"/>
    <w:rsid w:val="00443BEE"/>
    <w:rsid w:val="00443D7D"/>
    <w:rsid w:val="0046513C"/>
    <w:rsid w:val="00482529"/>
    <w:rsid w:val="00484B05"/>
    <w:rsid w:val="00492D8A"/>
    <w:rsid w:val="004B340A"/>
    <w:rsid w:val="004C003B"/>
    <w:rsid w:val="004C31C2"/>
    <w:rsid w:val="004E0027"/>
    <w:rsid w:val="004E591F"/>
    <w:rsid w:val="00502073"/>
    <w:rsid w:val="0053683F"/>
    <w:rsid w:val="00537107"/>
    <w:rsid w:val="00537349"/>
    <w:rsid w:val="00554E96"/>
    <w:rsid w:val="00570019"/>
    <w:rsid w:val="00580D42"/>
    <w:rsid w:val="00583D9F"/>
    <w:rsid w:val="00586547"/>
    <w:rsid w:val="00592207"/>
    <w:rsid w:val="005A3529"/>
    <w:rsid w:val="005A461C"/>
    <w:rsid w:val="005A70EF"/>
    <w:rsid w:val="005C0308"/>
    <w:rsid w:val="005D795E"/>
    <w:rsid w:val="005E6A2B"/>
    <w:rsid w:val="00612D11"/>
    <w:rsid w:val="00614D62"/>
    <w:rsid w:val="0061542E"/>
    <w:rsid w:val="0062041E"/>
    <w:rsid w:val="006349B1"/>
    <w:rsid w:val="0065010B"/>
    <w:rsid w:val="006517CC"/>
    <w:rsid w:val="00663805"/>
    <w:rsid w:val="00670D0E"/>
    <w:rsid w:val="006747E6"/>
    <w:rsid w:val="00685488"/>
    <w:rsid w:val="00690DEB"/>
    <w:rsid w:val="006B1329"/>
    <w:rsid w:val="006D55C6"/>
    <w:rsid w:val="006D7F54"/>
    <w:rsid w:val="006E029F"/>
    <w:rsid w:val="006E6F61"/>
    <w:rsid w:val="006F42EB"/>
    <w:rsid w:val="006F5DAB"/>
    <w:rsid w:val="00701E93"/>
    <w:rsid w:val="0073063C"/>
    <w:rsid w:val="00731F8B"/>
    <w:rsid w:val="00733201"/>
    <w:rsid w:val="00763EF2"/>
    <w:rsid w:val="00786119"/>
    <w:rsid w:val="00791122"/>
    <w:rsid w:val="00792114"/>
    <w:rsid w:val="007A3AD0"/>
    <w:rsid w:val="007B4FDF"/>
    <w:rsid w:val="007E6720"/>
    <w:rsid w:val="007E78A6"/>
    <w:rsid w:val="007F771E"/>
    <w:rsid w:val="00831F7A"/>
    <w:rsid w:val="008408F9"/>
    <w:rsid w:val="00846887"/>
    <w:rsid w:val="00847545"/>
    <w:rsid w:val="008479E5"/>
    <w:rsid w:val="00861627"/>
    <w:rsid w:val="008868A7"/>
    <w:rsid w:val="00895D4E"/>
    <w:rsid w:val="008A09F8"/>
    <w:rsid w:val="008D2669"/>
    <w:rsid w:val="00951F80"/>
    <w:rsid w:val="00965895"/>
    <w:rsid w:val="00993761"/>
    <w:rsid w:val="0099663F"/>
    <w:rsid w:val="009A7E75"/>
    <w:rsid w:val="009B41E5"/>
    <w:rsid w:val="009C6E69"/>
    <w:rsid w:val="009E7B98"/>
    <w:rsid w:val="009F1843"/>
    <w:rsid w:val="00A01636"/>
    <w:rsid w:val="00A226DA"/>
    <w:rsid w:val="00A42762"/>
    <w:rsid w:val="00A50228"/>
    <w:rsid w:val="00A7729F"/>
    <w:rsid w:val="00A94607"/>
    <w:rsid w:val="00AA1461"/>
    <w:rsid w:val="00AA1F29"/>
    <w:rsid w:val="00AA255E"/>
    <w:rsid w:val="00AA599A"/>
    <w:rsid w:val="00AB37DE"/>
    <w:rsid w:val="00AC4058"/>
    <w:rsid w:val="00AD5DD4"/>
    <w:rsid w:val="00AE2F04"/>
    <w:rsid w:val="00B11E7D"/>
    <w:rsid w:val="00B30BE0"/>
    <w:rsid w:val="00B6716C"/>
    <w:rsid w:val="00B70952"/>
    <w:rsid w:val="00B76CC9"/>
    <w:rsid w:val="00B815BA"/>
    <w:rsid w:val="00BA244F"/>
    <w:rsid w:val="00BB09D7"/>
    <w:rsid w:val="00BC39CE"/>
    <w:rsid w:val="00BD76C1"/>
    <w:rsid w:val="00BF7834"/>
    <w:rsid w:val="00C01D07"/>
    <w:rsid w:val="00C16B0C"/>
    <w:rsid w:val="00C22482"/>
    <w:rsid w:val="00C41DAC"/>
    <w:rsid w:val="00C87F21"/>
    <w:rsid w:val="00CA0123"/>
    <w:rsid w:val="00CA77E0"/>
    <w:rsid w:val="00CB4F7B"/>
    <w:rsid w:val="00CC0D75"/>
    <w:rsid w:val="00CD59BD"/>
    <w:rsid w:val="00CD5E04"/>
    <w:rsid w:val="00CE54A8"/>
    <w:rsid w:val="00D12A80"/>
    <w:rsid w:val="00D12AF6"/>
    <w:rsid w:val="00D14599"/>
    <w:rsid w:val="00D14B44"/>
    <w:rsid w:val="00D31503"/>
    <w:rsid w:val="00D47299"/>
    <w:rsid w:val="00D57640"/>
    <w:rsid w:val="00DA6769"/>
    <w:rsid w:val="00DD132B"/>
    <w:rsid w:val="00DD2EBD"/>
    <w:rsid w:val="00DD42CD"/>
    <w:rsid w:val="00E16AA1"/>
    <w:rsid w:val="00E40ACB"/>
    <w:rsid w:val="00E4438F"/>
    <w:rsid w:val="00E50F85"/>
    <w:rsid w:val="00E7150D"/>
    <w:rsid w:val="00E74AB5"/>
    <w:rsid w:val="00E87BED"/>
    <w:rsid w:val="00E9494D"/>
    <w:rsid w:val="00E94961"/>
    <w:rsid w:val="00EA7366"/>
    <w:rsid w:val="00ED2F45"/>
    <w:rsid w:val="00EE1E39"/>
    <w:rsid w:val="00EE2476"/>
    <w:rsid w:val="00F026D3"/>
    <w:rsid w:val="00F17AE2"/>
    <w:rsid w:val="00F50858"/>
    <w:rsid w:val="00F56CB8"/>
    <w:rsid w:val="00F61865"/>
    <w:rsid w:val="00F62C5A"/>
    <w:rsid w:val="00F674C8"/>
    <w:rsid w:val="00F734AA"/>
    <w:rsid w:val="00FB6539"/>
    <w:rsid w:val="00FC2B56"/>
    <w:rsid w:val="00FD1C32"/>
    <w:rsid w:val="00FD3B4C"/>
    <w:rsid w:val="00FE0B9E"/>
    <w:rsid w:val="00FE6802"/>
    <w:rsid w:val="00FF40D0"/>
    <w:rsid w:val="05E43690"/>
    <w:rsid w:val="0D62509F"/>
    <w:rsid w:val="0DE34FCC"/>
    <w:rsid w:val="1455731A"/>
    <w:rsid w:val="3E7553A4"/>
    <w:rsid w:val="3FCC5EDF"/>
    <w:rsid w:val="4B347996"/>
    <w:rsid w:val="63EF79A0"/>
    <w:rsid w:val="6A47280C"/>
    <w:rsid w:val="6A9C18BD"/>
    <w:rsid w:val="6AE821D2"/>
    <w:rsid w:val="6BEB19BA"/>
    <w:rsid w:val="6F326FBC"/>
    <w:rsid w:val="7B520C95"/>
    <w:rsid w:val="7CE26B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4"/>
    <w:link w:val="2"/>
    <w:qFormat/>
    <w:locked/>
    <w:uiPriority w:val="99"/>
    <w:rPr>
      <w:rFonts w:ascii="Times New Roman" w:hAnsi="Times New Roman" w:eastAsia="宋体" w:cs="Times New Roman"/>
      <w:kern w:val="0"/>
      <w:sz w:val="18"/>
      <w:szCs w:val="18"/>
    </w:rPr>
  </w:style>
  <w:style w:type="character" w:customStyle="1" w:styleId="7">
    <w:name w:val="页眉 字符"/>
    <w:basedOn w:val="4"/>
    <w:link w:val="3"/>
    <w:qFormat/>
    <w:locked/>
    <w:uiPriority w:val="99"/>
    <w:rPr>
      <w:rFonts w:ascii="Times New Roman" w:hAnsi="Times New Roman" w:eastAsia="宋体" w:cs="Times New Roman"/>
      <w:kern w:val="0"/>
      <w:sz w:val="18"/>
      <w:szCs w:val="18"/>
    </w:rPr>
  </w:style>
  <w:style w:type="character" w:customStyle="1" w:styleId="8">
    <w:name w:val="页眉 Char"/>
    <w:qFormat/>
    <w:locked/>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Pages>
  <Words>290</Words>
  <Characters>1653</Characters>
  <Lines>13</Lines>
  <Paragraphs>3</Paragraphs>
  <TotalTime>0</TotalTime>
  <ScaleCrop>false</ScaleCrop>
  <LinksUpToDate>false</LinksUpToDate>
  <CharactersWithSpaces>1940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2019-05-05T09:13:00Z</dcterms:created>
  <dc:creator>段蕴峰</dc:creator>
  <cp:lastModifiedBy>冼嘉雯</cp:lastModifiedBy>
  <cp:lastPrinted>2019-06-06T07:17:00Z</cp:lastPrinted>
  <dcterms:modified xsi:type="dcterms:W3CDTF">2019-06-12T08:33:56Z</dcterms:modified>
  <dc:title>2018年广东省食品用陶瓷制品省级监督抽查实施细则</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