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ind w:firstLine="880" w:firstLineChars="200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一、调味品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抽检依据为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《食品安全国家标准 食品添加剂使用标准》（GB 2760-2014）、《食品安全国家标准 食品中真菌毒素限量》（GB 2761-201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《食品安全国家标准 食品中污染物限量》（GB 2762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、《酱油卫生标准》（GB 2717-2003）、《酿造酱油》（GB/T 18186-2000）、《配制酱油》（SB/T 10336-2012）、《食品安全国家标准 酿造酱》（GB 2718-2014）、《食品安全国家标准 食品中致病菌限量》（GB 29921-2013）、《食品中可能违法添加的非食用物质和易滥用的食品添加剂品种名单（第五批）》（整顿办函〔2011〕1号）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等标准及产品明示标准和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质量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1.酱油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项目包括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氨基酸态氮、铵盐（以占氨基酸态氮的百分比计）、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铅（以Pb计）、总砷（以As计）、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黄曲霉毒素B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3-氯-1,2丙二醇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、金黄色葡萄球菌、沙门氏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2.酱类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项目包括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氨基酸态氮、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铅（以Pb计）、总砷（以As计）、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黄曲霉毒素B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3.坚果与籽类的泥（酱）检验项目包括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黄曲霉毒素B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苯甲酸及其钠盐（以苯甲酸计）、山梨酸及其钾盐（以山梨酸计）、脱氢乙酸及其钠盐（以脱氢乙酸计）、防腐剂混合使用时各自用量占其最大使用量的比例之和、沙门氏菌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4.火锅底料、麻辣烫底料及蘸料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检验项目包括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铅（以Pb计）、总砷（以As计）、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苏丹红I、苏丹红II、苏丹红III、苏丹红IV、苯甲酸及其钠盐（以苯甲酸计）、山梨酸及其钾盐（以山梨酸计）、脱氢乙酸及其钠盐（以脱氢乙酸计）、防腐剂混合使用时各自用量占其最大使用量的比例之和、二氧化硫残留量、金黄色葡萄球菌、沙门氏菌、副溶血性弧菌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5.其他半固体调味料检验项目包括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铅（以Pb计）、总砷（以As计）、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苏丹红I、苏丹红II、苏丹红III、苏丹红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已基氨基磺酸计）、阿斯巴甜、金黄色葡萄球菌、沙门氏菌、副溶血性弧菌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二、乳制品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抽检依据为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《食品安全国家标准 食品添加剂使用标准》（GB 2760-2014）、《食品安全国家标准 食品中真菌毒素限量》（GB 2761-201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《食品安全国家标准 食品中污染物限量》（GB 2762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、《食品安全国家标准 灭菌乳》（GB 25190-2010）、《食品安全国家标准 调制乳》（GB 25191-2010）、《食品安全国家标准 发酵乳》（GB 19302-2010）、《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关于三聚氰胺在食品中的限量值的公告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》（2011年第10号）、《动物性食品中兽药最高残留限量》（农业部公告第235号）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等标准及产品明示标准和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质量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1.灭菌乳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脂肪、蛋白质、非脂乳固体、酸度、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铬（以 Cr 计）、黄曲霉毒素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、商业无菌、三聚氰胺、地塞米松。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2.调制乳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脂肪、蛋白质、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铬（以 Cr 计）、黄曲霉毒素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、菌落总数、大肠菌群、金黄色葡萄球菌、沙门氏菌、商业无菌、三聚氰胺。</w:t>
      </w:r>
    </w:p>
    <w:p>
      <w:pPr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3.发酵乳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脂肪、蛋白质、非脂乳固体、酸度、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铬（以 Cr 计）、黄曲霉毒素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、大肠菌群、金黄色葡萄球菌、沙门氏菌、酵母、霉菌、乳酸菌数、三聚氰胺、山梨酸及其钾盐（以山梨酸计）。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抽检依据为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《食品安全国家标准 食品添加剂使用标准》（GB 2760-2014）、《食品安全国家标准 食品中真菌毒素限量》（GB 2761-201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《食品安全国家标准 食品中污染物限量》（GB 2762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）、《饮用天然矿泉水》（GB 8537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2008）、《食品安全国家标准 包装饮用水》（GB19298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2014）、《食品安全国家标准 饮料》（GB 7101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2015）、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《植物蛋白饮料 杏仁露》（GB/T 31324-2014）、《植物蛋白饮料 核桃露（乳）》（GB/T 31325-2014）、《食品安全国家标准 食品中致病菌限量》（GB 29921-2013）、《关于三聚氰胺在食品中的限量值的公告》（2011年第10号）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标准及产品明示标准和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质量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1.饮用天然矿泉水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括界限指标、镍、锑、溴酸盐、硝酸盐（以NO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vertAlign w:val="sub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亚硝酸盐（以NO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计）、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大肠菌群、粪链球菌、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产气荚膜梭菌、铜绿假单胞菌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2.饮用纯净水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括耗氧量（以O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vertAlign w:val="baseline"/>
          <w:lang w:eastAsia="zh-CN"/>
        </w:rPr>
        <w:t>计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亚硝酸盐（以NO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计）、余氯（游离氯）、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三氯甲烷、溴酸盐、大肠菌群、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铜绿假单胞菌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3.其他饮用水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括浑浊度、耗氧量（以O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vertAlign w:val="baseline"/>
          <w:lang w:eastAsia="zh-CN"/>
        </w:rPr>
        <w:t>计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亚硝酸盐（以NO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计）、余氯（游离氯）、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三氯甲烷、溴酸盐、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挥发性酚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（以苯酚计）、大肠菌群、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铜绿假单胞菌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4.果、蔬汁饮料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括铅（以Pb计）、展青霉素、苯甲酸及其钠盐（以苯甲酸计）、山梨酸及其钾盐（以山梨酸计）、脱氢乙酸及其钠盐（以脱氢乙酸计）、纳他霉素、防腐剂混合使用时各自用量占其最大使用量的比例之和、糖精钠（以糖精计）、安赛蜜、甜蜜素（以环己基氨基磺酸计）、合成着色剂（赤藓红、酸性红、苋菜红、新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胭脂红、柠檬黄、日落黄、亮蓝）、菌落总数、大肠菌群、霉菌、酵母、金黄色葡萄球菌、沙门氏菌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5.蛋白饮料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棕榈稀酸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/总脂肪酸、亚麻酸/总脂肪酸、花生酸/总脂肪酸、山嵛酸/总脂肪酸、油酸/总脂肪酸、亚油酸/总脂肪酸、（花生酸+山嵛酸）/总脂肪酸、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蛋白质、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三聚氰胺、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糖精钠（以糖精计）、甜蜜素（以环己基氨基磺酸计）、菌落总数、大肠菌群、霉菌、酵母、金黄色葡萄球菌、沙门氏菌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6.碳酸饮料（汽水）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括二氧化碳气容量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苯甲酸及其钠盐（以苯甲酸计）、山梨酸及其钾盐（以山梨酸计）、防腐剂混合使用时各自用量占其最大使用量的比例之和、糖精钠（以糖精计）、甜蜜素（以环己基氨基磺酸计）、菌落总数、大肠菌群、霉菌、酵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7.茶饮料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茶多酚、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咖啡因、甜蜜素（以环己基氨基磺酸计）、菌落总数、金黄色葡萄球菌、沙门氏菌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商业无菌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8.固体饮料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蛋白质、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赭曲霉毒素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A、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苯甲酸及其钠盐（以苯甲酸计）、山梨酸及其钾盐（以山梨酸计）、防腐剂混合使用时各自用量占其最大使用量的比例之和、糖精钠（以糖精计）、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安赛蜜、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甜蜜素（以环己基氨基磺酸计）、合成着色剂（苋菜红、胭脂红、柠檬黄、日落黄、亮蓝）、菌落总数、大肠菌群、霉菌、金黄色葡萄球菌、沙门氏菌。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9.其他饮料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括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赤藓红、苋菜红、新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胭脂红、柠檬黄、日落黄、亮蓝）、菌落总数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霉菌、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酵母、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金黄色葡萄球菌、沙门氏菌。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抽检依据为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《食品安全国家标准 食品添加剂使用标准》（GB 2760-2014）、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《食品安全国家标准 食品中污染物限量》（GB 2762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《食品安全国家标准 食品中农药最大残留限量》（GB 2763-2016）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标准及产品明示标准和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质量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1.茶叶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吡虫啉、吡蚜酮、草甘膦、除虫脲、敌百虫、啶虫脒、多菌灵、甲胺磷、甲拌磷、甲氰菊酯、克百威、联苯菊酯、氯氰菊酯和高效氯氰菊酯、氯唑磷、灭多威、灭线磷、氰戊菊酯和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S-氰戊菊酯、三氯杀螨醇、水胺硫磷、特丁硫磷、氧乐果、茚虫威、滴滴涕。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2.代用茶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二氧化硫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五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抽检依据为《食品安全国家标准 食品添加剂使用标准》（GB 2760-2014）、《食品安全国家标准 食品中污染物限量》（GB 2762-2017）、《食品安全国家标准 糕点、面包》（GB 7099-2015）、《食品安全国家标准 食品中致病菌限量》（GB 29921-2013）、《食品中可能违法添加的非食用物质名单（第二批）》（食品整治办〔2009〕5号）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、《食品中可能违法添加的非食用物质和易滥用的食品添加剂品种名单（第五批）》（整顿办函〔2011〕1号）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等标准及产品明示标准和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质量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糕点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酸价（以脂肪计）、过氧化值（以脂肪计）、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富马酸二甲酯、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苏丹红I、苏丹红II、苏丹红III、苏丹红IV、苯甲酸及其钠盐（以苯甲酸计）、山梨酸及其钾盐（以山梨酸计）、糖精钠（以糖精计）、甜蜜素（以环已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六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抽检依据为《食品安全国家标准 食品添加剂使用标准》（GB 2760-2014）、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《食品安全国家标准 食品中污染物限量》（GB 2762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、《食品安全国家标准 蜂蜜》（GB 14963-2011）、《动物性食品中兽药最高残留限量》（农业部公告第235号）、《发布在在食品动物中停止使用洛美沙星、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培氟沙星、氧氟沙星、诺氟沙星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4种兽药的决定》（农业部公告第2292号）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等标准及产品明示标准和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质量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蜂蜜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包括铅（以Pb计）、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果糖和葡萄糖、蔗糖、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山梨酸及其钾盐（以山梨酸计）、菌落总数、大肠菌群、霉菌计数、嗜渗酵母计数、氯霉素、洛美沙星、培氟沙星、氧氟沙星、诺氟沙星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</w:p>
    <w:p>
      <w:p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七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抽检依据为《食品安全国家标准 食品添加剂使用标准》（GB 2760-2014）、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《食品安全国家标准 食品中污染物限量》（GB 2762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、《食品中可能违法添加的非食用物质和易滥用的食品添加剂品种名单（第一批）》（食品整治办〔2008〕3号）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等标准及产品明示标准和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质量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  <w:highlight w:val="none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1.油炸面制品（自制）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铝的残留量（干样品，以Al计）。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2.火锅调味料（底料、蘸料）（自制）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罂粟碱、吗啡、可待因、那可丁、蒂巴因。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3.其他餐饮食品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铝的残留量（干样品，以Al计）、苯甲酸及其钠盐（以苯甲酸计）、山梨酸及其钾盐（以山梨酸计）、</w:t>
      </w:r>
      <w:r>
        <w:rPr>
          <w:rFonts w:ascii="Times New Roman" w:hAnsi="Times New Roman" w:eastAsia="仿宋_GB2312" w:cs="Times New Roman"/>
          <w:sz w:val="32"/>
          <w:szCs w:val="32"/>
        </w:rPr>
        <w:t>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脱氢乙酸及其钠盐（以脱氢乙酸计）、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亚硝酸盐（以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Na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NO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计）、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甜蜜素（以环己基氨基磺酸计）、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三氯蔗糖、二氧化硫残留量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467FB8-5CE3-4E7B-A26E-1FF341BD33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F4777B1-EDAD-4AB3-8837-1EBA5CD45E9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E03ED4C-BF21-46A4-AB15-97F2DCC0FCD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86780FD-42F3-439F-B98F-EE8038AEC9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5C34"/>
    <w:rsid w:val="00051AE3"/>
    <w:rsid w:val="00087EA2"/>
    <w:rsid w:val="0009108C"/>
    <w:rsid w:val="000960BC"/>
    <w:rsid w:val="000C172F"/>
    <w:rsid w:val="000C537A"/>
    <w:rsid w:val="000D3DF5"/>
    <w:rsid w:val="000D5D0C"/>
    <w:rsid w:val="000D63C9"/>
    <w:rsid w:val="000E2B72"/>
    <w:rsid w:val="000E5572"/>
    <w:rsid w:val="000F4467"/>
    <w:rsid w:val="001158A9"/>
    <w:rsid w:val="001244B0"/>
    <w:rsid w:val="00133CF9"/>
    <w:rsid w:val="00140166"/>
    <w:rsid w:val="001728FE"/>
    <w:rsid w:val="00172A27"/>
    <w:rsid w:val="00173015"/>
    <w:rsid w:val="0019691D"/>
    <w:rsid w:val="001973F5"/>
    <w:rsid w:val="001C0ED8"/>
    <w:rsid w:val="001D4DA7"/>
    <w:rsid w:val="001D51DA"/>
    <w:rsid w:val="00203620"/>
    <w:rsid w:val="00214174"/>
    <w:rsid w:val="0023175D"/>
    <w:rsid w:val="00235D2C"/>
    <w:rsid w:val="002745A6"/>
    <w:rsid w:val="002939F5"/>
    <w:rsid w:val="002A0D72"/>
    <w:rsid w:val="002A52C7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B2DD3"/>
    <w:rsid w:val="003C5A79"/>
    <w:rsid w:val="003D5EEA"/>
    <w:rsid w:val="00402D05"/>
    <w:rsid w:val="00404DD1"/>
    <w:rsid w:val="00413966"/>
    <w:rsid w:val="0041777C"/>
    <w:rsid w:val="0042128E"/>
    <w:rsid w:val="00431CD0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F275C"/>
    <w:rsid w:val="005060AD"/>
    <w:rsid w:val="0051122F"/>
    <w:rsid w:val="0054415C"/>
    <w:rsid w:val="00560E37"/>
    <w:rsid w:val="005613C8"/>
    <w:rsid w:val="005714EA"/>
    <w:rsid w:val="0058082F"/>
    <w:rsid w:val="00582770"/>
    <w:rsid w:val="00585BDB"/>
    <w:rsid w:val="00593DE8"/>
    <w:rsid w:val="005D03CC"/>
    <w:rsid w:val="005E1F65"/>
    <w:rsid w:val="005E2B0E"/>
    <w:rsid w:val="005F0AAD"/>
    <w:rsid w:val="005F1873"/>
    <w:rsid w:val="0064581B"/>
    <w:rsid w:val="0068055F"/>
    <w:rsid w:val="00696B22"/>
    <w:rsid w:val="006A629A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944"/>
    <w:rsid w:val="00797858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42138"/>
    <w:rsid w:val="00845734"/>
    <w:rsid w:val="00845E76"/>
    <w:rsid w:val="00872B42"/>
    <w:rsid w:val="00873B00"/>
    <w:rsid w:val="00886FDC"/>
    <w:rsid w:val="008939CE"/>
    <w:rsid w:val="008B0A91"/>
    <w:rsid w:val="008B3D8E"/>
    <w:rsid w:val="008B4142"/>
    <w:rsid w:val="008F3D51"/>
    <w:rsid w:val="008F7A37"/>
    <w:rsid w:val="00907CE6"/>
    <w:rsid w:val="009126F5"/>
    <w:rsid w:val="0092772A"/>
    <w:rsid w:val="00931A6E"/>
    <w:rsid w:val="00936E22"/>
    <w:rsid w:val="009503B4"/>
    <w:rsid w:val="00957DBB"/>
    <w:rsid w:val="009750DC"/>
    <w:rsid w:val="009A6419"/>
    <w:rsid w:val="009D12C5"/>
    <w:rsid w:val="009D14C7"/>
    <w:rsid w:val="009E2C3C"/>
    <w:rsid w:val="009F1728"/>
    <w:rsid w:val="00A14BFC"/>
    <w:rsid w:val="00A21389"/>
    <w:rsid w:val="00A40430"/>
    <w:rsid w:val="00A40994"/>
    <w:rsid w:val="00A40EC3"/>
    <w:rsid w:val="00A438D9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B531DD"/>
    <w:rsid w:val="00B80CE6"/>
    <w:rsid w:val="00B92661"/>
    <w:rsid w:val="00BB7CCC"/>
    <w:rsid w:val="00BD77D5"/>
    <w:rsid w:val="00BE1E7F"/>
    <w:rsid w:val="00BE7E25"/>
    <w:rsid w:val="00C16FE7"/>
    <w:rsid w:val="00C27707"/>
    <w:rsid w:val="00C31C8D"/>
    <w:rsid w:val="00C36248"/>
    <w:rsid w:val="00C37B7F"/>
    <w:rsid w:val="00C40EC3"/>
    <w:rsid w:val="00C42B5A"/>
    <w:rsid w:val="00C5582E"/>
    <w:rsid w:val="00C57E94"/>
    <w:rsid w:val="00C62BAA"/>
    <w:rsid w:val="00C723B2"/>
    <w:rsid w:val="00C73A38"/>
    <w:rsid w:val="00C8748C"/>
    <w:rsid w:val="00C94D3F"/>
    <w:rsid w:val="00CF4ABA"/>
    <w:rsid w:val="00D062FC"/>
    <w:rsid w:val="00D14959"/>
    <w:rsid w:val="00D17BBC"/>
    <w:rsid w:val="00D32C65"/>
    <w:rsid w:val="00D37CE5"/>
    <w:rsid w:val="00D4341E"/>
    <w:rsid w:val="00D55E4D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15118"/>
    <w:rsid w:val="00E17687"/>
    <w:rsid w:val="00E258BE"/>
    <w:rsid w:val="00E56192"/>
    <w:rsid w:val="00E633D8"/>
    <w:rsid w:val="00E67822"/>
    <w:rsid w:val="00EB4B11"/>
    <w:rsid w:val="00EB5CAD"/>
    <w:rsid w:val="00EF37DC"/>
    <w:rsid w:val="00F13CE5"/>
    <w:rsid w:val="00F21956"/>
    <w:rsid w:val="00F529E9"/>
    <w:rsid w:val="00F95B57"/>
    <w:rsid w:val="00FD2A3F"/>
    <w:rsid w:val="00FD36D9"/>
    <w:rsid w:val="00FE19A5"/>
    <w:rsid w:val="00FF58CA"/>
    <w:rsid w:val="00FF5E79"/>
    <w:rsid w:val="01EA4FF6"/>
    <w:rsid w:val="099F3C35"/>
    <w:rsid w:val="12C07FC8"/>
    <w:rsid w:val="16FF5DA1"/>
    <w:rsid w:val="212004D8"/>
    <w:rsid w:val="29AE7CC8"/>
    <w:rsid w:val="29E829BD"/>
    <w:rsid w:val="377569D0"/>
    <w:rsid w:val="481A3C06"/>
    <w:rsid w:val="500D43CC"/>
    <w:rsid w:val="53363337"/>
    <w:rsid w:val="5B084B2F"/>
    <w:rsid w:val="60415AD1"/>
    <w:rsid w:val="6A7553C6"/>
    <w:rsid w:val="73C67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MS Mincho" w:eastAsia="MS Mincho" w:cs="MS Mincho" w:hAnsiTheme="minorHAnsi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977740-7FBF-4DF5-B247-036611F55C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8</Pages>
  <Words>637</Words>
  <Characters>3637</Characters>
  <Lines>30</Lines>
  <Paragraphs>8</Paragraphs>
  <TotalTime>0</TotalTime>
  <ScaleCrop>false</ScaleCrop>
  <LinksUpToDate>false</LinksUpToDate>
  <CharactersWithSpaces>4266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2017-02-14T08:37:00Z</dcterms:created>
  <dc:creator>SDWM</dc:creator>
  <cp:lastModifiedBy>泰勒公式1422268775</cp:lastModifiedBy>
  <cp:lastPrinted>2017-11-07T08:53:00Z</cp:lastPrinted>
  <dcterms:modified xsi:type="dcterms:W3CDTF">2019-06-05T08:44:03Z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