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overflowPunct w:val="0"/>
        <w:autoSpaceDE w:val="0"/>
        <w:autoSpaceDN w:val="0"/>
        <w:adjustRightInd w:val="0"/>
        <w:snapToGrid w:val="0"/>
        <w:spacing w:beforeAutospacing="0" w:afterAutospacing="0" w:line="580" w:lineRule="exact"/>
        <w:rPr>
          <w:rFonts w:ascii="方正黑体_GBK" w:hAnsi="方正仿宋_GBK" w:eastAsia="方正黑体_GBK" w:cs="方正仿宋_GBK"/>
          <w:bCs/>
          <w:sz w:val="32"/>
          <w:szCs w:val="32"/>
        </w:rPr>
      </w:pPr>
      <w:r>
        <w:rPr>
          <w:rFonts w:hint="eastAsia" w:ascii="方正黑体_GBK" w:hAnsi="方正仿宋_GBK" w:eastAsia="方正黑体_GBK" w:cs="方正仿宋_GBK"/>
          <w:bCs/>
          <w:sz w:val="32"/>
          <w:szCs w:val="32"/>
        </w:rPr>
        <w:t>省市场监管局发布</w:t>
      </w:r>
    </w:p>
    <w:p>
      <w:pPr>
        <w:overflowPunct w:val="0"/>
        <w:autoSpaceDE w:val="0"/>
        <w:autoSpaceDN w:val="0"/>
        <w:adjustRightInd w:val="0"/>
        <w:snapToGrid w:val="0"/>
        <w:spacing w:line="580" w:lineRule="atLeast"/>
        <w:rPr>
          <w:rFonts w:ascii="方正黑体_GBK" w:hAnsi="方正仿宋_GBK" w:eastAsia="方正黑体_GBK" w:cs="方正仿宋_GBK"/>
          <w:bCs/>
          <w:sz w:val="32"/>
          <w:szCs w:val="32"/>
        </w:rPr>
      </w:pPr>
    </w:p>
    <w:p>
      <w:pPr>
        <w:overflowPunct w:val="0"/>
        <w:autoSpaceDE w:val="0"/>
        <w:autoSpaceDN w:val="0"/>
        <w:adjustRightInd w:val="0"/>
        <w:snapToGrid w:val="0"/>
        <w:spacing w:line="580" w:lineRule="exact"/>
        <w:jc w:val="center"/>
        <w:rPr>
          <w:rFonts w:ascii="方正小标宋_GBK" w:hAnsi="方正仿宋_GBK" w:eastAsia="方正小标宋_GBK" w:cs="方正仿宋_GBK"/>
          <w:kern w:val="0"/>
          <w:sz w:val="44"/>
          <w:szCs w:val="44"/>
        </w:rPr>
      </w:pPr>
      <w:r>
        <w:rPr>
          <w:rFonts w:hint="eastAsia" w:ascii="方正小标宋_GBK" w:hAnsi="方正仿宋_GBK" w:eastAsia="方正小标宋_GBK" w:cs="方正仿宋_GBK"/>
          <w:kern w:val="0"/>
          <w:sz w:val="44"/>
          <w:szCs w:val="44"/>
        </w:rPr>
        <w:t>电火锅产品质量监督抽查分析报告</w:t>
      </w:r>
    </w:p>
    <w:p>
      <w:pPr>
        <w:spacing w:line="480" w:lineRule="exact"/>
        <w:rPr>
          <w:rFonts w:ascii="宋体" w:hAnsi="宋体" w:cs="宋体"/>
          <w:sz w:val="28"/>
          <w:szCs w:val="28"/>
        </w:rPr>
      </w:pPr>
    </w:p>
    <w:p>
      <w:pPr>
        <w:overflowPunct w:val="0"/>
        <w:autoSpaceDE w:val="0"/>
        <w:autoSpaceDN w:val="0"/>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2019年1季度，江苏省市场监督管理局委托盐城市产品质量监督检验所和江苏省产品质量监督检验研究院对电火锅产品质量进行监督抽查。共抽查产品40批次，合格30批次，合格率为75%。</w:t>
      </w:r>
    </w:p>
    <w:p>
      <w:pPr>
        <w:overflowPunct w:val="0"/>
        <w:autoSpaceDE w:val="0"/>
        <w:autoSpaceDN w:val="0"/>
        <w:adjustRightInd w:val="0"/>
        <w:snapToGrid w:val="0"/>
        <w:spacing w:line="580" w:lineRule="exact"/>
        <w:ind w:firstLine="643" w:firstLineChars="200"/>
        <w:rPr>
          <w:rFonts w:ascii="方正黑体_GBK" w:hAnsi="方正仿宋_GBK" w:eastAsia="方正黑体_GBK" w:cs="方正仿宋_GBK"/>
          <w:b/>
          <w:sz w:val="32"/>
          <w:szCs w:val="32"/>
        </w:rPr>
      </w:pPr>
      <w:r>
        <w:rPr>
          <w:rFonts w:hint="eastAsia" w:ascii="方正黑体_GBK" w:hAnsi="方正仿宋_GBK" w:eastAsia="方正黑体_GBK" w:cs="方正仿宋_GBK"/>
          <w:b/>
          <w:sz w:val="32"/>
          <w:szCs w:val="32"/>
        </w:rPr>
        <w:t>一、产业概况</w:t>
      </w:r>
    </w:p>
    <w:p>
      <w:pPr>
        <w:overflowPunct w:val="0"/>
        <w:autoSpaceDE w:val="0"/>
        <w:autoSpaceDN w:val="0"/>
        <w:spacing w:line="58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电火锅属于液体加热器。我国电火锅生产企业主要聚集在上海、浙江和广东等地。</w:t>
      </w:r>
    </w:p>
    <w:p>
      <w:pPr>
        <w:overflowPunct w:val="0"/>
        <w:autoSpaceDE w:val="0"/>
        <w:autoSpaceDN w:val="0"/>
        <w:adjustRightInd w:val="0"/>
        <w:snapToGrid w:val="0"/>
        <w:spacing w:line="580" w:lineRule="exact"/>
        <w:ind w:firstLine="643"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二、抽查情况</w:t>
      </w:r>
    </w:p>
    <w:p>
      <w:pPr>
        <w:overflowPunct w:val="0"/>
        <w:autoSpaceDE w:val="0"/>
        <w:autoSpaceDN w:val="0"/>
        <w:adjustRightInd w:val="0"/>
        <w:snapToGrid w:val="0"/>
        <w:spacing w:line="580" w:lineRule="exact"/>
        <w:ind w:firstLine="643"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（一）样品来源</w:t>
      </w:r>
    </w:p>
    <w:p>
      <w:pPr>
        <w:overflowPunct w:val="0"/>
        <w:autoSpaceDE w:val="0"/>
        <w:autoSpaceDN w:val="0"/>
        <w:adjustRightInd w:val="0"/>
        <w:snapToGrid w:val="0"/>
        <w:spacing w:line="580" w:lineRule="exact"/>
        <w:ind w:firstLine="64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本次抽查电火锅产品40批次，其中在实体店购样20批次，电商平台购样20批次。</w:t>
      </w:r>
    </w:p>
    <w:p>
      <w:pPr>
        <w:overflowPunct w:val="0"/>
        <w:autoSpaceDE w:val="0"/>
        <w:autoSpaceDN w:val="0"/>
        <w:adjustRightInd w:val="0"/>
        <w:snapToGrid w:val="0"/>
        <w:spacing w:line="520" w:lineRule="exact"/>
        <w:ind w:firstLine="643" w:firstLineChars="200"/>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（二）检验项目</w:t>
      </w: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20" w:lineRule="exact"/>
        <w:rPr>
          <w:rFonts w:ascii="仿宋" w:hAnsi="仿宋" w:eastAsia="仿宋" w:cs="仿宋"/>
          <w:sz w:val="32"/>
          <w:szCs w:val="32"/>
        </w:rPr>
      </w:pPr>
    </w:p>
    <w:p>
      <w:pPr>
        <w:overflowPunct w:val="0"/>
        <w:autoSpaceDE w:val="0"/>
        <w:autoSpaceDN w:val="0"/>
        <w:adjustRightInd w:val="0"/>
        <w:snapToGrid w:val="0"/>
        <w:spacing w:line="58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表1：电火锅产品检验项目及依据</w:t>
      </w:r>
    </w:p>
    <w:tbl>
      <w:tblPr>
        <w:tblStyle w:val="11"/>
        <w:tblW w:w="88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55"/>
        <w:gridCol w:w="3543"/>
        <w:gridCol w:w="31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检验项目</w:t>
            </w:r>
          </w:p>
        </w:tc>
        <w:tc>
          <w:tcPr>
            <w:tcW w:w="3543" w:type="dxa"/>
            <w:tcBorders>
              <w:top w:val="single" w:color="auto" w:sz="4" w:space="0"/>
              <w:left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检验依据</w:t>
            </w:r>
          </w:p>
        </w:tc>
        <w:tc>
          <w:tcPr>
            <w:tcW w:w="3142" w:type="dxa"/>
            <w:tcBorders>
              <w:top w:val="single" w:color="auto" w:sz="4" w:space="0"/>
              <w:left w:val="single" w:color="auto" w:sz="4" w:space="0"/>
              <w:bottom w:val="single" w:color="auto" w:sz="4"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868"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对触及带电部件的防护</w:t>
            </w:r>
          </w:p>
        </w:tc>
        <w:tc>
          <w:tcPr>
            <w:tcW w:w="3543" w:type="dxa"/>
            <w:vMerge w:val="restart"/>
            <w:tcBorders>
              <w:top w:val="single" w:color="auto" w:sz="4" w:space="0"/>
              <w:left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仿宋" w:hAnsi="仿宋" w:eastAsia="仿宋" w:cs="仿宋"/>
                <w:sz w:val="30"/>
                <w:szCs w:val="30"/>
              </w:rPr>
            </w:pPr>
            <w:r>
              <w:rPr>
                <w:rFonts w:hint="eastAsia" w:ascii="方正仿宋_GBK" w:hAnsi="方正仿宋_GBK" w:eastAsia="方正仿宋_GBK" w:cs="方正仿宋_GBK"/>
                <w:bCs/>
                <w:kern w:val="0"/>
                <w:sz w:val="28"/>
                <w:szCs w:val="28"/>
              </w:rPr>
              <w:t>GB 4706.1-2005《家用和类似用途电器的安全 第1部分：通用要求》GB 4706.19-2008《家用和类似用途电器的安全 液体加热器的特殊要求》</w:t>
            </w:r>
          </w:p>
        </w:tc>
        <w:tc>
          <w:tcPr>
            <w:tcW w:w="3142" w:type="dxa"/>
            <w:vMerge w:val="restart"/>
            <w:tcBorders>
              <w:top w:val="single" w:color="auto" w:sz="4" w:space="0"/>
              <w:left w:val="single" w:color="auto" w:sz="4" w:space="0"/>
              <w:right w:val="single" w:color="auto" w:sz="6" w:space="0"/>
            </w:tcBorders>
            <w:vAlign w:val="center"/>
          </w:tcPr>
          <w:p>
            <w:pPr>
              <w:overflowPunct w:val="0"/>
              <w:autoSpaceDE w:val="0"/>
              <w:autoSpaceDN w:val="0"/>
              <w:adjustRightInd w:val="0"/>
              <w:snapToGrid w:val="0"/>
              <w:spacing w:line="400" w:lineRule="exact"/>
              <w:jc w:val="center"/>
              <w:rPr>
                <w:rFonts w:ascii="仿宋" w:hAnsi="仿宋" w:eastAsia="仿宋" w:cs="仿宋"/>
                <w:sz w:val="30"/>
                <w:szCs w:val="30"/>
              </w:rPr>
            </w:pPr>
            <w:r>
              <w:rPr>
                <w:rFonts w:hint="eastAsia" w:ascii="方正仿宋_GBK" w:hAnsi="方正仿宋_GBK" w:eastAsia="方正仿宋_GBK" w:cs="方正仿宋_GBK"/>
                <w:bCs/>
                <w:kern w:val="0"/>
                <w:sz w:val="28"/>
                <w:szCs w:val="28"/>
              </w:rPr>
              <w:t>GB 4706.1-2005《家用和类似用途电器的安全 第1部分：通用要求》GB 4706.19-2008《家用和类似用途电器的安全 液体加热器的特殊要求》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47"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输入功率和电流</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发热</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工作温度下的泄漏电流和电气强度</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耐潮湿</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泄漏电流和电气强度</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非正常工作</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非正常工作（不包括第19.11.4条试验）</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稳定性和机械危险</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机械强度</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结构</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内部布线</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电源连接和外部软线</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接地措施</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外部导线用接线端子</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3"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螺钉和连接</w:t>
            </w:r>
          </w:p>
        </w:tc>
        <w:tc>
          <w:tcPr>
            <w:tcW w:w="3543"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125" w:hRule="atLeast"/>
          <w:jc w:val="center"/>
        </w:trPr>
        <w:tc>
          <w:tcPr>
            <w:tcW w:w="21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电气间隙、爬电距离和固体绝缘</w:t>
            </w:r>
          </w:p>
        </w:tc>
        <w:tc>
          <w:tcPr>
            <w:tcW w:w="3543" w:type="dxa"/>
            <w:vMerge w:val="continue"/>
            <w:tcBorders>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c>
          <w:tcPr>
            <w:tcW w:w="3142" w:type="dxa"/>
            <w:vMerge w:val="continue"/>
            <w:tcBorders>
              <w:left w:val="single" w:color="auto" w:sz="4" w:space="0"/>
              <w:bottom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sz w:val="30"/>
                <w:szCs w:val="30"/>
              </w:rPr>
            </w:pPr>
          </w:p>
        </w:tc>
      </w:tr>
    </w:tbl>
    <w:p>
      <w:pPr>
        <w:overflowPunct w:val="0"/>
        <w:autoSpaceDE w:val="0"/>
        <w:autoSpaceDN w:val="0"/>
        <w:adjustRightInd w:val="0"/>
        <w:snapToGrid w:val="0"/>
        <w:spacing w:line="520" w:lineRule="exact"/>
        <w:ind w:firstLine="601"/>
        <w:rPr>
          <w:rFonts w:ascii="方正楷体_GBK" w:hAnsi="方正仿宋_GBK" w:eastAsia="方正楷体_GBK" w:cs="方正仿宋_GBK"/>
          <w:b/>
          <w:sz w:val="32"/>
          <w:szCs w:val="32"/>
        </w:rPr>
      </w:pPr>
      <w:r>
        <w:rPr>
          <w:rFonts w:hint="eastAsia" w:ascii="方正楷体_GBK" w:hAnsi="方正仿宋_GBK" w:eastAsia="方正楷体_GBK" w:cs="方正仿宋_GBK"/>
          <w:b/>
          <w:sz w:val="32"/>
          <w:szCs w:val="32"/>
        </w:rPr>
        <w:t>（三）抽查结果</w:t>
      </w:r>
    </w:p>
    <w:p>
      <w:pPr>
        <w:overflowPunct w:val="0"/>
        <w:autoSpaceDE w:val="0"/>
        <w:autoSpaceDN w:val="0"/>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本次共抽查</w:t>
      </w:r>
      <w:r>
        <w:rPr>
          <w:rFonts w:hint="eastAsia" w:ascii="方正仿宋_GBK" w:hAnsi="方正仿宋_GBK" w:eastAsia="方正仿宋_GBK" w:cs="方正仿宋_GBK"/>
          <w:sz w:val="32"/>
          <w:szCs w:val="32"/>
          <w:lang w:eastAsia="zh-CN"/>
        </w:rPr>
        <w:t>产品</w:t>
      </w:r>
      <w:r>
        <w:rPr>
          <w:rFonts w:hint="eastAsia" w:ascii="方正仿宋_GBK" w:hAnsi="方正仿宋_GBK" w:eastAsia="方正仿宋_GBK" w:cs="方正仿宋_GBK"/>
          <w:sz w:val="32"/>
          <w:szCs w:val="32"/>
        </w:rPr>
        <w:t>40批次，合格30批次，合格率为75%。</w:t>
      </w:r>
    </w:p>
    <w:p>
      <w:pPr>
        <w:overflowPunct w:val="0"/>
        <w:autoSpaceDE w:val="0"/>
        <w:autoSpaceDN w:val="0"/>
        <w:adjustRightInd w:val="0"/>
        <w:snapToGrid w:val="0"/>
        <w:spacing w:line="580" w:lineRule="atLeast"/>
        <w:ind w:firstLine="803" w:firstLineChars="25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1、按样品来源</w:t>
      </w:r>
    </w:p>
    <w:p>
      <w:pPr>
        <w:overflowPunct w:val="0"/>
        <w:autoSpaceDE w:val="0"/>
        <w:autoSpaceDN w:val="0"/>
        <w:adjustRightInd w:val="0"/>
        <w:snapToGrid w:val="0"/>
        <w:spacing w:line="58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表2：不同样品来源抽查结果</w:t>
      </w:r>
    </w:p>
    <w:tbl>
      <w:tblPr>
        <w:tblStyle w:val="11"/>
        <w:tblW w:w="7651" w:type="dxa"/>
        <w:tblInd w:w="-3" w:type="dxa"/>
        <w:tblLayout w:type="fixed"/>
        <w:tblCellMar>
          <w:top w:w="0" w:type="dxa"/>
          <w:left w:w="0" w:type="dxa"/>
          <w:bottom w:w="0" w:type="dxa"/>
          <w:right w:w="0" w:type="dxa"/>
        </w:tblCellMar>
      </w:tblPr>
      <w:tblGrid>
        <w:gridCol w:w="1115"/>
        <w:gridCol w:w="1622"/>
        <w:gridCol w:w="1564"/>
        <w:gridCol w:w="1547"/>
        <w:gridCol w:w="1803"/>
      </w:tblGrid>
      <w:tr>
        <w:tblPrEx>
          <w:tblLayout w:type="fixed"/>
          <w:tblCellMar>
            <w:top w:w="0" w:type="dxa"/>
            <w:left w:w="0" w:type="dxa"/>
            <w:bottom w:w="0" w:type="dxa"/>
            <w:right w:w="0" w:type="dxa"/>
          </w:tblCellMar>
        </w:tblPrEx>
        <w:trPr>
          <w:trHeight w:val="861" w:hRule="atLeast"/>
        </w:trPr>
        <w:tc>
          <w:tcPr>
            <w:tcW w:w="2737" w:type="dxa"/>
            <w:gridSpan w:val="2"/>
            <w:tcBorders>
              <w:top w:val="single" w:color="auto" w:sz="6" w:space="0"/>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52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样品来源</w:t>
            </w:r>
          </w:p>
        </w:tc>
        <w:tc>
          <w:tcPr>
            <w:tcW w:w="15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抽查批次</w:t>
            </w:r>
          </w:p>
        </w:tc>
        <w:tc>
          <w:tcPr>
            <w:tcW w:w="1547"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合格批次</w:t>
            </w:r>
          </w:p>
        </w:tc>
        <w:tc>
          <w:tcPr>
            <w:tcW w:w="1803"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合格率</w:t>
            </w:r>
          </w:p>
        </w:tc>
      </w:tr>
      <w:tr>
        <w:tblPrEx>
          <w:tblLayout w:type="fixed"/>
          <w:tblCellMar>
            <w:top w:w="0" w:type="dxa"/>
            <w:left w:w="0" w:type="dxa"/>
            <w:bottom w:w="0" w:type="dxa"/>
            <w:right w:w="0" w:type="dxa"/>
          </w:tblCellMar>
        </w:tblPrEx>
        <w:trPr>
          <w:trHeight w:val="415" w:hRule="atLeast"/>
        </w:trPr>
        <w:tc>
          <w:tcPr>
            <w:tcW w:w="1115" w:type="dxa"/>
            <w:vMerge w:val="restart"/>
            <w:tcBorders>
              <w:top w:val="single" w:color="auto" w:sz="6" w:space="0"/>
              <w:left w:val="single" w:color="auto" w:sz="4" w:space="0"/>
              <w:right w:val="single" w:color="auto" w:sz="6" w:space="0"/>
            </w:tcBorders>
            <w:vAlign w:val="center"/>
          </w:tcPr>
          <w:p>
            <w:pPr>
              <w:overflowPunct w:val="0"/>
              <w:autoSpaceDE w:val="0"/>
              <w:autoSpaceDN w:val="0"/>
              <w:adjustRightInd w:val="0"/>
              <w:snapToGrid w:val="0"/>
              <w:spacing w:line="400" w:lineRule="exact"/>
              <w:jc w:val="center"/>
              <w:rPr>
                <w:rFonts w:ascii="仿宋" w:hAnsi="仿宋" w:eastAsia="仿宋" w:cs="仿宋"/>
                <w:bCs/>
                <w:kern w:val="0"/>
                <w:sz w:val="32"/>
                <w:szCs w:val="32"/>
              </w:rPr>
            </w:pPr>
            <w:r>
              <w:rPr>
                <w:rFonts w:hint="eastAsia" w:ascii="方正仿宋_GBK" w:hAnsi="方正仿宋_GBK" w:eastAsia="方正仿宋_GBK" w:cs="方正仿宋_GBK"/>
                <w:bCs/>
                <w:kern w:val="0"/>
                <w:sz w:val="28"/>
                <w:szCs w:val="28"/>
              </w:rPr>
              <w:t>实体店</w:t>
            </w:r>
          </w:p>
        </w:tc>
        <w:tc>
          <w:tcPr>
            <w:tcW w:w="1622" w:type="dxa"/>
            <w:tcBorders>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商场</w:t>
            </w:r>
          </w:p>
        </w:tc>
        <w:tc>
          <w:tcPr>
            <w:tcW w:w="15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4</w:t>
            </w:r>
          </w:p>
        </w:tc>
        <w:tc>
          <w:tcPr>
            <w:tcW w:w="1547"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4</w:t>
            </w:r>
          </w:p>
        </w:tc>
        <w:tc>
          <w:tcPr>
            <w:tcW w:w="1803"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415" w:hRule="atLeast"/>
        </w:trPr>
        <w:tc>
          <w:tcPr>
            <w:tcW w:w="1115"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bCs/>
                <w:kern w:val="0"/>
                <w:sz w:val="32"/>
                <w:szCs w:val="32"/>
              </w:rPr>
            </w:pPr>
          </w:p>
        </w:tc>
        <w:tc>
          <w:tcPr>
            <w:tcW w:w="1622" w:type="dxa"/>
            <w:tcBorders>
              <w:top w:val="single" w:color="auto" w:sz="6" w:space="0"/>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超市</w:t>
            </w:r>
          </w:p>
        </w:tc>
        <w:tc>
          <w:tcPr>
            <w:tcW w:w="15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6</w:t>
            </w:r>
          </w:p>
        </w:tc>
        <w:tc>
          <w:tcPr>
            <w:tcW w:w="1547"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6</w:t>
            </w:r>
          </w:p>
        </w:tc>
        <w:tc>
          <w:tcPr>
            <w:tcW w:w="1803"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415" w:hRule="atLeast"/>
        </w:trPr>
        <w:tc>
          <w:tcPr>
            <w:tcW w:w="1115"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bCs/>
                <w:kern w:val="0"/>
                <w:sz w:val="32"/>
                <w:szCs w:val="32"/>
              </w:rPr>
            </w:pPr>
          </w:p>
        </w:tc>
        <w:tc>
          <w:tcPr>
            <w:tcW w:w="1622" w:type="dxa"/>
            <w:tcBorders>
              <w:top w:val="single" w:color="auto" w:sz="6" w:space="0"/>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批发市场</w:t>
            </w:r>
          </w:p>
        </w:tc>
        <w:tc>
          <w:tcPr>
            <w:tcW w:w="15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8</w:t>
            </w:r>
          </w:p>
        </w:tc>
        <w:tc>
          <w:tcPr>
            <w:tcW w:w="1547"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803"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415" w:hRule="atLeast"/>
        </w:trPr>
        <w:tc>
          <w:tcPr>
            <w:tcW w:w="1115" w:type="dxa"/>
            <w:vMerge w:val="continue"/>
            <w:tcBorders>
              <w:left w:val="single" w:color="auto" w:sz="4"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bCs/>
                <w:kern w:val="0"/>
                <w:sz w:val="32"/>
                <w:szCs w:val="32"/>
              </w:rPr>
            </w:pPr>
          </w:p>
        </w:tc>
        <w:tc>
          <w:tcPr>
            <w:tcW w:w="1622" w:type="dxa"/>
            <w:tcBorders>
              <w:top w:val="single" w:color="auto" w:sz="6" w:space="0"/>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专卖店</w:t>
            </w:r>
          </w:p>
        </w:tc>
        <w:tc>
          <w:tcPr>
            <w:tcW w:w="15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547"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803"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415" w:hRule="atLeast"/>
        </w:trPr>
        <w:tc>
          <w:tcPr>
            <w:tcW w:w="1115" w:type="dxa"/>
            <w:vMerge w:val="continue"/>
            <w:tcBorders>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520" w:lineRule="exact"/>
              <w:jc w:val="center"/>
              <w:rPr>
                <w:rFonts w:ascii="仿宋" w:hAnsi="仿宋" w:eastAsia="仿宋" w:cs="仿宋"/>
                <w:bCs/>
                <w:kern w:val="0"/>
                <w:sz w:val="32"/>
                <w:szCs w:val="32"/>
              </w:rPr>
            </w:pPr>
          </w:p>
        </w:tc>
        <w:tc>
          <w:tcPr>
            <w:tcW w:w="1622" w:type="dxa"/>
            <w:tcBorders>
              <w:top w:val="single" w:color="auto" w:sz="6" w:space="0"/>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小计</w:t>
            </w:r>
          </w:p>
        </w:tc>
        <w:tc>
          <w:tcPr>
            <w:tcW w:w="156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20</w:t>
            </w:r>
          </w:p>
        </w:tc>
        <w:tc>
          <w:tcPr>
            <w:tcW w:w="1547"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14</w:t>
            </w:r>
          </w:p>
        </w:tc>
        <w:tc>
          <w:tcPr>
            <w:tcW w:w="1803"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70%</w:t>
            </w:r>
          </w:p>
        </w:tc>
      </w:tr>
      <w:tr>
        <w:tblPrEx>
          <w:tblLayout w:type="fixed"/>
          <w:tblCellMar>
            <w:top w:w="0" w:type="dxa"/>
            <w:left w:w="0" w:type="dxa"/>
            <w:bottom w:w="0" w:type="dxa"/>
            <w:right w:w="0" w:type="dxa"/>
          </w:tblCellMar>
        </w:tblPrEx>
        <w:trPr>
          <w:trHeight w:val="167" w:hRule="atLeast"/>
        </w:trPr>
        <w:tc>
          <w:tcPr>
            <w:tcW w:w="1115" w:type="dxa"/>
            <w:vMerge w:val="restart"/>
            <w:tcBorders>
              <w:top w:val="nil"/>
              <w:left w:val="single" w:color="auto" w:sz="4" w:space="0"/>
              <w:right w:val="single" w:color="auto" w:sz="4" w:space="0"/>
            </w:tcBorders>
            <w:vAlign w:val="center"/>
          </w:tcPr>
          <w:p>
            <w:pPr>
              <w:overflowPunct w:val="0"/>
              <w:autoSpaceDE w:val="0"/>
              <w:autoSpaceDN w:val="0"/>
              <w:adjustRightInd w:val="0"/>
              <w:snapToGrid w:val="0"/>
              <w:spacing w:line="400" w:lineRule="exact"/>
              <w:jc w:val="center"/>
              <w:rPr>
                <w:rFonts w:ascii="仿宋" w:hAnsi="仿宋" w:eastAsia="仿宋" w:cs="仿宋"/>
                <w:kern w:val="0"/>
                <w:sz w:val="32"/>
                <w:szCs w:val="32"/>
              </w:rPr>
            </w:pPr>
            <w:r>
              <w:rPr>
                <w:rFonts w:hint="eastAsia" w:ascii="方正仿宋_GBK" w:hAnsi="方正仿宋_GBK" w:eastAsia="方正仿宋_GBK" w:cs="方正仿宋_GBK"/>
                <w:bCs/>
                <w:kern w:val="0"/>
                <w:sz w:val="28"/>
                <w:szCs w:val="28"/>
              </w:rPr>
              <w:t>电商平台</w:t>
            </w: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天猫</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5</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5</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167" w:hRule="atLeast"/>
        </w:trPr>
        <w:tc>
          <w:tcPr>
            <w:tcW w:w="1115"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kern w:val="0"/>
                <w:sz w:val="32"/>
                <w:szCs w:val="32"/>
              </w:rPr>
            </w:pP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京东商城</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167" w:hRule="atLeast"/>
        </w:trPr>
        <w:tc>
          <w:tcPr>
            <w:tcW w:w="1115"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kern w:val="0"/>
                <w:sz w:val="32"/>
                <w:szCs w:val="32"/>
              </w:rPr>
            </w:pP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苏宁易购</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167" w:hRule="atLeast"/>
        </w:trPr>
        <w:tc>
          <w:tcPr>
            <w:tcW w:w="1115"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kern w:val="0"/>
                <w:sz w:val="32"/>
                <w:szCs w:val="32"/>
              </w:rPr>
            </w:pP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淘宝</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167" w:hRule="atLeast"/>
        </w:trPr>
        <w:tc>
          <w:tcPr>
            <w:tcW w:w="1115"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kern w:val="0"/>
                <w:sz w:val="32"/>
                <w:szCs w:val="32"/>
              </w:rPr>
            </w:pP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拼多多</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0</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167" w:hRule="atLeast"/>
        </w:trPr>
        <w:tc>
          <w:tcPr>
            <w:tcW w:w="1115"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kern w:val="0"/>
                <w:sz w:val="32"/>
                <w:szCs w:val="32"/>
              </w:rPr>
            </w:pP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一号店</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167" w:hRule="atLeast"/>
        </w:trPr>
        <w:tc>
          <w:tcPr>
            <w:tcW w:w="1115" w:type="dxa"/>
            <w:vMerge w:val="continue"/>
            <w:tcBorders>
              <w:left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kern w:val="0"/>
                <w:sz w:val="32"/>
                <w:szCs w:val="32"/>
              </w:rPr>
            </w:pP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国美在线</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p>
        </w:tc>
      </w:tr>
      <w:tr>
        <w:tblPrEx>
          <w:tblLayout w:type="fixed"/>
          <w:tblCellMar>
            <w:top w:w="0" w:type="dxa"/>
            <w:left w:w="0" w:type="dxa"/>
            <w:bottom w:w="0" w:type="dxa"/>
            <w:right w:w="0" w:type="dxa"/>
          </w:tblCellMar>
        </w:tblPrEx>
        <w:trPr>
          <w:trHeight w:val="167" w:hRule="atLeast"/>
        </w:trPr>
        <w:tc>
          <w:tcPr>
            <w:tcW w:w="1115" w:type="dxa"/>
            <w:vMerge w:val="continue"/>
            <w:tcBorders>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line="520" w:lineRule="exact"/>
              <w:jc w:val="center"/>
              <w:rPr>
                <w:rFonts w:ascii="仿宋" w:hAnsi="仿宋" w:eastAsia="仿宋" w:cs="仿宋"/>
                <w:kern w:val="0"/>
                <w:sz w:val="32"/>
                <w:szCs w:val="32"/>
              </w:rPr>
            </w:pPr>
          </w:p>
        </w:tc>
        <w:tc>
          <w:tcPr>
            <w:tcW w:w="1622" w:type="dxa"/>
            <w:tcBorders>
              <w:top w:val="nil"/>
              <w:left w:val="single" w:color="auto" w:sz="4" w:space="0"/>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小计</w:t>
            </w:r>
          </w:p>
        </w:tc>
        <w:tc>
          <w:tcPr>
            <w:tcW w:w="1564"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20</w:t>
            </w:r>
          </w:p>
        </w:tc>
        <w:tc>
          <w:tcPr>
            <w:tcW w:w="154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16</w:t>
            </w:r>
          </w:p>
        </w:tc>
        <w:tc>
          <w:tcPr>
            <w:tcW w:w="1803"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80%</w:t>
            </w:r>
          </w:p>
        </w:tc>
      </w:tr>
      <w:tr>
        <w:tblPrEx>
          <w:tblLayout w:type="fixed"/>
          <w:tblCellMar>
            <w:top w:w="0" w:type="dxa"/>
            <w:left w:w="0" w:type="dxa"/>
            <w:bottom w:w="0" w:type="dxa"/>
            <w:right w:w="0" w:type="dxa"/>
          </w:tblCellMar>
        </w:tblPrEx>
        <w:trPr>
          <w:trHeight w:val="500" w:hRule="atLeast"/>
        </w:trPr>
        <w:tc>
          <w:tcPr>
            <w:tcW w:w="2737" w:type="dxa"/>
            <w:gridSpan w:val="2"/>
            <w:tcBorders>
              <w:top w:val="nil"/>
              <w:left w:val="single" w:color="auto" w:sz="4" w:space="0"/>
              <w:bottom w:val="single" w:color="auto" w:sz="4"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合计</w:t>
            </w:r>
          </w:p>
        </w:tc>
        <w:tc>
          <w:tcPr>
            <w:tcW w:w="1564" w:type="dxa"/>
            <w:tcBorders>
              <w:top w:val="nil"/>
              <w:left w:val="nil"/>
              <w:bottom w:val="single" w:color="auto" w:sz="4"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40</w:t>
            </w:r>
          </w:p>
        </w:tc>
        <w:tc>
          <w:tcPr>
            <w:tcW w:w="1547" w:type="dxa"/>
            <w:tcBorders>
              <w:top w:val="nil"/>
              <w:left w:val="nil"/>
              <w:bottom w:val="single" w:color="auto" w:sz="4"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30</w:t>
            </w:r>
          </w:p>
        </w:tc>
        <w:tc>
          <w:tcPr>
            <w:tcW w:w="1803" w:type="dxa"/>
            <w:tcBorders>
              <w:top w:val="nil"/>
              <w:left w:val="nil"/>
              <w:bottom w:val="single" w:color="auto" w:sz="4"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75%</w:t>
            </w:r>
          </w:p>
        </w:tc>
      </w:tr>
    </w:tbl>
    <w:p>
      <w:pPr>
        <w:overflowPunct w:val="0"/>
        <w:autoSpaceDE w:val="0"/>
        <w:autoSpaceDN w:val="0"/>
        <w:adjustRightInd w:val="0"/>
        <w:snapToGrid w:val="0"/>
        <w:spacing w:line="580" w:lineRule="atLeast"/>
        <w:ind w:firstLine="643" w:firstLineChars="200"/>
        <w:jc w:val="left"/>
        <w:rPr>
          <w:rFonts w:ascii="仿宋" w:hAnsi="仿宋" w:eastAsia="仿宋" w:cs="仿宋"/>
          <w:b/>
          <w:kern w:val="0"/>
          <w:sz w:val="32"/>
          <w:szCs w:val="32"/>
        </w:rPr>
      </w:pPr>
      <w:r>
        <w:rPr>
          <w:rFonts w:hint="eastAsia" w:ascii="仿宋" w:hAnsi="仿宋" w:eastAsia="仿宋" w:cs="仿宋"/>
          <w:b/>
          <w:kern w:val="0"/>
          <w:sz w:val="32"/>
          <w:szCs w:val="32"/>
        </w:rPr>
        <w:t xml:space="preserve">    </w:t>
      </w:r>
    </w:p>
    <w:p>
      <w:pPr>
        <w:overflowPunct w:val="0"/>
        <w:autoSpaceDE w:val="0"/>
        <w:autoSpaceDN w:val="0"/>
        <w:adjustRightInd w:val="0"/>
        <w:snapToGrid w:val="0"/>
        <w:spacing w:line="580" w:lineRule="atLeast"/>
        <w:ind w:firstLine="643" w:firstLineChars="200"/>
        <w:jc w:val="left"/>
        <w:rPr>
          <w:rFonts w:ascii="仿宋" w:hAnsi="仿宋" w:eastAsia="仿宋" w:cs="仿宋"/>
          <w:kern w:val="0"/>
          <w:sz w:val="32"/>
          <w:szCs w:val="32"/>
        </w:rPr>
      </w:pPr>
      <w:r>
        <w:rPr>
          <w:rFonts w:hint="eastAsia" w:ascii="方正仿宋_GBK" w:hAnsi="方正仿宋_GBK" w:eastAsia="方正仿宋_GBK" w:cs="方正仿宋_GBK"/>
          <w:b/>
          <w:kern w:val="0"/>
          <w:sz w:val="32"/>
          <w:szCs w:val="32"/>
        </w:rPr>
        <w:t>2、按价格区间</w:t>
      </w:r>
    </w:p>
    <w:p>
      <w:pPr>
        <w:overflowPunct w:val="0"/>
        <w:autoSpaceDE w:val="0"/>
        <w:autoSpaceDN w:val="0"/>
        <w:adjustRightInd w:val="0"/>
        <w:snapToGrid w:val="0"/>
        <w:spacing w:line="580" w:lineRule="atLeast"/>
        <w:ind w:firstLine="480"/>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表3：不同</w:t>
      </w:r>
      <w:r>
        <w:rPr>
          <w:rFonts w:hint="eastAsia" w:ascii="方正仿宋_GBK" w:hAnsi="方正仿宋_GBK" w:eastAsia="方正仿宋_GBK" w:cs="方正仿宋_GBK"/>
          <w:kern w:val="0"/>
          <w:sz w:val="32"/>
          <w:szCs w:val="32"/>
          <w:lang w:eastAsia="zh-CN"/>
        </w:rPr>
        <w:t>售价产品</w:t>
      </w:r>
      <w:r>
        <w:rPr>
          <w:rFonts w:hint="eastAsia" w:ascii="方正仿宋_GBK" w:hAnsi="方正仿宋_GBK" w:eastAsia="方正仿宋_GBK" w:cs="方正仿宋_GBK"/>
          <w:kern w:val="0"/>
          <w:sz w:val="32"/>
          <w:szCs w:val="32"/>
        </w:rPr>
        <w:t>抽查结果</w:t>
      </w:r>
    </w:p>
    <w:tbl>
      <w:tblPr>
        <w:tblStyle w:val="11"/>
        <w:tblW w:w="8080" w:type="dxa"/>
        <w:tblInd w:w="147" w:type="dxa"/>
        <w:tblLayout w:type="fixed"/>
        <w:tblCellMar>
          <w:top w:w="0" w:type="dxa"/>
          <w:left w:w="0" w:type="dxa"/>
          <w:bottom w:w="0" w:type="dxa"/>
          <w:right w:w="0" w:type="dxa"/>
        </w:tblCellMar>
      </w:tblPr>
      <w:tblGrid>
        <w:gridCol w:w="2835"/>
        <w:gridCol w:w="2268"/>
        <w:gridCol w:w="2977"/>
      </w:tblGrid>
      <w:tr>
        <w:tblPrEx>
          <w:tblLayout w:type="fixed"/>
          <w:tblCellMar>
            <w:top w:w="0" w:type="dxa"/>
            <w:left w:w="0" w:type="dxa"/>
            <w:bottom w:w="0" w:type="dxa"/>
            <w:right w:w="0" w:type="dxa"/>
          </w:tblCellMar>
        </w:tblPrEx>
        <w:trPr>
          <w:trHeight w:val="620" w:hRule="atLeast"/>
        </w:trPr>
        <w:tc>
          <w:tcPr>
            <w:tcW w:w="2835" w:type="dxa"/>
            <w:tcBorders>
              <w:top w:val="single" w:color="auto" w:sz="6" w:space="0"/>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价格区间</w:t>
            </w:r>
          </w:p>
        </w:tc>
        <w:tc>
          <w:tcPr>
            <w:tcW w:w="226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抽查批次</w:t>
            </w:r>
          </w:p>
        </w:tc>
        <w:tc>
          <w:tcPr>
            <w:tcW w:w="2977" w:type="dxa"/>
            <w:tcBorders>
              <w:top w:val="single" w:color="auto" w:sz="6" w:space="0"/>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合格批次</w:t>
            </w:r>
          </w:p>
        </w:tc>
      </w:tr>
      <w:tr>
        <w:tblPrEx>
          <w:tblLayout w:type="fixed"/>
          <w:tblCellMar>
            <w:top w:w="0" w:type="dxa"/>
            <w:left w:w="0" w:type="dxa"/>
            <w:bottom w:w="0" w:type="dxa"/>
            <w:right w:w="0" w:type="dxa"/>
          </w:tblCellMar>
        </w:tblPrEx>
        <w:trPr>
          <w:trHeight w:val="390" w:hRule="atLeast"/>
        </w:trPr>
        <w:tc>
          <w:tcPr>
            <w:tcW w:w="2835" w:type="dxa"/>
            <w:tcBorders>
              <w:top w:val="nil"/>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0～100元</w:t>
            </w:r>
          </w:p>
        </w:tc>
        <w:tc>
          <w:tcPr>
            <w:tcW w:w="2268"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11</w:t>
            </w:r>
          </w:p>
        </w:tc>
        <w:tc>
          <w:tcPr>
            <w:tcW w:w="297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w:t>
            </w:r>
          </w:p>
        </w:tc>
      </w:tr>
      <w:tr>
        <w:tblPrEx>
          <w:tblLayout w:type="fixed"/>
          <w:tblCellMar>
            <w:top w:w="0" w:type="dxa"/>
            <w:left w:w="0" w:type="dxa"/>
            <w:bottom w:w="0" w:type="dxa"/>
            <w:right w:w="0" w:type="dxa"/>
          </w:tblCellMar>
        </w:tblPrEx>
        <w:trPr>
          <w:trHeight w:val="575" w:hRule="atLeast"/>
        </w:trPr>
        <w:tc>
          <w:tcPr>
            <w:tcW w:w="2835" w:type="dxa"/>
            <w:tcBorders>
              <w:top w:val="nil"/>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仿宋" w:hAnsi="仿宋" w:eastAsia="仿宋" w:cs="仿宋"/>
                <w:bCs/>
                <w:kern w:val="0"/>
                <w:sz w:val="32"/>
                <w:szCs w:val="32"/>
              </w:rPr>
            </w:pPr>
            <w:r>
              <w:rPr>
                <w:rFonts w:hint="eastAsia" w:ascii="方正仿宋_GBK" w:hAnsi="方正仿宋_GBK" w:eastAsia="方正仿宋_GBK" w:cs="方正仿宋_GBK"/>
                <w:bCs/>
                <w:kern w:val="0"/>
                <w:sz w:val="28"/>
                <w:szCs w:val="28"/>
              </w:rPr>
              <w:t>101元～200元</w:t>
            </w:r>
          </w:p>
        </w:tc>
        <w:tc>
          <w:tcPr>
            <w:tcW w:w="2268"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20</w:t>
            </w:r>
          </w:p>
        </w:tc>
        <w:tc>
          <w:tcPr>
            <w:tcW w:w="297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18</w:t>
            </w:r>
          </w:p>
        </w:tc>
      </w:tr>
      <w:tr>
        <w:tblPrEx>
          <w:tblLayout w:type="fixed"/>
          <w:tblCellMar>
            <w:top w:w="0" w:type="dxa"/>
            <w:left w:w="0" w:type="dxa"/>
            <w:bottom w:w="0" w:type="dxa"/>
            <w:right w:w="0" w:type="dxa"/>
          </w:tblCellMar>
        </w:tblPrEx>
        <w:trPr>
          <w:trHeight w:val="575" w:hRule="atLeast"/>
        </w:trPr>
        <w:tc>
          <w:tcPr>
            <w:tcW w:w="2835" w:type="dxa"/>
            <w:tcBorders>
              <w:top w:val="nil"/>
              <w:left w:val="single" w:color="auto" w:sz="4" w:space="0"/>
              <w:bottom w:val="single" w:color="auto" w:sz="6"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200元以上</w:t>
            </w:r>
          </w:p>
        </w:tc>
        <w:tc>
          <w:tcPr>
            <w:tcW w:w="2268" w:type="dxa"/>
            <w:tcBorders>
              <w:top w:val="nil"/>
              <w:left w:val="nil"/>
              <w:bottom w:val="single" w:color="auto" w:sz="6"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9</w:t>
            </w:r>
          </w:p>
        </w:tc>
        <w:tc>
          <w:tcPr>
            <w:tcW w:w="2977" w:type="dxa"/>
            <w:tcBorders>
              <w:top w:val="nil"/>
              <w:left w:val="nil"/>
              <w:bottom w:val="single" w:color="auto" w:sz="6"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9</w:t>
            </w:r>
          </w:p>
        </w:tc>
      </w:tr>
      <w:tr>
        <w:tblPrEx>
          <w:tblLayout w:type="fixed"/>
          <w:tblCellMar>
            <w:top w:w="0" w:type="dxa"/>
            <w:left w:w="0" w:type="dxa"/>
            <w:bottom w:w="0" w:type="dxa"/>
            <w:right w:w="0" w:type="dxa"/>
          </w:tblCellMar>
        </w:tblPrEx>
        <w:trPr>
          <w:trHeight w:val="498" w:hRule="atLeast"/>
        </w:trPr>
        <w:tc>
          <w:tcPr>
            <w:tcW w:w="2835" w:type="dxa"/>
            <w:tcBorders>
              <w:top w:val="nil"/>
              <w:left w:val="single" w:color="auto" w:sz="4" w:space="0"/>
              <w:bottom w:val="single" w:color="auto" w:sz="4" w:space="0"/>
              <w:right w:val="single" w:color="auto" w:sz="6" w:space="0"/>
            </w:tcBorders>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合  计</w:t>
            </w:r>
          </w:p>
        </w:tc>
        <w:tc>
          <w:tcPr>
            <w:tcW w:w="2268" w:type="dxa"/>
            <w:tcBorders>
              <w:top w:val="nil"/>
              <w:left w:val="nil"/>
              <w:bottom w:val="single" w:color="auto" w:sz="4" w:space="0"/>
              <w:right w:val="single" w:color="auto" w:sz="6"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40</w:t>
            </w:r>
          </w:p>
        </w:tc>
        <w:tc>
          <w:tcPr>
            <w:tcW w:w="2977" w:type="dxa"/>
            <w:tcBorders>
              <w:top w:val="nil"/>
              <w:left w:val="nil"/>
              <w:bottom w:val="single" w:color="auto" w:sz="4" w:space="0"/>
              <w:right w:val="single" w:color="auto" w:sz="4" w:space="0"/>
            </w:tcBorders>
            <w:tcMar>
              <w:top w:w="0" w:type="dxa"/>
              <w:left w:w="105" w:type="dxa"/>
              <w:bottom w:w="0" w:type="dxa"/>
              <w:right w:w="105" w:type="dxa"/>
            </w:tcMar>
            <w:vAlign w:val="center"/>
          </w:tcPr>
          <w:p>
            <w:pPr>
              <w:overflowPunct w:val="0"/>
              <w:autoSpaceDE w:val="0"/>
              <w:autoSpaceDN w:val="0"/>
              <w:adjustRightInd w:val="0"/>
              <w:snapToGrid w:val="0"/>
              <w:spacing w:line="400" w:lineRule="exact"/>
              <w:jc w:val="center"/>
              <w:rPr>
                <w:rFonts w:ascii="方正仿宋_GBK" w:hAnsi="方正仿宋_GBK" w:eastAsia="方正仿宋_GBK" w:cs="方正仿宋_GBK"/>
                <w:bCs/>
                <w:kern w:val="0"/>
                <w:sz w:val="28"/>
                <w:szCs w:val="28"/>
              </w:rPr>
            </w:pPr>
            <w:r>
              <w:rPr>
                <w:rFonts w:hint="eastAsia" w:ascii="方正仿宋_GBK" w:hAnsi="方正仿宋_GBK" w:eastAsia="方正仿宋_GBK" w:cs="方正仿宋_GBK"/>
                <w:bCs/>
                <w:kern w:val="0"/>
                <w:sz w:val="28"/>
                <w:szCs w:val="28"/>
              </w:rPr>
              <w:t>30</w:t>
            </w:r>
          </w:p>
        </w:tc>
      </w:tr>
    </w:tbl>
    <w:p>
      <w:pPr>
        <w:overflowPunct w:val="0"/>
        <w:autoSpaceDE w:val="0"/>
        <w:autoSpaceDN w:val="0"/>
        <w:adjustRightInd w:val="0"/>
        <w:snapToGrid w:val="0"/>
        <w:spacing w:line="580" w:lineRule="exact"/>
        <w:ind w:firstLine="643" w:firstLineChars="200"/>
        <w:rPr>
          <w:rFonts w:ascii="方正楷体_GBK" w:hAnsi="方正仿宋_GBK" w:eastAsia="方正楷体_GBK"/>
          <w:b/>
          <w:sz w:val="32"/>
          <w:szCs w:val="32"/>
        </w:rPr>
      </w:pPr>
      <w:r>
        <w:rPr>
          <w:rFonts w:hint="eastAsia" w:ascii="方正楷体_GBK" w:hAnsi="方正仿宋_GBK" w:eastAsia="方正楷体_GBK"/>
          <w:b/>
          <w:sz w:val="32"/>
          <w:szCs w:val="32"/>
        </w:rPr>
        <w:t>（四）质量分析。</w:t>
      </w:r>
    </w:p>
    <w:p>
      <w:pPr>
        <w:overflowPunct w:val="0"/>
        <w:autoSpaceDE w:val="0"/>
        <w:autoSpaceDN w:val="0"/>
        <w:adjustRightInd w:val="0"/>
        <w:snapToGrid w:val="0"/>
        <w:spacing w:line="58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本次抽查结果显示，电火锅产品不合格</w:t>
      </w:r>
      <w:r>
        <w:rPr>
          <w:rFonts w:hint="eastAsia" w:ascii="方正仿宋_GBK" w:hAnsi="方正仿宋_GBK" w:eastAsia="方正仿宋_GBK"/>
          <w:sz w:val="32"/>
          <w:szCs w:val="32"/>
          <w:lang w:eastAsia="zh-CN"/>
        </w:rPr>
        <w:t>项目有</w:t>
      </w:r>
      <w:r>
        <w:rPr>
          <w:rFonts w:hint="eastAsia" w:ascii="方正仿宋_GBK" w:hAnsi="方正仿宋_GBK" w:eastAsia="方正仿宋_GBK"/>
          <w:sz w:val="32"/>
          <w:szCs w:val="32"/>
        </w:rPr>
        <w:t>在对触及带电部件的防护、输入功率和电流、发热、电源连接和外部软线、螺钉和连接、接地措施</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外部导线用接线端子7项指标。</w:t>
      </w:r>
    </w:p>
    <w:p>
      <w:pPr>
        <w:overflowPunct w:val="0"/>
        <w:autoSpaceDE w:val="0"/>
        <w:autoSpaceDN w:val="0"/>
        <w:spacing w:line="580" w:lineRule="exact"/>
        <w:ind w:firstLine="560"/>
        <w:rPr>
          <w:rFonts w:hint="eastAsia" w:ascii="方正仿宋_GBK" w:hAnsi="方正仿宋_GBK" w:eastAsia="方正仿宋_GBK"/>
          <w:b w:val="0"/>
          <w:bCs w:val="0"/>
          <w:sz w:val="32"/>
          <w:szCs w:val="32"/>
          <w:lang w:eastAsia="zh-CN"/>
        </w:rPr>
      </w:pPr>
      <w:r>
        <w:rPr>
          <w:rFonts w:hint="eastAsia" w:ascii="方正仿宋_GBK" w:hAnsi="方正仿宋_GBK" w:eastAsia="方正仿宋_GBK"/>
          <w:b/>
          <w:bCs/>
          <w:sz w:val="32"/>
          <w:szCs w:val="32"/>
        </w:rPr>
        <w:t>1</w:t>
      </w:r>
      <w:r>
        <w:rPr>
          <w:rFonts w:hint="eastAsia" w:ascii="方正仿宋_GBK" w:hAnsi="方正仿宋_GBK" w:eastAsia="方正仿宋_GBK"/>
          <w:b/>
          <w:bCs/>
          <w:sz w:val="32"/>
          <w:szCs w:val="32"/>
          <w:lang w:eastAsia="zh-CN"/>
        </w:rPr>
        <w:t>.</w:t>
      </w:r>
      <w:r>
        <w:rPr>
          <w:rFonts w:hint="eastAsia" w:ascii="方正仿宋_GBK" w:hAnsi="方正仿宋_GBK" w:eastAsia="方正仿宋_GBK"/>
          <w:b/>
          <w:bCs/>
          <w:sz w:val="32"/>
          <w:szCs w:val="32"/>
        </w:rPr>
        <w:t>对触及带电部件的防护。</w:t>
      </w:r>
      <w:r>
        <w:rPr>
          <w:rFonts w:hint="eastAsia" w:ascii="方正仿宋_GBK" w:hAnsi="方正仿宋_GBK" w:eastAsia="方正仿宋_GBK"/>
          <w:sz w:val="32"/>
          <w:szCs w:val="32"/>
        </w:rPr>
        <w:t>本次抽查发现1批次对触及带电部件的防护项目不合</w:t>
      </w:r>
      <w:r>
        <w:rPr>
          <w:rFonts w:hint="eastAsia" w:ascii="方正仿宋_GBK" w:hAnsi="方正仿宋_GBK" w:eastAsia="方正仿宋_GBK"/>
          <w:b w:val="0"/>
          <w:bCs w:val="0"/>
          <w:sz w:val="32"/>
          <w:szCs w:val="32"/>
        </w:rPr>
        <w:t>格</w:t>
      </w:r>
      <w:r>
        <w:rPr>
          <w:rFonts w:hint="eastAsia" w:ascii="方正仿宋_GBK" w:hAnsi="方正仿宋_GBK" w:eastAsia="方正仿宋_GBK"/>
          <w:b w:val="0"/>
          <w:bCs w:val="0"/>
          <w:sz w:val="32"/>
          <w:szCs w:val="32"/>
          <w:lang w:eastAsia="zh-CN"/>
        </w:rPr>
        <w:t>，</w:t>
      </w:r>
      <w:r>
        <w:rPr>
          <w:rFonts w:hint="eastAsia" w:ascii="方正仿宋_GBK" w:hAnsi="方正仿宋_GBK" w:eastAsia="方正仿宋_GBK"/>
          <w:b w:val="0"/>
          <w:bCs w:val="0"/>
          <w:sz w:val="32"/>
          <w:szCs w:val="32"/>
        </w:rPr>
        <w:t>底座</w:t>
      </w:r>
      <w:r>
        <w:rPr>
          <w:rFonts w:hint="eastAsia" w:ascii="方正仿宋_GBK" w:hAnsi="方正仿宋_GBK" w:eastAsia="方正仿宋_GBK"/>
          <w:sz w:val="32"/>
          <w:szCs w:val="32"/>
        </w:rPr>
        <w:t>缝隙过大，可以触碰到电火锅内部的带电部件</w:t>
      </w:r>
      <w:r>
        <w:rPr>
          <w:rFonts w:hint="eastAsia" w:ascii="方正仿宋_GBK" w:hAnsi="方正仿宋_GBK" w:eastAsia="方正仿宋_GBK"/>
          <w:sz w:val="32"/>
          <w:szCs w:val="32"/>
          <w:lang w:eastAsia="zh-CN"/>
        </w:rPr>
        <w:t>。</w:t>
      </w:r>
    </w:p>
    <w:p>
      <w:pPr>
        <w:overflowPunct w:val="0"/>
        <w:autoSpaceDE w:val="0"/>
        <w:autoSpaceDN w:val="0"/>
        <w:spacing w:line="580" w:lineRule="exact"/>
        <w:ind w:firstLine="643" w:firstLineChars="200"/>
        <w:rPr>
          <w:rFonts w:hint="eastAsia" w:ascii="方正仿宋_GBK" w:hAnsi="方正仿宋_GBK" w:eastAsia="方正仿宋_GBK"/>
          <w:sz w:val="32"/>
          <w:szCs w:val="32"/>
        </w:rPr>
      </w:pPr>
      <w:r>
        <w:rPr>
          <w:rFonts w:hint="eastAsia" w:ascii="方正仿宋_GBK" w:hAnsi="方正仿宋_GBK" w:eastAsia="方正仿宋_GBK"/>
          <w:b/>
          <w:bCs/>
          <w:sz w:val="32"/>
          <w:szCs w:val="32"/>
        </w:rPr>
        <w:t>2</w:t>
      </w:r>
      <w:r>
        <w:rPr>
          <w:rFonts w:hint="eastAsia" w:ascii="方正仿宋_GBK" w:hAnsi="方正仿宋_GBK" w:eastAsia="方正仿宋_GBK"/>
          <w:b/>
          <w:bCs/>
          <w:sz w:val="32"/>
          <w:szCs w:val="32"/>
          <w:lang w:eastAsia="zh-CN"/>
        </w:rPr>
        <w:t>.</w:t>
      </w:r>
      <w:r>
        <w:rPr>
          <w:rFonts w:hint="eastAsia" w:ascii="方正仿宋_GBK" w:hAnsi="方正仿宋_GBK" w:eastAsia="方正仿宋_GBK"/>
          <w:b/>
          <w:bCs/>
          <w:sz w:val="32"/>
          <w:szCs w:val="32"/>
        </w:rPr>
        <w:t>输入功率和电流。</w:t>
      </w:r>
      <w:r>
        <w:rPr>
          <w:rFonts w:hint="eastAsia" w:ascii="方正仿宋_GBK" w:hAnsi="方正仿宋_GBK" w:eastAsia="方正仿宋_GBK"/>
          <w:sz w:val="32"/>
          <w:szCs w:val="32"/>
        </w:rPr>
        <w:t>本次抽查发现8批次</w:t>
      </w:r>
      <w:r>
        <w:rPr>
          <w:rFonts w:hint="eastAsia" w:ascii="方正仿宋_GBK" w:hAnsi="方正仿宋_GBK" w:eastAsia="方正仿宋_GBK"/>
          <w:sz w:val="32"/>
          <w:szCs w:val="32"/>
          <w:lang w:eastAsia="zh-CN"/>
        </w:rPr>
        <w:t>产品</w:t>
      </w:r>
      <w:r>
        <w:rPr>
          <w:rFonts w:hint="eastAsia" w:ascii="方正仿宋_GBK" w:hAnsi="方正仿宋_GBK" w:eastAsia="方正仿宋_GBK"/>
          <w:sz w:val="32"/>
          <w:szCs w:val="32"/>
        </w:rPr>
        <w:t>输入功率和电流项目不合格</w:t>
      </w:r>
      <w:r>
        <w:rPr>
          <w:rFonts w:hint="eastAsia" w:ascii="方正仿宋_GBK" w:hAnsi="方正仿宋_GBK" w:eastAsia="方正仿宋_GBK"/>
          <w:sz w:val="32"/>
          <w:szCs w:val="32"/>
          <w:lang w:eastAsia="zh-CN"/>
        </w:rPr>
        <w:t>，产品</w:t>
      </w:r>
      <w:r>
        <w:rPr>
          <w:rFonts w:hint="eastAsia" w:ascii="方正仿宋_GBK" w:hAnsi="方正仿宋_GBK" w:eastAsia="方正仿宋_GBK"/>
          <w:sz w:val="32"/>
          <w:szCs w:val="32"/>
        </w:rPr>
        <w:t>功率标高</w:t>
      </w:r>
      <w:r>
        <w:rPr>
          <w:rFonts w:hint="eastAsia" w:ascii="方正仿宋_GBK" w:hAnsi="方正仿宋_GBK" w:eastAsia="方正仿宋_GBK"/>
          <w:sz w:val="32"/>
          <w:szCs w:val="32"/>
          <w:lang w:eastAsia="zh-CN"/>
        </w:rPr>
        <w:t>而</w:t>
      </w:r>
      <w:r>
        <w:rPr>
          <w:rFonts w:hint="eastAsia" w:ascii="方正仿宋_GBK" w:hAnsi="方正仿宋_GBK" w:eastAsia="方正仿宋_GBK"/>
          <w:sz w:val="32"/>
          <w:szCs w:val="32"/>
        </w:rPr>
        <w:t>实际功率偏低，影响电火锅的</w:t>
      </w:r>
      <w:r>
        <w:rPr>
          <w:rFonts w:hint="eastAsia" w:ascii="方正仿宋_GBK" w:hAnsi="方正仿宋_GBK" w:eastAsia="方正仿宋_GBK"/>
          <w:sz w:val="32"/>
          <w:szCs w:val="32"/>
          <w:lang w:eastAsia="zh-CN"/>
        </w:rPr>
        <w:t>使用</w:t>
      </w:r>
      <w:r>
        <w:rPr>
          <w:rFonts w:hint="eastAsia" w:ascii="方正仿宋_GBK" w:hAnsi="方正仿宋_GBK" w:eastAsia="方正仿宋_GBK"/>
          <w:sz w:val="32"/>
          <w:szCs w:val="32"/>
        </w:rPr>
        <w:t>性能，降低电火锅的使用寿命。</w:t>
      </w:r>
    </w:p>
    <w:p>
      <w:pPr>
        <w:overflowPunct w:val="0"/>
        <w:autoSpaceDE w:val="0"/>
        <w:autoSpaceDN w:val="0"/>
        <w:spacing w:line="580" w:lineRule="exact"/>
        <w:ind w:firstLine="560"/>
        <w:rPr>
          <w:rFonts w:ascii="方正仿宋_GBK" w:hAnsi="方正仿宋_GBK" w:eastAsia="方正仿宋_GBK"/>
          <w:color w:val="auto"/>
          <w:sz w:val="32"/>
          <w:szCs w:val="32"/>
        </w:rPr>
      </w:pPr>
      <w:r>
        <w:rPr>
          <w:rFonts w:hint="eastAsia" w:ascii="方正仿宋_GBK" w:hAnsi="方正仿宋_GBK" w:eastAsia="方正仿宋_GBK"/>
          <w:b/>
          <w:bCs/>
          <w:color w:val="auto"/>
          <w:sz w:val="32"/>
          <w:szCs w:val="32"/>
        </w:rPr>
        <w:t>3</w:t>
      </w:r>
      <w:r>
        <w:rPr>
          <w:rFonts w:hint="eastAsia" w:ascii="方正仿宋_GBK" w:hAnsi="方正仿宋_GBK" w:eastAsia="方正仿宋_GBK"/>
          <w:b/>
          <w:bCs/>
          <w:color w:val="auto"/>
          <w:sz w:val="32"/>
          <w:szCs w:val="32"/>
          <w:lang w:eastAsia="zh-CN"/>
        </w:rPr>
        <w:t>.</w:t>
      </w:r>
      <w:r>
        <w:rPr>
          <w:rFonts w:hint="eastAsia" w:ascii="方正仿宋_GBK" w:hAnsi="方正仿宋_GBK" w:eastAsia="方正仿宋_GBK"/>
          <w:b/>
          <w:bCs/>
          <w:color w:val="auto"/>
          <w:sz w:val="32"/>
          <w:szCs w:val="32"/>
        </w:rPr>
        <w:t>发热。</w:t>
      </w:r>
      <w:r>
        <w:rPr>
          <w:rFonts w:hint="eastAsia" w:ascii="方正仿宋_GBK" w:hAnsi="方正仿宋_GBK" w:eastAsia="方正仿宋_GBK"/>
          <w:color w:val="auto"/>
          <w:sz w:val="32"/>
          <w:szCs w:val="32"/>
        </w:rPr>
        <w:t>本次抽查发现2批次</w:t>
      </w:r>
      <w:r>
        <w:rPr>
          <w:rFonts w:hint="eastAsia" w:ascii="方正仿宋_GBK" w:hAnsi="方正仿宋_GBK" w:eastAsia="方正仿宋_GBK"/>
          <w:color w:val="auto"/>
          <w:sz w:val="32"/>
          <w:szCs w:val="32"/>
          <w:lang w:eastAsia="zh-CN"/>
        </w:rPr>
        <w:t>产品的</w:t>
      </w:r>
      <w:r>
        <w:rPr>
          <w:rFonts w:hint="eastAsia" w:ascii="方正仿宋_GBK" w:hAnsi="方正仿宋_GBK" w:eastAsia="方正仿宋_GBK"/>
          <w:color w:val="auto"/>
          <w:sz w:val="32"/>
          <w:szCs w:val="32"/>
        </w:rPr>
        <w:t>发热项目不合格，使用时线路绝缘层软化，</w:t>
      </w:r>
      <w:r>
        <w:rPr>
          <w:rFonts w:hint="eastAsia" w:ascii="方正仿宋_GBK" w:hAnsi="方正仿宋_GBK" w:eastAsia="方正仿宋_GBK"/>
          <w:color w:val="auto"/>
          <w:sz w:val="32"/>
          <w:szCs w:val="32"/>
          <w:lang w:eastAsia="zh-CN"/>
        </w:rPr>
        <w:t>容易</w:t>
      </w:r>
      <w:r>
        <w:rPr>
          <w:rFonts w:hint="eastAsia" w:ascii="方正仿宋_GBK" w:hAnsi="方正仿宋_GBK" w:eastAsia="方正仿宋_GBK"/>
          <w:color w:val="auto"/>
          <w:sz w:val="32"/>
          <w:szCs w:val="32"/>
        </w:rPr>
        <w:t>发生短路。</w:t>
      </w:r>
    </w:p>
    <w:p>
      <w:pPr>
        <w:overflowPunct w:val="0"/>
        <w:autoSpaceDE w:val="0"/>
        <w:autoSpaceDN w:val="0"/>
        <w:spacing w:line="580" w:lineRule="exact"/>
        <w:ind w:firstLine="560"/>
        <w:rPr>
          <w:rFonts w:hint="eastAsia" w:ascii="方正仿宋_GBK" w:hAnsi="方正仿宋_GBK" w:eastAsia="方正仿宋_GBK"/>
          <w:color w:val="auto"/>
          <w:sz w:val="32"/>
          <w:szCs w:val="32"/>
          <w:lang w:val="en-US" w:eastAsia="zh-CN"/>
        </w:rPr>
      </w:pPr>
      <w:r>
        <w:rPr>
          <w:rFonts w:hint="eastAsia" w:ascii="方正仿宋_GBK" w:hAnsi="方正仿宋_GBK" w:eastAsia="方正仿宋_GBK"/>
          <w:b/>
          <w:bCs/>
          <w:color w:val="auto"/>
          <w:sz w:val="32"/>
          <w:szCs w:val="32"/>
        </w:rPr>
        <w:t>4</w:t>
      </w:r>
      <w:r>
        <w:rPr>
          <w:rFonts w:hint="eastAsia" w:ascii="方正仿宋_GBK" w:hAnsi="方正仿宋_GBK" w:eastAsia="方正仿宋_GBK"/>
          <w:b/>
          <w:bCs/>
          <w:color w:val="auto"/>
          <w:sz w:val="32"/>
          <w:szCs w:val="32"/>
          <w:lang w:eastAsia="zh-CN"/>
        </w:rPr>
        <w:t>.</w:t>
      </w:r>
      <w:r>
        <w:rPr>
          <w:rFonts w:hint="eastAsia" w:ascii="方正仿宋_GBK" w:hAnsi="方正仿宋_GBK" w:eastAsia="方正仿宋_GBK"/>
          <w:b/>
          <w:bCs/>
          <w:color w:val="auto"/>
          <w:sz w:val="32"/>
          <w:szCs w:val="32"/>
        </w:rPr>
        <w:t>电源连接和外部软线。</w:t>
      </w:r>
      <w:r>
        <w:rPr>
          <w:rFonts w:hint="eastAsia" w:ascii="方正仿宋_GBK" w:hAnsi="方正仿宋_GBK" w:eastAsia="方正仿宋_GBK"/>
          <w:color w:val="auto"/>
          <w:sz w:val="32"/>
          <w:szCs w:val="32"/>
        </w:rPr>
        <w:t>本次抽查发现3批次</w:t>
      </w:r>
      <w:r>
        <w:rPr>
          <w:rFonts w:hint="eastAsia" w:ascii="方正仿宋_GBK" w:hAnsi="方正仿宋_GBK" w:eastAsia="方正仿宋_GBK"/>
          <w:color w:val="auto"/>
          <w:sz w:val="32"/>
          <w:szCs w:val="32"/>
          <w:lang w:eastAsia="zh-CN"/>
        </w:rPr>
        <w:t>产品的</w:t>
      </w:r>
      <w:r>
        <w:rPr>
          <w:rFonts w:hint="eastAsia" w:ascii="方正仿宋_GBK" w:hAnsi="方正仿宋_GBK" w:eastAsia="方正仿宋_GBK"/>
          <w:color w:val="auto"/>
          <w:sz w:val="32"/>
          <w:szCs w:val="32"/>
        </w:rPr>
        <w:t>电源连接和外部软线项目不合格，电源软线均无黄/绿芯线。黄/绿芯线是接地用线，产品</w:t>
      </w:r>
      <w:r>
        <w:rPr>
          <w:rFonts w:hint="eastAsia" w:ascii="方正仿宋_GBK" w:hAnsi="方正仿宋_GBK" w:eastAsia="方正仿宋_GBK"/>
          <w:color w:val="auto"/>
          <w:sz w:val="32"/>
          <w:szCs w:val="32"/>
          <w:lang w:eastAsia="zh-CN"/>
        </w:rPr>
        <w:t>无</w:t>
      </w:r>
      <w:r>
        <w:rPr>
          <w:rFonts w:hint="eastAsia" w:ascii="方正仿宋_GBK" w:hAnsi="方正仿宋_GBK" w:eastAsia="方正仿宋_GBK"/>
          <w:color w:val="auto"/>
          <w:sz w:val="32"/>
          <w:szCs w:val="32"/>
        </w:rPr>
        <w:t>黄/绿芯线接地，发生漏电时无法提供保护</w:t>
      </w:r>
      <w:r>
        <w:rPr>
          <w:rFonts w:hint="eastAsia" w:ascii="方正仿宋_GBK" w:hAnsi="方正仿宋_GBK" w:eastAsia="方正仿宋_GBK"/>
          <w:color w:val="auto"/>
          <w:sz w:val="32"/>
          <w:szCs w:val="32"/>
          <w:lang w:eastAsia="zh-CN"/>
        </w:rPr>
        <w:t>。</w:t>
      </w:r>
    </w:p>
    <w:p>
      <w:pPr>
        <w:overflowPunct w:val="0"/>
        <w:autoSpaceDE w:val="0"/>
        <w:autoSpaceDN w:val="0"/>
        <w:spacing w:line="580" w:lineRule="exact"/>
        <w:ind w:firstLine="560"/>
        <w:rPr>
          <w:rFonts w:hint="eastAsia" w:ascii="方正仿宋_GBK" w:hAnsi="方正仿宋_GBK" w:eastAsia="方正仿宋_GBK"/>
          <w:color w:val="auto"/>
          <w:sz w:val="32"/>
          <w:szCs w:val="32"/>
          <w:lang w:eastAsia="zh-CN"/>
        </w:rPr>
      </w:pPr>
      <w:r>
        <w:rPr>
          <w:rFonts w:hint="eastAsia" w:ascii="方正仿宋_GBK" w:hAnsi="方正仿宋_GBK" w:eastAsia="方正仿宋_GBK"/>
          <w:b/>
          <w:bCs/>
          <w:color w:val="auto"/>
          <w:sz w:val="32"/>
          <w:szCs w:val="32"/>
        </w:rPr>
        <w:t>5</w:t>
      </w:r>
      <w:r>
        <w:rPr>
          <w:rFonts w:hint="eastAsia" w:ascii="方正仿宋_GBK" w:hAnsi="方正仿宋_GBK" w:eastAsia="方正仿宋_GBK"/>
          <w:b/>
          <w:bCs/>
          <w:color w:val="auto"/>
          <w:sz w:val="32"/>
          <w:szCs w:val="32"/>
          <w:lang w:eastAsia="zh-CN"/>
        </w:rPr>
        <w:t>.</w:t>
      </w:r>
      <w:r>
        <w:rPr>
          <w:rFonts w:hint="eastAsia" w:ascii="方正仿宋_GBK" w:hAnsi="方正仿宋_GBK" w:eastAsia="方正仿宋_GBK"/>
          <w:b/>
          <w:bCs/>
          <w:color w:val="auto"/>
          <w:sz w:val="32"/>
          <w:szCs w:val="32"/>
        </w:rPr>
        <w:t>接地措施。</w:t>
      </w:r>
      <w:r>
        <w:rPr>
          <w:rFonts w:hint="eastAsia" w:ascii="方正仿宋_GBK" w:hAnsi="方正仿宋_GBK" w:eastAsia="方正仿宋_GBK"/>
          <w:color w:val="auto"/>
          <w:sz w:val="32"/>
          <w:szCs w:val="32"/>
        </w:rPr>
        <w:t>本次抽查发现2批次</w:t>
      </w:r>
      <w:r>
        <w:rPr>
          <w:rFonts w:hint="eastAsia" w:ascii="方正仿宋_GBK" w:hAnsi="方正仿宋_GBK" w:eastAsia="方正仿宋_GBK"/>
          <w:color w:val="auto"/>
          <w:sz w:val="32"/>
          <w:szCs w:val="32"/>
          <w:lang w:eastAsia="zh-CN"/>
        </w:rPr>
        <w:t>产品的</w:t>
      </w:r>
      <w:r>
        <w:rPr>
          <w:rFonts w:hint="eastAsia" w:ascii="方正仿宋_GBK" w:hAnsi="方正仿宋_GBK" w:eastAsia="方正仿宋_GBK"/>
          <w:color w:val="auto"/>
          <w:sz w:val="32"/>
          <w:szCs w:val="32"/>
        </w:rPr>
        <w:t>接地措施项目不合格，无接地措施或接地螺钉无防松措施</w:t>
      </w:r>
      <w:r>
        <w:rPr>
          <w:rFonts w:hint="eastAsia" w:ascii="方正仿宋_GBK" w:hAnsi="方正仿宋_GBK" w:eastAsia="方正仿宋_GBK"/>
          <w:color w:val="auto"/>
          <w:sz w:val="32"/>
          <w:szCs w:val="32"/>
          <w:lang w:eastAsia="zh-CN"/>
        </w:rPr>
        <w:t>，</w:t>
      </w:r>
      <w:r>
        <w:rPr>
          <w:rFonts w:hint="eastAsia" w:ascii="方正仿宋_GBK" w:hAnsi="方正仿宋_GBK" w:eastAsia="方正仿宋_GBK"/>
          <w:color w:val="auto"/>
          <w:sz w:val="32"/>
          <w:szCs w:val="32"/>
        </w:rPr>
        <w:t>产品发生漏电时，金属外壳</w:t>
      </w:r>
      <w:r>
        <w:rPr>
          <w:rFonts w:hint="eastAsia" w:ascii="方正仿宋_GBK" w:hAnsi="方正仿宋_GBK" w:eastAsia="方正仿宋_GBK"/>
          <w:color w:val="auto"/>
          <w:sz w:val="32"/>
          <w:szCs w:val="32"/>
          <w:lang w:eastAsia="zh-CN"/>
        </w:rPr>
        <w:t>会</w:t>
      </w:r>
      <w:r>
        <w:rPr>
          <w:rFonts w:hint="eastAsia" w:ascii="方正仿宋_GBK" w:hAnsi="方正仿宋_GBK" w:eastAsia="方正仿宋_GBK"/>
          <w:color w:val="auto"/>
          <w:sz w:val="32"/>
          <w:szCs w:val="32"/>
        </w:rPr>
        <w:t>带电</w:t>
      </w:r>
      <w:r>
        <w:rPr>
          <w:rFonts w:hint="eastAsia" w:ascii="方正仿宋_GBK" w:hAnsi="方正仿宋_GBK" w:eastAsia="方正仿宋_GBK"/>
          <w:color w:val="auto"/>
          <w:sz w:val="32"/>
          <w:szCs w:val="32"/>
          <w:lang w:eastAsia="zh-CN"/>
        </w:rPr>
        <w:t>。</w:t>
      </w:r>
    </w:p>
    <w:p>
      <w:pPr>
        <w:overflowPunct w:val="0"/>
        <w:autoSpaceDE w:val="0"/>
        <w:autoSpaceDN w:val="0"/>
        <w:spacing w:line="580" w:lineRule="exact"/>
        <w:ind w:firstLine="560"/>
        <w:rPr>
          <w:rFonts w:hint="eastAsia" w:ascii="方正仿宋_GBK" w:hAnsi="方正仿宋_GBK" w:eastAsia="方正仿宋_GBK"/>
          <w:color w:val="auto"/>
          <w:sz w:val="32"/>
          <w:szCs w:val="32"/>
          <w:lang w:eastAsia="zh-CN"/>
        </w:rPr>
      </w:pPr>
      <w:r>
        <w:rPr>
          <w:rFonts w:hint="eastAsia" w:ascii="方正仿宋_GBK" w:hAnsi="方正仿宋_GBK" w:eastAsia="方正仿宋_GBK"/>
          <w:b/>
          <w:bCs/>
          <w:color w:val="auto"/>
          <w:sz w:val="32"/>
          <w:szCs w:val="32"/>
        </w:rPr>
        <w:t>6</w:t>
      </w:r>
      <w:r>
        <w:rPr>
          <w:rFonts w:hint="eastAsia" w:ascii="方正仿宋_GBK" w:hAnsi="方正仿宋_GBK" w:eastAsia="方正仿宋_GBK"/>
          <w:b/>
          <w:bCs/>
          <w:color w:val="auto"/>
          <w:sz w:val="32"/>
          <w:szCs w:val="32"/>
          <w:lang w:eastAsia="zh-CN"/>
        </w:rPr>
        <w:t>.</w:t>
      </w:r>
      <w:r>
        <w:rPr>
          <w:rFonts w:hint="eastAsia" w:ascii="方正仿宋_GBK" w:hAnsi="方正仿宋_GBK" w:eastAsia="方正仿宋_GBK"/>
          <w:b/>
          <w:bCs/>
          <w:color w:val="auto"/>
          <w:sz w:val="32"/>
          <w:szCs w:val="32"/>
        </w:rPr>
        <w:t>螺钉和连接。</w:t>
      </w:r>
      <w:r>
        <w:rPr>
          <w:rFonts w:hint="eastAsia" w:ascii="方正仿宋_GBK" w:hAnsi="方正仿宋_GBK" w:eastAsia="方正仿宋_GBK"/>
          <w:color w:val="auto"/>
          <w:sz w:val="32"/>
          <w:szCs w:val="32"/>
        </w:rPr>
        <w:t>本次抽查发现1批次</w:t>
      </w:r>
      <w:r>
        <w:rPr>
          <w:rFonts w:hint="eastAsia" w:ascii="方正仿宋_GBK" w:hAnsi="方正仿宋_GBK" w:eastAsia="方正仿宋_GBK"/>
          <w:color w:val="auto"/>
          <w:sz w:val="32"/>
          <w:szCs w:val="32"/>
          <w:lang w:eastAsia="zh-CN"/>
        </w:rPr>
        <w:t>产品的</w:t>
      </w:r>
      <w:r>
        <w:rPr>
          <w:rFonts w:hint="eastAsia" w:ascii="方正仿宋_GBK" w:hAnsi="方正仿宋_GBK" w:eastAsia="方正仿宋_GBK"/>
          <w:color w:val="auto"/>
          <w:sz w:val="32"/>
          <w:szCs w:val="32"/>
        </w:rPr>
        <w:t>螺钉和连接项目不合格，接地螺钉无防松措施，松脱后</w:t>
      </w:r>
      <w:r>
        <w:rPr>
          <w:rFonts w:hint="eastAsia" w:ascii="方正仿宋_GBK" w:hAnsi="方正仿宋_GBK" w:eastAsia="方正仿宋_GBK"/>
          <w:color w:val="auto"/>
          <w:sz w:val="32"/>
          <w:szCs w:val="32"/>
          <w:lang w:eastAsia="zh-CN"/>
        </w:rPr>
        <w:t>会</w:t>
      </w:r>
      <w:r>
        <w:rPr>
          <w:rFonts w:hint="eastAsia" w:ascii="方正仿宋_GBK" w:hAnsi="方正仿宋_GBK" w:eastAsia="方正仿宋_GBK"/>
          <w:color w:val="auto"/>
          <w:sz w:val="32"/>
          <w:szCs w:val="32"/>
        </w:rPr>
        <w:t>造成接地措施失效</w:t>
      </w:r>
      <w:r>
        <w:rPr>
          <w:rFonts w:hint="eastAsia" w:ascii="方正仿宋_GBK" w:hAnsi="方正仿宋_GBK" w:eastAsia="方正仿宋_GBK"/>
          <w:color w:val="auto"/>
          <w:sz w:val="32"/>
          <w:szCs w:val="32"/>
          <w:lang w:eastAsia="zh-CN"/>
        </w:rPr>
        <w:t>。</w:t>
      </w:r>
    </w:p>
    <w:p>
      <w:pPr>
        <w:overflowPunct w:val="0"/>
        <w:autoSpaceDE w:val="0"/>
        <w:autoSpaceDN w:val="0"/>
        <w:spacing w:line="580" w:lineRule="exact"/>
        <w:ind w:firstLine="560"/>
        <w:rPr>
          <w:rFonts w:ascii="方正仿宋_GBK" w:hAnsi="方正仿宋_GBK" w:eastAsia="方正仿宋_GBK"/>
          <w:color w:val="auto"/>
          <w:sz w:val="32"/>
          <w:szCs w:val="32"/>
        </w:rPr>
      </w:pPr>
      <w:r>
        <w:rPr>
          <w:rFonts w:hint="eastAsia" w:ascii="方正仿宋_GBK" w:hAnsi="方正仿宋_GBK" w:eastAsia="方正仿宋_GBK"/>
          <w:b/>
          <w:bCs/>
          <w:color w:val="auto"/>
          <w:sz w:val="32"/>
          <w:szCs w:val="32"/>
        </w:rPr>
        <w:t>7</w:t>
      </w:r>
      <w:r>
        <w:rPr>
          <w:rFonts w:hint="eastAsia" w:ascii="方正仿宋_GBK" w:hAnsi="方正仿宋_GBK" w:eastAsia="方正仿宋_GBK"/>
          <w:b/>
          <w:bCs/>
          <w:color w:val="auto"/>
          <w:sz w:val="32"/>
          <w:szCs w:val="32"/>
          <w:lang w:eastAsia="zh-CN"/>
        </w:rPr>
        <w:t>.</w:t>
      </w:r>
      <w:r>
        <w:rPr>
          <w:rFonts w:hint="eastAsia" w:ascii="方正仿宋_GBK" w:hAnsi="方正仿宋_GBK" w:eastAsia="方正仿宋_GBK"/>
          <w:b/>
          <w:bCs/>
          <w:color w:val="auto"/>
          <w:sz w:val="32"/>
          <w:szCs w:val="32"/>
        </w:rPr>
        <w:t>外部导线用接线端子。</w:t>
      </w:r>
      <w:r>
        <w:rPr>
          <w:rFonts w:hint="eastAsia" w:ascii="方正仿宋_GBK" w:hAnsi="方正仿宋_GBK" w:eastAsia="方正仿宋_GBK"/>
          <w:color w:val="auto"/>
          <w:sz w:val="32"/>
          <w:szCs w:val="32"/>
        </w:rPr>
        <w:t>本次抽查发现1批次</w:t>
      </w:r>
      <w:r>
        <w:rPr>
          <w:rFonts w:hint="eastAsia" w:ascii="方正仿宋_GBK" w:hAnsi="方正仿宋_GBK" w:eastAsia="方正仿宋_GBK"/>
          <w:color w:val="auto"/>
          <w:sz w:val="32"/>
          <w:szCs w:val="32"/>
          <w:lang w:eastAsia="zh-CN"/>
        </w:rPr>
        <w:t>产品的</w:t>
      </w:r>
      <w:r>
        <w:rPr>
          <w:rFonts w:hint="eastAsia" w:ascii="方正仿宋_GBK" w:hAnsi="方正仿宋_GBK" w:eastAsia="方正仿宋_GBK"/>
          <w:color w:val="auto"/>
          <w:sz w:val="32"/>
          <w:szCs w:val="32"/>
        </w:rPr>
        <w:t>外部导线用接线端子项目不合格，用来固定外部导线的螺钉螺母同时又固定了内部布线</w:t>
      </w:r>
      <w:r>
        <w:rPr>
          <w:rFonts w:hint="eastAsia" w:ascii="方正仿宋_GBK" w:hAnsi="方正仿宋_GBK" w:eastAsia="方正仿宋_GBK"/>
          <w:color w:val="auto"/>
          <w:sz w:val="32"/>
          <w:szCs w:val="32"/>
          <w:lang w:eastAsia="zh-CN"/>
        </w:rPr>
        <w:t>，</w:t>
      </w:r>
      <w:r>
        <w:rPr>
          <w:rFonts w:hint="eastAsia" w:ascii="方正仿宋_GBK" w:hAnsi="方正仿宋_GBK" w:eastAsia="方正仿宋_GBK"/>
          <w:color w:val="auto"/>
          <w:sz w:val="32"/>
          <w:szCs w:val="32"/>
        </w:rPr>
        <w:t>用户</w:t>
      </w:r>
      <w:r>
        <w:rPr>
          <w:rFonts w:hint="eastAsia" w:ascii="方正仿宋_GBK" w:hAnsi="方正仿宋_GBK" w:eastAsia="方正仿宋_GBK"/>
          <w:color w:val="auto"/>
          <w:sz w:val="32"/>
          <w:szCs w:val="32"/>
          <w:lang w:eastAsia="zh-CN"/>
        </w:rPr>
        <w:t>在</w:t>
      </w:r>
      <w:r>
        <w:rPr>
          <w:rFonts w:hint="eastAsia" w:ascii="方正仿宋_GBK" w:hAnsi="方正仿宋_GBK" w:eastAsia="方正仿宋_GBK"/>
          <w:color w:val="auto"/>
          <w:sz w:val="32"/>
          <w:szCs w:val="32"/>
        </w:rPr>
        <w:t>自行维修时</w:t>
      </w:r>
      <w:r>
        <w:rPr>
          <w:rFonts w:hint="eastAsia" w:ascii="方正仿宋_GBK" w:hAnsi="方正仿宋_GBK" w:eastAsia="方正仿宋_GBK"/>
          <w:color w:val="auto"/>
          <w:sz w:val="32"/>
          <w:szCs w:val="32"/>
          <w:lang w:eastAsia="zh-CN"/>
        </w:rPr>
        <w:t>易</w:t>
      </w:r>
      <w:r>
        <w:rPr>
          <w:rFonts w:hint="eastAsia" w:ascii="方正仿宋_GBK" w:hAnsi="方正仿宋_GBK" w:eastAsia="方正仿宋_GBK"/>
          <w:color w:val="auto"/>
          <w:sz w:val="32"/>
          <w:szCs w:val="32"/>
        </w:rPr>
        <w:t>接错电源线。</w:t>
      </w:r>
    </w:p>
    <w:p>
      <w:pPr>
        <w:overflowPunct w:val="0"/>
        <w:autoSpaceDE w:val="0"/>
        <w:autoSpaceDN w:val="0"/>
        <w:adjustRightInd w:val="0"/>
        <w:snapToGrid w:val="0"/>
        <w:spacing w:line="580" w:lineRule="exact"/>
        <w:ind w:firstLine="643" w:firstLineChars="200"/>
        <w:rPr>
          <w:rFonts w:ascii="方正黑体_GBK" w:hAnsi="方正仿宋_GBK" w:eastAsia="方正黑体_GBK" w:cs="方正仿宋_GBK"/>
          <w:b/>
          <w:kern w:val="0"/>
          <w:sz w:val="32"/>
          <w:szCs w:val="32"/>
        </w:rPr>
      </w:pPr>
      <w:r>
        <w:rPr>
          <w:rFonts w:hint="eastAsia" w:ascii="方正黑体_GBK" w:hAnsi="方正仿宋_GBK" w:eastAsia="方正黑体_GBK" w:cs="方正仿宋_GBK"/>
          <w:b/>
          <w:kern w:val="0"/>
          <w:sz w:val="32"/>
          <w:szCs w:val="32"/>
        </w:rPr>
        <w:t>三、消费建议</w:t>
      </w:r>
    </w:p>
    <w:p>
      <w:pPr>
        <w:overflowPunct w:val="0"/>
        <w:autoSpaceDE w:val="0"/>
        <w:autoSpaceDN w:val="0"/>
        <w:spacing w:line="580" w:lineRule="exact"/>
        <w:ind w:firstLine="560"/>
        <w:rPr>
          <w:rFonts w:ascii="方正仿宋_GBK" w:hAnsi="方正仿宋_GBK" w:eastAsia="方正仿宋_GBK"/>
          <w:b/>
          <w:sz w:val="32"/>
          <w:szCs w:val="32"/>
        </w:rPr>
      </w:pPr>
      <w:r>
        <w:rPr>
          <w:rFonts w:hint="eastAsia" w:ascii="方正仿宋_GBK" w:hAnsi="方正仿宋_GBK" w:eastAsia="方正仿宋_GBK"/>
          <w:b/>
          <w:sz w:val="32"/>
          <w:szCs w:val="32"/>
        </w:rPr>
        <w:t>（一）选购</w:t>
      </w:r>
    </w:p>
    <w:p>
      <w:pPr>
        <w:overflowPunct w:val="0"/>
        <w:autoSpaceDE w:val="0"/>
        <w:autoSpaceDN w:val="0"/>
        <w:spacing w:line="580" w:lineRule="exact"/>
        <w:ind w:firstLine="560"/>
        <w:rPr>
          <w:rFonts w:ascii="方正仿宋_GBK" w:hAnsi="方正仿宋_GBK" w:eastAsia="方正仿宋_GBK"/>
          <w:sz w:val="32"/>
          <w:szCs w:val="32"/>
        </w:rPr>
      </w:pPr>
      <w:r>
        <w:rPr>
          <w:rFonts w:hint="eastAsia" w:ascii="方正仿宋_GBK" w:hAnsi="方正仿宋_GBK" w:eastAsia="方正仿宋_GBK"/>
          <w:sz w:val="32"/>
          <w:szCs w:val="32"/>
        </w:rPr>
        <w:t>购买时要选择正规厂家的产品，</w:t>
      </w:r>
      <w:r>
        <w:rPr>
          <w:rFonts w:hint="eastAsia" w:ascii="方正仿宋_GBK" w:hAnsi="方正仿宋_GBK" w:eastAsia="方正仿宋_GBK"/>
          <w:sz w:val="32"/>
          <w:szCs w:val="32"/>
          <w:lang w:eastAsia="zh-CN"/>
        </w:rPr>
        <w:t>查看</w:t>
      </w:r>
      <w:r>
        <w:rPr>
          <w:rFonts w:hint="eastAsia" w:ascii="方正仿宋_GBK" w:hAnsi="方正仿宋_GBK" w:eastAsia="方正仿宋_GBK"/>
          <w:sz w:val="32"/>
          <w:szCs w:val="32"/>
        </w:rPr>
        <w:t>产品包装上CCC标识、企业名称、地址、规格、型号、商标、电压参数、功率参数、电源性质的符号等</w:t>
      </w:r>
      <w:r>
        <w:rPr>
          <w:rFonts w:hint="eastAsia" w:ascii="方正仿宋_GBK" w:hAnsi="方正仿宋_GBK" w:eastAsia="方正仿宋_GBK"/>
          <w:sz w:val="32"/>
          <w:szCs w:val="32"/>
          <w:lang w:eastAsia="zh-CN"/>
        </w:rPr>
        <w:t>信息是否齐全</w:t>
      </w:r>
      <w:r>
        <w:rPr>
          <w:rFonts w:hint="eastAsia" w:ascii="方正仿宋_GBK" w:hAnsi="方正仿宋_GBK" w:eastAsia="方正仿宋_GBK"/>
          <w:sz w:val="32"/>
          <w:szCs w:val="32"/>
        </w:rPr>
        <w:t>。</w:t>
      </w:r>
      <w:bookmarkStart w:id="0" w:name="_GoBack"/>
      <w:bookmarkEnd w:id="0"/>
    </w:p>
    <w:p>
      <w:pPr>
        <w:overflowPunct w:val="0"/>
        <w:autoSpaceDE w:val="0"/>
        <w:autoSpaceDN w:val="0"/>
        <w:spacing w:line="580" w:lineRule="exact"/>
        <w:ind w:firstLine="560"/>
        <w:rPr>
          <w:rFonts w:ascii="方正仿宋_GBK" w:hAnsi="方正仿宋_GBK" w:eastAsia="方正仿宋_GBK"/>
          <w:b/>
          <w:sz w:val="32"/>
          <w:szCs w:val="32"/>
        </w:rPr>
      </w:pPr>
      <w:r>
        <w:rPr>
          <w:rFonts w:hint="eastAsia" w:ascii="方正仿宋_GBK" w:hAnsi="方正仿宋_GBK" w:eastAsia="方正仿宋_GBK"/>
          <w:b/>
          <w:sz w:val="32"/>
          <w:szCs w:val="32"/>
        </w:rPr>
        <w:t>（二）使用</w:t>
      </w:r>
    </w:p>
    <w:p>
      <w:pPr>
        <w:overflowPunct w:val="0"/>
        <w:autoSpaceDE w:val="0"/>
        <w:autoSpaceDN w:val="0"/>
        <w:spacing w:line="580" w:lineRule="exact"/>
        <w:ind w:firstLine="560"/>
        <w:rPr>
          <w:rFonts w:ascii="方正仿宋_GBK" w:hAnsi="方正仿宋_GBK" w:eastAsia="方正仿宋_GBK"/>
          <w:sz w:val="32"/>
          <w:szCs w:val="32"/>
        </w:rPr>
      </w:pPr>
      <w:r>
        <w:rPr>
          <w:rFonts w:hint="eastAsia" w:ascii="方正仿宋_GBK" w:hAnsi="方正仿宋_GBK" w:eastAsia="方正仿宋_GBK"/>
          <w:sz w:val="32"/>
          <w:szCs w:val="32"/>
        </w:rPr>
        <w:t>消费者在使用时应注意以下几点：</w:t>
      </w:r>
    </w:p>
    <w:p>
      <w:pPr>
        <w:overflowPunct w:val="0"/>
        <w:autoSpaceDE w:val="0"/>
        <w:autoSpaceDN w:val="0"/>
        <w:spacing w:line="580" w:lineRule="exact"/>
        <w:ind w:firstLine="560"/>
        <w:rPr>
          <w:rFonts w:ascii="方正仿宋_GBK" w:hAnsi="方正仿宋_GBK" w:eastAsia="方正仿宋_GBK"/>
          <w:sz w:val="32"/>
          <w:szCs w:val="32"/>
        </w:rPr>
      </w:pPr>
      <w:r>
        <w:rPr>
          <w:rFonts w:hint="eastAsia" w:ascii="方正仿宋_GBK" w:hAnsi="方正仿宋_GBK" w:eastAsia="方正仿宋_GBK"/>
          <w:sz w:val="32"/>
          <w:szCs w:val="32"/>
        </w:rPr>
        <w:t>1、电火锅应使用有接地保护的电源。电火锅的功率一般较大，使用的插座和电源线要与所耗的功率相配</w:t>
      </w:r>
      <w:r>
        <w:rPr>
          <w:rFonts w:hint="eastAsia" w:ascii="方正仿宋_GBK" w:hAnsi="方正仿宋_GBK" w:eastAsia="方正仿宋_GBK"/>
          <w:sz w:val="32"/>
          <w:szCs w:val="32"/>
          <w:lang w:eastAsia="zh-CN"/>
        </w:rPr>
        <w:t>。如果发现</w:t>
      </w:r>
      <w:r>
        <w:rPr>
          <w:rFonts w:hint="eastAsia" w:ascii="方正仿宋_GBK" w:hAnsi="方正仿宋_GBK" w:eastAsia="方正仿宋_GBK"/>
          <w:sz w:val="32"/>
          <w:szCs w:val="32"/>
        </w:rPr>
        <w:t>电源软线损坏，建议由</w:t>
      </w:r>
      <w:r>
        <w:rPr>
          <w:rFonts w:hint="eastAsia" w:ascii="方正仿宋_GBK" w:hAnsi="方正仿宋_GBK" w:eastAsia="方正仿宋_GBK"/>
          <w:sz w:val="32"/>
          <w:szCs w:val="32"/>
          <w:lang w:eastAsia="zh-CN"/>
        </w:rPr>
        <w:t>专业</w:t>
      </w:r>
      <w:r>
        <w:rPr>
          <w:rFonts w:hint="eastAsia" w:ascii="方正仿宋_GBK" w:hAnsi="方正仿宋_GBK" w:eastAsia="方正仿宋_GBK"/>
          <w:sz w:val="32"/>
          <w:szCs w:val="32"/>
        </w:rPr>
        <w:t>人员来维修。</w:t>
      </w:r>
    </w:p>
    <w:p>
      <w:pPr>
        <w:overflowPunct w:val="0"/>
        <w:autoSpaceDE w:val="0"/>
        <w:autoSpaceDN w:val="0"/>
        <w:spacing w:line="580" w:lineRule="exact"/>
        <w:ind w:firstLine="560"/>
        <w:rPr>
          <w:rFonts w:ascii="方正仿宋_GBK" w:hAnsi="方正仿宋_GBK" w:eastAsia="方正仿宋_GBK"/>
          <w:sz w:val="32"/>
          <w:szCs w:val="32"/>
        </w:rPr>
      </w:pPr>
      <w:r>
        <w:rPr>
          <w:rFonts w:hint="eastAsia" w:ascii="方正仿宋_GBK" w:hAnsi="方正仿宋_GBK" w:eastAsia="方正仿宋_GBK"/>
          <w:sz w:val="32"/>
          <w:szCs w:val="32"/>
        </w:rPr>
        <w:t>2、电火锅的电热元件具有热惯性，不可干烧电热元件和锅体。</w:t>
      </w:r>
    </w:p>
    <w:p>
      <w:pPr>
        <w:overflowPunct w:val="0"/>
        <w:autoSpaceDE w:val="0"/>
        <w:autoSpaceDN w:val="0"/>
        <w:adjustRightInd w:val="0"/>
        <w:snapToGrid w:val="0"/>
        <w:spacing w:line="580" w:lineRule="exact"/>
        <w:ind w:firstLine="560"/>
        <w:rPr>
          <w:rFonts w:hint="eastAsia" w:ascii="方正仿宋_GBK" w:hAnsi="方正仿宋_GBK" w:eastAsia="方正仿宋_GBK" w:cs="方正仿宋_GBK"/>
          <w:sz w:val="32"/>
          <w:szCs w:val="32"/>
          <w:lang w:eastAsia="zh-CN"/>
        </w:rPr>
      </w:pPr>
      <w:r>
        <w:rPr>
          <w:rFonts w:hint="eastAsia" w:ascii="方正仿宋_GBK" w:hAnsi="方正仿宋_GBK" w:eastAsia="方正仿宋_GBK"/>
          <w:sz w:val="32"/>
          <w:szCs w:val="32"/>
          <w:lang w:val="en-US" w:eastAsia="zh-CN"/>
        </w:rPr>
        <w:t>3</w:t>
      </w:r>
      <w:r>
        <w:rPr>
          <w:rFonts w:hint="eastAsia" w:ascii="方正仿宋_GBK" w:hAnsi="方正仿宋_GBK" w:eastAsia="方正仿宋_GBK"/>
          <w:sz w:val="32"/>
          <w:szCs w:val="32"/>
        </w:rPr>
        <w:t>、每次使用完毕，清洗时勿让</w:t>
      </w:r>
      <w:r>
        <w:rPr>
          <w:rFonts w:hint="eastAsia" w:ascii="方正仿宋_GBK" w:hAnsi="方正仿宋_GBK" w:eastAsia="方正仿宋_GBK"/>
          <w:sz w:val="32"/>
          <w:szCs w:val="32"/>
          <w:lang w:eastAsia="zh-CN"/>
        </w:rPr>
        <w:t>水等</w:t>
      </w:r>
      <w:r>
        <w:rPr>
          <w:rFonts w:hint="eastAsia" w:ascii="方正仿宋_GBK" w:hAnsi="方正仿宋_GBK" w:eastAsia="方正仿宋_GBK"/>
          <w:sz w:val="32"/>
          <w:szCs w:val="32"/>
        </w:rPr>
        <w:t>液体流入电火锅内部</w:t>
      </w:r>
      <w:r>
        <w:rPr>
          <w:rFonts w:hint="eastAsia" w:ascii="方正仿宋_GBK" w:hAnsi="方正仿宋_GBK" w:eastAsia="方正仿宋_GBK"/>
          <w:sz w:val="32"/>
          <w:szCs w:val="32"/>
          <w:lang w:eastAsia="zh-CN"/>
        </w:rPr>
        <w:t>。</w:t>
      </w:r>
    </w:p>
    <w:p>
      <w:pPr>
        <w:overflowPunct w:val="0"/>
        <w:autoSpaceDE w:val="0"/>
        <w:autoSpaceDN w:val="0"/>
        <w:adjustRightInd w:val="0"/>
        <w:snapToGrid w:val="0"/>
        <w:spacing w:line="580" w:lineRule="exact"/>
        <w:ind w:firstLine="560"/>
        <w:rPr>
          <w:rFonts w:hint="eastAsia" w:ascii="方正仿宋_GBK" w:hAnsi="方正仿宋_GBK" w:eastAsia="方正仿宋_GBK" w:cs="方正仿宋_GBK"/>
          <w:sz w:val="32"/>
          <w:szCs w:val="32"/>
        </w:rPr>
      </w:pPr>
    </w:p>
    <w:p>
      <w:pPr>
        <w:overflowPunct w:val="0"/>
        <w:autoSpaceDE w:val="0"/>
        <w:autoSpaceDN w:val="0"/>
        <w:adjustRightInd w:val="0"/>
        <w:snapToGrid w:val="0"/>
        <w:spacing w:line="580" w:lineRule="exact"/>
        <w:ind w:firstLine="560"/>
        <w:rPr>
          <w:rFonts w:hint="eastAsia" w:ascii="方正仿宋_GBK" w:hAnsi="方正仿宋_GBK" w:eastAsia="方正仿宋_GBK" w:cs="方正仿宋_GBK"/>
          <w:sz w:val="32"/>
          <w:szCs w:val="32"/>
        </w:rPr>
      </w:pPr>
    </w:p>
    <w:p>
      <w:pPr>
        <w:overflowPunct w:val="0"/>
        <w:autoSpaceDE w:val="0"/>
        <w:autoSpaceDN w:val="0"/>
        <w:adjustRightInd w:val="0"/>
        <w:snapToGrid w:val="0"/>
        <w:spacing w:line="58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附件：电火锅产品质量监督抽查企业名单及结果</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CA"/>
    <w:rsid w:val="000D5C3F"/>
    <w:rsid w:val="001E488D"/>
    <w:rsid w:val="0021241F"/>
    <w:rsid w:val="002417E6"/>
    <w:rsid w:val="002514C1"/>
    <w:rsid w:val="003C766E"/>
    <w:rsid w:val="00432D6C"/>
    <w:rsid w:val="00432E6A"/>
    <w:rsid w:val="00565C43"/>
    <w:rsid w:val="0059751B"/>
    <w:rsid w:val="005E188D"/>
    <w:rsid w:val="00624B53"/>
    <w:rsid w:val="00697F21"/>
    <w:rsid w:val="00733ECA"/>
    <w:rsid w:val="007B29AF"/>
    <w:rsid w:val="00812C25"/>
    <w:rsid w:val="00842761"/>
    <w:rsid w:val="00922BB4"/>
    <w:rsid w:val="00926C8D"/>
    <w:rsid w:val="00960822"/>
    <w:rsid w:val="009959D4"/>
    <w:rsid w:val="00A46816"/>
    <w:rsid w:val="00A6380F"/>
    <w:rsid w:val="00A80B16"/>
    <w:rsid w:val="00AF311D"/>
    <w:rsid w:val="00B00760"/>
    <w:rsid w:val="00B03B0C"/>
    <w:rsid w:val="00B92236"/>
    <w:rsid w:val="00BE709A"/>
    <w:rsid w:val="00BF10C9"/>
    <w:rsid w:val="00C96E1E"/>
    <w:rsid w:val="00DF7168"/>
    <w:rsid w:val="00E04F6D"/>
    <w:rsid w:val="00EE4115"/>
    <w:rsid w:val="00F56F41"/>
    <w:rsid w:val="0352320C"/>
    <w:rsid w:val="08486D54"/>
    <w:rsid w:val="0AE23AF5"/>
    <w:rsid w:val="10F07D65"/>
    <w:rsid w:val="1393725E"/>
    <w:rsid w:val="153B64B4"/>
    <w:rsid w:val="15E136AA"/>
    <w:rsid w:val="1AD71B2C"/>
    <w:rsid w:val="1D67463A"/>
    <w:rsid w:val="284B7C7A"/>
    <w:rsid w:val="2B1063FD"/>
    <w:rsid w:val="43CE63D4"/>
    <w:rsid w:val="4CE73B1D"/>
    <w:rsid w:val="619D4397"/>
    <w:rsid w:val="6C0C5318"/>
    <w:rsid w:val="71C67B66"/>
    <w:rsid w:val="76F358F6"/>
    <w:rsid w:val="77FA17E5"/>
    <w:rsid w:val="7C34667B"/>
    <w:rsid w:val="7C9C53C2"/>
    <w:rsid w:val="7CA11C95"/>
    <w:rsid w:val="7EAB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cs="宋体"/>
      <w:b/>
      <w:kern w:val="0"/>
      <w:sz w:val="36"/>
      <w:szCs w:val="36"/>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semiHidden/>
    <w:unhideWhenUsed/>
    <w:qFormat/>
    <w:uiPriority w:val="99"/>
    <w:pPr>
      <w:widowControl w:val="0"/>
      <w:ind w:firstLine="555"/>
      <w:jc w:val="both"/>
    </w:pPr>
    <w:rPr>
      <w:rFonts w:ascii="仿宋_GB2312" w:hAnsi="Times New Roman" w:eastAsia="仿宋_GB2312" w:cs="Times New Roman"/>
      <w:kern w:val="2"/>
      <w:sz w:val="24"/>
      <w:szCs w:val="24"/>
      <w:lang w:val="en-US" w:eastAsia="zh-CN" w:bidi="ar-SA"/>
    </w:rPr>
  </w:style>
  <w:style w:type="paragraph" w:styleId="4">
    <w:name w:val="Plain Text"/>
    <w:basedOn w:val="1"/>
    <w:semiHidden/>
    <w:unhideWhenUsed/>
    <w:qFormat/>
    <w:uiPriority w:val="99"/>
    <w:rPr>
      <w:rFonts w:ascii="宋体" w:hAnsi="Courier New" w:cs="Courier New"/>
      <w:szCs w:val="21"/>
    </w:rPr>
  </w:style>
  <w:style w:type="paragraph" w:styleId="5">
    <w:name w:val="footer"/>
    <w:basedOn w:val="1"/>
    <w:link w:val="16"/>
    <w:unhideWhenUsed/>
    <w:qFormat/>
    <w:uiPriority w:val="99"/>
    <w:pPr>
      <w:tabs>
        <w:tab w:val="center" w:pos="4153"/>
        <w:tab w:val="right" w:pos="8306"/>
      </w:tabs>
      <w:snapToGrid w:val="0"/>
      <w:jc w:val="left"/>
    </w:pPr>
    <w:rPr>
      <w:kern w:val="0"/>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9">
    <w:name w:val="page number"/>
    <w:basedOn w:val="8"/>
    <w:semiHidden/>
    <w:unhideWhenUsed/>
    <w:qFormat/>
    <w:uiPriority w:val="99"/>
  </w:style>
  <w:style w:type="character" w:styleId="10">
    <w:name w:val="Emphasis"/>
    <w:qFormat/>
    <w:uiPriority w:val="20"/>
    <w:rPr>
      <w:i/>
    </w:rPr>
  </w:style>
  <w:style w:type="paragraph" w:customStyle="1" w:styleId="12">
    <w:name w:val="paragraphindent"/>
    <w:basedOn w:val="1"/>
    <w:qFormat/>
    <w:uiPriority w:val="0"/>
    <w:pPr>
      <w:widowControl/>
      <w:spacing w:after="100" w:afterAutospacing="1"/>
      <w:ind w:firstLine="480"/>
      <w:jc w:val="left"/>
    </w:pPr>
    <w:rPr>
      <w:rFonts w:ascii="宋体" w:hAnsi="宋体" w:cs="宋体"/>
      <w:kern w:val="0"/>
      <w:sz w:val="24"/>
    </w:rPr>
  </w:style>
  <w:style w:type="paragraph" w:customStyle="1" w:styleId="13">
    <w:name w:val="表格内容"/>
    <w:basedOn w:val="1"/>
    <w:link w:val="17"/>
    <w:qFormat/>
    <w:uiPriority w:val="0"/>
    <w:pPr>
      <w:jc w:val="center"/>
    </w:pPr>
    <w:rPr>
      <w:rFonts w:ascii="仿宋" w:hAnsi="仿宋"/>
      <w:sz w:val="24"/>
      <w:szCs w:val="18"/>
    </w:rPr>
  </w:style>
  <w:style w:type="paragraph" w:customStyle="1" w:styleId="14">
    <w:name w:val="图表标题"/>
    <w:basedOn w:val="1"/>
    <w:link w:val="18"/>
    <w:qFormat/>
    <w:uiPriority w:val="0"/>
    <w:pPr>
      <w:jc w:val="center"/>
    </w:pPr>
    <w:rPr>
      <w:sz w:val="28"/>
    </w:rPr>
  </w:style>
  <w:style w:type="character" w:customStyle="1" w:styleId="15">
    <w:name w:val="页眉 字符"/>
    <w:link w:val="6"/>
    <w:qFormat/>
    <w:uiPriority w:val="99"/>
    <w:rPr>
      <w:rFonts w:ascii="Times New Roman" w:hAnsi="Times New Roman" w:eastAsia="宋体" w:cs="Times New Roman"/>
      <w:sz w:val="18"/>
      <w:szCs w:val="18"/>
    </w:rPr>
  </w:style>
  <w:style w:type="character" w:customStyle="1" w:styleId="16">
    <w:name w:val="页脚 字符"/>
    <w:link w:val="5"/>
    <w:qFormat/>
    <w:uiPriority w:val="99"/>
    <w:rPr>
      <w:rFonts w:ascii="Times New Roman" w:hAnsi="Times New Roman" w:eastAsia="宋体" w:cs="Times New Roman"/>
      <w:sz w:val="18"/>
      <w:szCs w:val="18"/>
    </w:rPr>
  </w:style>
  <w:style w:type="character" w:customStyle="1" w:styleId="17">
    <w:name w:val="表格内容 Char"/>
    <w:link w:val="13"/>
    <w:qFormat/>
    <w:uiPriority w:val="0"/>
    <w:rPr>
      <w:rFonts w:ascii="仿宋" w:hAnsi="仿宋"/>
      <w:kern w:val="2"/>
      <w:sz w:val="24"/>
      <w:szCs w:val="18"/>
    </w:rPr>
  </w:style>
  <w:style w:type="character" w:customStyle="1" w:styleId="18">
    <w:name w:val="图表标题 Char"/>
    <w:link w:val="14"/>
    <w:qFormat/>
    <w:uiPriority w:val="0"/>
    <w:rPr>
      <w:kern w:val="2"/>
      <w:sz w:val="28"/>
      <w:szCs w:val="24"/>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Words>
  <Characters>1644</Characters>
  <Lines>13</Lines>
  <Paragraphs>3</Paragraphs>
  <TotalTime>85</TotalTime>
  <ScaleCrop>false</ScaleCrop>
  <LinksUpToDate>false</LinksUpToDate>
  <CharactersWithSpaces>1929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2019-05-24T08:52:00Z</dcterms:created>
  <dc:creator>Administrator</dc:creator>
  <cp:lastModifiedBy>韩锋</cp:lastModifiedBy>
  <cp:lastPrinted>2019-06-04T00:40:40Z</cp:lastPrinted>
  <dcterms:modified xsi:type="dcterms:W3CDTF">2019-06-04T01:39:55Z</dcterms:modified>
  <dc:title>2018年电炖锅、电火锅产品质量监督抽查分析报告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