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>方便食品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抽检依据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食品中污染物限量》（GB2762-2012）、《食品安全国家标准 食品添加剂使用标准》（GB 2760-2014）等标准的要求。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>调味面制品检验项目包括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苯甲酸及其钠盐（以苯甲酸计）、山梨酸及其钾盐（以山梨酸计）、脱氢乙酸及其钠盐（以脱氢乙酸计）、糖精钠（以糖精计）、菌落总数、大肠菌群、沙门氏菌、金黄色葡萄球菌、富马酸二甲酯、苏丹红Ⅰ-Ⅳ、酸价、过氧化值、铅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B11036"/>
    <w:rsid w:val="3ACB474F"/>
    <w:rsid w:val="57A62557"/>
    <w:rsid w:val="62527E3C"/>
    <w:rsid w:val="62986FD8"/>
    <w:rsid w:val="78503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6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2019-04-11T01:37:39Z</cp:lastPrinted>
  <dcterms:modified xsi:type="dcterms:W3CDTF">2019-04-11T01:40:34Z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