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bookmarkStart w:id="0" w:name="_GoBack"/>
      <w:bookmarkEnd w:id="0"/>
      <w:r>
        <w:rPr>
          <w:rFonts w:hint="eastAsia" w:ascii="黑体" w:hAnsi="黑体" w:eastAsia="黑体" w:cs="仿宋"/>
        </w:rPr>
        <w:t>附件1</w:t>
      </w:r>
    </w:p>
    <w:p>
      <w:pPr>
        <w:shd w:val="clear" w:color="auto" w:fill="FFFFFF"/>
        <w:spacing w:line="59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本次</w:t>
      </w:r>
      <w:r>
        <w:rPr>
          <w:rFonts w:hint="eastAsia" w:ascii="方正小标宋简体" w:hAnsi="仿宋" w:eastAsia="方正小标宋简体" w:cs="仿宋"/>
          <w:sz w:val="44"/>
          <w:szCs w:val="44"/>
          <w:lang w:eastAsia="zh-CN"/>
        </w:rPr>
        <w:t>抽检依据和</w:t>
      </w:r>
      <w:r>
        <w:rPr>
          <w:rFonts w:hint="eastAsia" w:ascii="方正小标宋简体" w:hAnsi="仿宋" w:eastAsia="方正小标宋简体" w:cs="仿宋"/>
          <w:sz w:val="44"/>
          <w:szCs w:val="44"/>
        </w:rPr>
        <w:t>检验项目</w:t>
      </w:r>
    </w:p>
    <w:p>
      <w:pPr>
        <w:shd w:val="clear" w:color="auto" w:fill="FFFFFF"/>
        <w:spacing w:line="590" w:lineRule="exact"/>
        <w:rPr>
          <w:rFonts w:hint="eastAsia" w:ascii="仿宋" w:hAnsi="仿宋"/>
        </w:rPr>
      </w:pP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lang w:eastAsia="zh-CN"/>
        </w:rPr>
        <w:t>一、粮食加工品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食品中真菌毒素限量》（GB 2761-2017）、《食品安全国家标准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食品中污染物限量》（GB 2762-2017）、卫生部公告[2011]第4号卫生部等7部门《关于撤销食品添加剂过氧化苯甲酰、过氧化钙的公告》等标准及产品明示标准和指标的要求。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1.玉米粉、玉米片、玉米渣抽检项目包括铅（以Pb计）、黄曲霉毒素B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、脱氧雪腐镰刀菌烯醇、赭曲霉毒素A、玉米赤霉烯酮。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2.小麦粉抽检项目包括铅（以Pb计）、镉（以Cd计）、玉米赤霉烯酮、脱氧雪腐镰刀菌烯醇、黄曲霉毒素B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、苯并[a]芘、过氧化苯甲酰。</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lang w:eastAsia="zh-CN"/>
        </w:rPr>
        <w:t>二、调味品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食品中真菌毒素限量》（GB 2761-2017）、《食品安全国家标准 食品中污染物限量》（GB 2762-2017）、《食品安全国家标准 食品中致病菌限量》（GB 29921-2013）等标准及产品明示标准和指标的要求。</w:t>
      </w:r>
    </w:p>
    <w:p>
      <w:pPr>
        <w:shd w:val="clear" w:color="auto" w:fill="auto"/>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shd w:val="clear" w:color="auto" w:fill="auto"/>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1.酱油抽检项目包括氨基酸态氮、铵盐（以占氨基酸态氮的百分比计）、铅（以Pb计）、总砷（以As计）、黄曲霉毒素B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苯甲酸及其钠盐（以苯甲酸计）、山梨酸及其钾盐（以山梨酸计）、脱氢乙酸及其钠盐（以脱氢乙酸计）、防腐剂混合使用时各自用量占其最大使用量的比例之和、糖精钠（以糖精计）、菌落总数、大肠菌群、金黄色葡萄球菌、沙门氏菌。</w:t>
      </w:r>
    </w:p>
    <w:p>
      <w:pPr>
        <w:pStyle w:val="6"/>
        <w:shd w:val="clear" w:color="auto" w:fill="auto"/>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2.酱类抽检项目包括氨基酸态氮、铅（以Pb计）、总砷（以As计）、黄曲霉毒素B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苯甲酸及其钠盐（以苯甲酸计）、山梨酸及其钾盐（以山梨酸计）、脱氢乙酸及其钠盐（以脱氢乙酸计）、防腐剂混合使用时各自用量占其最大使用量的比例之和、糖精钠（以糖精计）、大肠菌群、金黄色葡萄球菌、沙门氏菌。</w:t>
      </w:r>
    </w:p>
    <w:p>
      <w:pPr>
        <w:pStyle w:val="6"/>
        <w:shd w:val="clear" w:color="auto" w:fill="auto"/>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3.辣椒、花椒、辣椒粉、花椒粉抽检项目包括铅（以Pb计）、罗丹明B、苯甲酸及其钠盐（以苯甲酸计）、山梨酸及其钾盐（以山梨酸计）、糖精钠（以糖精计）。</w:t>
      </w:r>
    </w:p>
    <w:p>
      <w:pPr>
        <w:pStyle w:val="6"/>
        <w:shd w:val="clear" w:color="auto" w:fill="auto"/>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4.其他香辛料调味品抽检项目包括铅（以Pb计）、苯甲酸及其钠盐（以苯甲酸计）、山梨酸及其钾盐（以山梨酸计）、糖精钠（以糖精计）。</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lang w:eastAsia="zh-CN"/>
        </w:rPr>
        <w:t>三、饮料</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食品中污染物限量》（GB 2762-2017）、《食品安全国家标准 食品中致病菌限量》（GB 29921-2013）等标准及产品明示标准和指标的要求。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1.饮用天然矿泉水抽检项目包括界限指标、镍、锑、溴酸盐、硝酸盐（以NO</w:t>
      </w:r>
      <w:r>
        <w:rPr>
          <w:rFonts w:hint="eastAsia" w:ascii="仿宋" w:hAnsi="仿宋" w:eastAsia="仿宋" w:cs="仿宋"/>
          <w:sz w:val="32"/>
          <w:szCs w:val="32"/>
          <w:highlight w:val="none"/>
          <w:vertAlign w:val="subscript"/>
          <w:lang w:val="en-US" w:eastAsia="zh-CN"/>
        </w:rPr>
        <w:t>3</w:t>
      </w:r>
      <w:r>
        <w:rPr>
          <w:rFonts w:hint="eastAsia" w:ascii="仿宋" w:hAnsi="仿宋" w:eastAsia="仿宋" w:cs="仿宋"/>
          <w:sz w:val="32"/>
          <w:szCs w:val="32"/>
          <w:highlight w:val="none"/>
          <w:vertAlign w:val="superscript"/>
          <w:lang w:val="en-US" w:eastAsia="zh-CN"/>
        </w:rPr>
        <w:t>-</w:t>
      </w:r>
      <w:r>
        <w:rPr>
          <w:rFonts w:hint="eastAsia" w:ascii="仿宋" w:hAnsi="仿宋" w:eastAsia="仿宋" w:cs="仿宋"/>
          <w:sz w:val="32"/>
          <w:szCs w:val="32"/>
          <w:highlight w:val="none"/>
          <w:lang w:val="en-US" w:eastAsia="zh-CN"/>
        </w:rPr>
        <w:t>计)、亚硝酸盐（以NO</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vertAlign w:val="superscript"/>
          <w:lang w:val="en-US" w:eastAsia="zh-CN"/>
        </w:rPr>
        <w:t>-</w:t>
      </w:r>
      <w:r>
        <w:rPr>
          <w:rFonts w:hint="eastAsia" w:ascii="仿宋" w:hAnsi="仿宋" w:eastAsia="仿宋" w:cs="仿宋"/>
          <w:sz w:val="32"/>
          <w:szCs w:val="32"/>
          <w:highlight w:val="none"/>
          <w:lang w:val="en-US" w:eastAsia="zh-CN"/>
        </w:rPr>
        <w:t>计)、大肠菌群、粪链球菌、产气荚膜梭菌、铜绿假单胞菌。</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2.饮用纯净水抽检项目包括耗氧量（以0</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lang w:val="en-US" w:eastAsia="zh-CN"/>
        </w:rPr>
        <w:t>计)、亚硝酸盐(以NO</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vertAlign w:val="superscript"/>
          <w:lang w:val="en-US" w:eastAsia="zh-CN"/>
        </w:rPr>
        <w:t>-</w:t>
      </w:r>
      <w:r>
        <w:rPr>
          <w:rFonts w:hint="eastAsia" w:ascii="仿宋" w:hAnsi="仿宋" w:eastAsia="仿宋" w:cs="仿宋"/>
          <w:sz w:val="32"/>
          <w:szCs w:val="32"/>
          <w:highlight w:val="none"/>
          <w:lang w:val="en-US" w:eastAsia="zh-CN"/>
        </w:rPr>
        <w:t>计)、三氯甲烷、溴酸盐、大肠菌群、铜绿假单胞菌。</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3.其他饮用水抽检项目包括耗氧量（以0</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lang w:val="en-US" w:eastAsia="zh-CN"/>
        </w:rPr>
        <w:t>计)、亚硝酸盐（以以NO</w:t>
      </w:r>
      <w:r>
        <w:rPr>
          <w:rFonts w:hint="eastAsia" w:ascii="仿宋" w:hAnsi="仿宋" w:eastAsia="仿宋" w:cs="仿宋"/>
          <w:sz w:val="32"/>
          <w:szCs w:val="32"/>
          <w:highlight w:val="none"/>
          <w:vertAlign w:val="subscript"/>
          <w:lang w:val="en-US" w:eastAsia="zh-CN"/>
        </w:rPr>
        <w:t>2</w:t>
      </w:r>
      <w:r>
        <w:rPr>
          <w:rFonts w:hint="eastAsia" w:ascii="仿宋" w:hAnsi="仿宋" w:eastAsia="仿宋" w:cs="仿宋"/>
          <w:sz w:val="32"/>
          <w:szCs w:val="32"/>
          <w:highlight w:val="none"/>
          <w:vertAlign w:val="superscript"/>
          <w:lang w:val="en-US" w:eastAsia="zh-CN"/>
        </w:rPr>
        <w:t>-</w:t>
      </w:r>
      <w:r>
        <w:rPr>
          <w:rFonts w:hint="eastAsia" w:ascii="仿宋" w:hAnsi="仿宋" w:eastAsia="仿宋" w:cs="仿宋"/>
          <w:sz w:val="32"/>
          <w:szCs w:val="32"/>
          <w:highlight w:val="none"/>
          <w:lang w:val="en-US" w:eastAsia="zh-CN"/>
        </w:rPr>
        <w:t>计)、三氯甲烷、溴酸盐、大肠菌群、铜绿假单胞菌。</w:t>
      </w:r>
    </w:p>
    <w:p>
      <w:pPr>
        <w:numPr>
          <w:ilvl w:val="0"/>
          <w:numId w:val="0"/>
        </w:numPr>
        <w:spacing w:line="600" w:lineRule="exact"/>
        <w:ind w:firstLine="624" w:firstLineChars="200"/>
        <w:rPr>
          <w:rFonts w:eastAsia="黑体"/>
          <w:color w:val="000000"/>
          <w:sz w:val="32"/>
          <w:szCs w:val="32"/>
          <w:highlight w:val="none"/>
        </w:rPr>
      </w:pPr>
      <w:r>
        <w:rPr>
          <w:rFonts w:hint="eastAsia" w:eastAsia="黑体"/>
          <w:sz w:val="32"/>
          <w:szCs w:val="32"/>
          <w:highlight w:val="none"/>
          <w:lang w:eastAsia="zh-CN"/>
        </w:rPr>
        <w:t>四、方便食品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方便面》</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17400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食品添加剂使用标准》（GB 2760-2014）、《食品安全国家标准</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食品中真菌毒素限量》（GB 2761-2017）、《食品安全国家标准食品中致病菌限量》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29921-2013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1.方便面抽检项目包括过氧化值（以脂肪计）、菌落总数、大肠菌群、沙门氏菌、金黄色葡萄球菌。</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2.其他方便食品抽检项目包括黄曲霉毒素B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、苯甲酸及其钠盐（以苯甲酸计）、山梨酸及其钾盐（以山梨酸计）、糖精钠（以糖精计）、菌落总数、大肠菌群、霉菌、沙门氏菌、金黄色葡萄球菌。</w:t>
      </w:r>
    </w:p>
    <w:p>
      <w:pPr>
        <w:pStyle w:val="7"/>
        <w:numPr>
          <w:ilvl w:val="0"/>
          <w:numId w:val="0"/>
        </w:numPr>
        <w:spacing w:line="600" w:lineRule="exact"/>
        <w:ind w:left="640" w:leftChars="0"/>
        <w:rPr>
          <w:rFonts w:eastAsia="黑体"/>
          <w:color w:val="auto"/>
          <w:sz w:val="32"/>
          <w:szCs w:val="32"/>
          <w:highlight w:val="none"/>
        </w:rPr>
      </w:pPr>
      <w:r>
        <w:rPr>
          <w:rFonts w:hint="eastAsia" w:eastAsia="黑体"/>
          <w:color w:val="auto"/>
          <w:sz w:val="32"/>
          <w:szCs w:val="32"/>
          <w:highlight w:val="none"/>
          <w:lang w:eastAsia="zh-CN"/>
        </w:rPr>
        <w:t>五、</w:t>
      </w:r>
      <w:r>
        <w:rPr>
          <w:rFonts w:hint="eastAsia" w:eastAsia="黑体" w:cs="Times New Roman"/>
          <w:sz w:val="32"/>
          <w:szCs w:val="32"/>
          <w:lang w:eastAsia="zh-CN"/>
        </w:rPr>
        <w:t>酒类</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食品中污染物限量》（GB 2762-2017）等标准及产品明示标准和指标的要求。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1.白酒抽检项目包括酒精度、铅（以Pb计）、甲醇、氰化物（以HCN计）、糖精钠（以糖精计）、甜蜜素（以环己基氨基磺酸计）、三氯蔗糖。</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2.果酒抽检项目包括酒精度、铅（以Pb计）、糖精钠（以糖精计）。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3.其他发酵酒抽检项目包括酒精度、铅（以Pb计）、苯甲酸及其钠盐（以苯甲酸计）、山梨酸及其钾盐（以山梨酸计）、糖精钠（以糖精计）。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4.以蒸馏酒及食用酒精为酒基的配制酒抽检项目包括酒精度、铅（以Pb计）、甲醇、氰化物（以HCN计）、糖精钠（以糖精计）、甜蜜素(以环己基氨基磺酸计）。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5.以发酵酒为酒基的配制酒抽检项目包括酒精度、铅（以Pb计）、苯甲酸及其钠盐（以苯甲酸计）、山梨酸及其钾盐（以山梨酸计）、糖精钠（以糖精计）、甜蜜素（以环己基氨基磺酸计）。</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6.其他蒸馏酒抽检项目包括酒精度、铅（以Pb计）、甲醇、氰化物（以HCN计）、糖精钠（以糖精计）。</w:t>
      </w:r>
    </w:p>
    <w:p>
      <w:pPr>
        <w:pStyle w:val="7"/>
        <w:numPr>
          <w:ilvl w:val="0"/>
          <w:numId w:val="0"/>
        </w:numPr>
        <w:spacing w:line="600" w:lineRule="exact"/>
        <w:ind w:left="640" w:leftChars="0"/>
        <w:rPr>
          <w:rFonts w:eastAsia="黑体"/>
          <w:color w:val="auto"/>
          <w:sz w:val="32"/>
          <w:szCs w:val="32"/>
          <w:highlight w:val="none"/>
        </w:rPr>
      </w:pPr>
      <w:r>
        <w:rPr>
          <w:rFonts w:hint="eastAsia" w:eastAsia="黑体"/>
          <w:color w:val="auto"/>
          <w:sz w:val="32"/>
          <w:szCs w:val="32"/>
          <w:highlight w:val="none"/>
          <w:lang w:eastAsia="zh-CN"/>
        </w:rPr>
        <w:t>六、</w:t>
      </w:r>
      <w:r>
        <w:rPr>
          <w:rFonts w:hint="eastAsia" w:eastAsia="黑体" w:cs="Times New Roman"/>
          <w:sz w:val="32"/>
          <w:szCs w:val="32"/>
          <w:highlight w:val="none"/>
          <w:lang w:eastAsia="zh-CN"/>
        </w:rPr>
        <w:t>茶叶及相关制品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食品中污染物限量》（GB 2762-2017）。</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代用茶抽检项目包括铅（以Pb计）、二氧化硫。</w:t>
      </w:r>
    </w:p>
    <w:p>
      <w:pPr>
        <w:pStyle w:val="7"/>
        <w:numPr>
          <w:ilvl w:val="0"/>
          <w:numId w:val="0"/>
        </w:numPr>
        <w:spacing w:line="600" w:lineRule="exact"/>
        <w:ind w:left="640" w:leftChars="0"/>
        <w:rPr>
          <w:rFonts w:eastAsia="黑体"/>
          <w:color w:val="000000"/>
          <w:sz w:val="32"/>
          <w:szCs w:val="32"/>
          <w:highlight w:val="none"/>
        </w:rPr>
      </w:pPr>
      <w:r>
        <w:rPr>
          <w:rFonts w:hint="eastAsia" w:eastAsia="黑体"/>
          <w:color w:val="000000"/>
          <w:sz w:val="32"/>
          <w:szCs w:val="32"/>
          <w:highlight w:val="none"/>
          <w:lang w:eastAsia="zh-CN"/>
        </w:rPr>
        <w:t>七、餐饮食品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抽检依据是</w:t>
      </w:r>
      <w:r>
        <w:rPr>
          <w:rFonts w:hint="eastAsia" w:ascii="仿宋" w:hAnsi="仿宋" w:eastAsia="仿宋" w:cs="仿宋"/>
          <w:color w:val="auto"/>
          <w:sz w:val="32"/>
          <w:szCs w:val="32"/>
          <w:highlight w:val="none"/>
        </w:rPr>
        <w:t>《食品安全国家标准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2762</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动物性水产制品》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10136</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《食品中可能违法添加的非食用物质和易滥用的食品添加剂名单(第1-5批汇总)》(全国打击违法添加非食用物质和滥用食品添加剂专项整治领导小组于二〇一一年四月十九日汇总发布)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中华人民共和国农业部公告第235号《动物性食品中兽药最高残留限量》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中华人民共和国农业部公告第560号《兽药地方标准废止目录》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中华人民共和国农业部公告第2292号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中华人民共和国卫生部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国家食品药品监督管理局公告(2012年第10号)。</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1.油炸面制品(自制）抽检项目包括铝的残留量(干样品，以A1计）。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2.其他饮料(自制）抽检项目包括苯甲酸及其钠盐（以苯甲酸计）、山梨酸及其钾盐（以山梨酸计）、糖精钠（以糖精计）、铅（以Pb计）。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3.火锅调味料(底料、蘸料）(自制)抽检项目包括罂粟碱、吗啡、可待因、那可丁、蒂巴因。</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4.禽肉（餐饮）抽检项目包括恩诺沙星（以恩诺沙星与环丙沙星之和计）、氯霉素、五氯酚酸钠。</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5.酱腌菜（餐饮)抽检项目包括苯甲酸及其钠盐（以苯甲酸计）、山梨酸及其钾盐（以山梨酸计）、糖精钠（以糖精计）。</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6.煎炸过程用油（限餐饮店)抽检项目包括酸价、极性组分、游离棉酚。</w:t>
      </w:r>
    </w:p>
    <w:p>
      <w:pPr>
        <w:pStyle w:val="6"/>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7.汤汁类（餐饮)抽检项目包括吗啡、可待因、蒂巴因、罂粟碱、那可丁。</w:t>
      </w:r>
    </w:p>
    <w:p>
      <w:pPr>
        <w:pStyle w:val="7"/>
        <w:numPr>
          <w:ilvl w:val="0"/>
          <w:numId w:val="0"/>
        </w:numPr>
        <w:spacing w:line="600" w:lineRule="exact"/>
        <w:ind w:left="640" w:leftChars="0"/>
        <w:rPr>
          <w:rFonts w:eastAsia="黑体"/>
          <w:color w:val="auto"/>
          <w:sz w:val="32"/>
          <w:szCs w:val="32"/>
          <w:highlight w:val="none"/>
        </w:rPr>
      </w:pPr>
      <w:r>
        <w:rPr>
          <w:rFonts w:hint="eastAsia" w:eastAsia="黑体"/>
          <w:color w:val="auto"/>
          <w:sz w:val="32"/>
          <w:szCs w:val="32"/>
          <w:highlight w:val="none"/>
          <w:lang w:eastAsia="zh-CN"/>
        </w:rPr>
        <w:t>八、</w:t>
      </w:r>
      <w:r>
        <w:rPr>
          <w:rFonts w:hint="eastAsia" w:eastAsia="黑体" w:cs="Times New Roman"/>
          <w:sz w:val="32"/>
          <w:szCs w:val="32"/>
          <w:highlight w:val="none"/>
          <w:lang w:eastAsia="zh-CN"/>
        </w:rPr>
        <w:t>食盐</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6"/>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食品添加剂使用标准》（GB 2760-2014）、《食品安全国家标准 食品中污染物限量》（GB 2762-2017）、《食品安全国家标准 食用盐》（GB 2721-2015）等标准及产品明示标准和指标的要求。</w:t>
      </w:r>
    </w:p>
    <w:p>
      <w:pPr>
        <w:spacing w:line="600" w:lineRule="exact"/>
        <w:ind w:firstLine="780" w:firstLineChars="250"/>
        <w:rPr>
          <w:rFonts w:hint="eastAsia" w:ascii="楷体" w:hAnsi="楷体" w:eastAsia="楷体"/>
          <w:sz w:val="32"/>
          <w:szCs w:val="32"/>
          <w:highlight w:val="none"/>
        </w:rPr>
      </w:pPr>
      <w:r>
        <w:rPr>
          <w:rFonts w:hint="eastAsia" w:ascii="楷体" w:hAnsi="楷体" w:eastAsia="楷体"/>
          <w:sz w:val="32"/>
          <w:szCs w:val="32"/>
          <w:highlight w:val="none"/>
        </w:rPr>
        <w:t>（二）检验项目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eastAsia="仿宋" w:cs="仿宋"/>
          <w:sz w:val="32"/>
          <w:szCs w:val="32"/>
          <w:highlight w:val="none"/>
          <w:lang w:val="en-US" w:eastAsia="zh-CN"/>
        </w:rPr>
        <w:t>食盐抽检项目包括氯化钠、氯化钾、碘（以I计）、钡（以Ba计）、铅（以Pb计）、总砷（以As计）、镉（以Cd计）、总汞（以Hg计）、亚硝酸盐、亚铁氰化钾（以亚铁氰根计）。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A1917"/>
    <w:rsid w:val="26153BC5"/>
    <w:rsid w:val="274A1917"/>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 w:type="paragraph" w:customStyle="1" w:styleId="6">
    <w:name w:val="Default"/>
    <w:uiPriority w:val="0"/>
    <w:pPr>
      <w:widowControl w:val="0"/>
      <w:autoSpaceDE w:val="0"/>
      <w:autoSpaceDN w:val="0"/>
      <w:adjustRightInd w:val="0"/>
    </w:pPr>
    <w:rPr>
      <w:rFonts w:hint="eastAsia" w:ascii="MS Mincho" w:hAnsi="MS Mincho" w:eastAsia="MS Mincho"/>
      <w:color w:val="000000"/>
      <w:sz w:val="24"/>
      <w:szCs w:val="22"/>
      <w:lang w:val="en-US" w:eastAsia="zh-CN" w:bidi="ar-SA"/>
    </w:rPr>
  </w:style>
  <w:style w:type="paragraph" w:customStyle="1" w:styleId="7">
    <w:name w:val="List Paragraph"/>
    <w:basedOn w:val="1"/>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2020-02-20T09:02:00Z</dcterms:created>
  <dc:creator>罗钰珊</dc:creator>
  <cp:lastModifiedBy>罗钰珊</cp:lastModifiedBy>
  <dcterms:modified xsi:type="dcterms:W3CDTF">2020-02-20T09:06:27Z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