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E6E6"/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Toc20127989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实行告知承诺及优化审批服务的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认证领域目录</w:t>
      </w:r>
    </w:p>
    <w:p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541"/>
        <w:gridCol w:w="443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Header/>
          <w:jc w:val="center"/>
        </w:trPr>
        <w:tc>
          <w:tcPr>
            <w:tcW w:w="12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类别</w:t>
            </w: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认证领域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01农林（牧）渔；中药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50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02矿和矿物；电力、可燃气和水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03 加工食品、饮料和烟草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04纺织品、服装和皮革制品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05 木材和木制品；纸浆、纸和纸制品，印刷品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06 化工类产品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07 建材产品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08 家具；其他未分类产品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09 废旧物资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10 金属材料及金属制品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11机械设备及零部件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12 电子设备及零部件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13电动机、发电机、发电成套设备和变压器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14配电和控制设备及其零件；绝缘电线和电缆；光缆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15蓄电池、原电池、原电池组和其他电池及其零件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16白炽灯泡或放电灯、弧光灯及其附件；照明设备及其附件；其他电气设备及其零件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17仪器设备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18陆地交通设备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19水路交通设备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20航空航天设备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21 GB7635.2中涉及产品形成过程的不可运输产品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  <w:jc w:val="center"/>
        </w:trPr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01无形资产和土地服务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02建筑工程和建筑物服务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03批发业和零售业服务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04住宿服务；食品和饮料服务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05运输服务（陆路运输服务、水运服务、空运服务、支持性和辅助运输服务）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06邮政和速递服务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07电力分配服务；通过主要管道的燃气和水分分配服务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08金融中介、保险和辅助服务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09不动产服务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10不配备操作员的租赁或出租服务</w:t>
            </w:r>
          </w:p>
        </w:tc>
        <w:tc>
          <w:tcPr>
            <w:tcW w:w="14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11科学研究服务（研究和开发服务；专业、科学和技术服务；其他专业、科学和技术服务）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12电信服务；信息检索和提供服务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13支持性服务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14在收费或合同基础上的生产服务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15保养和修理服务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16公共管理和整个社区有关的其他服务；强制性社会保障服务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17教育服务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18卫生保健和社会福利服务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19污水和垃圾处置、公共卫生及其他环境保护服务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20成员组织的服务；国外组织和机构的服务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21娱乐、文化和体育服务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22家庭服务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01质量管理体系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02环境管理体系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03职业健康安全管理体系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04信息安全管理体系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05信息技术服务管理体系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06食品农产品管理体系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国家统一推行的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国家统一推行的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有机产品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优化</w:t>
            </w:r>
            <w: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优化</w:t>
            </w:r>
            <w: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良好农业规范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食品质量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饲料产品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绿色市场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食品安全管理体系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危害分析与关键控制点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乳制品生产企业危害分析与关键控制点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乳制品生产企业良好生产规范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节能产品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低碳产品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通用硅酸盐水泥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平板玻璃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 xml:space="preserve">铝合金建筑型材 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中小型三相异步电动机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陶瓷砖（板）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纺织面料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轮胎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铁路产品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信息安全产品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电器</w:t>
            </w:r>
            <w:r>
              <w:t>电子</w:t>
            </w:r>
            <w:r>
              <w:rPr>
                <w:rFonts w:hint="eastAsia"/>
              </w:rPr>
              <w:t>产品</w:t>
            </w:r>
            <w:r>
              <w:t>有害物质限制使用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可扩展商业报告语言（XBRL）软件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光伏产品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电子招投标系统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中国森林认证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农机</w:t>
            </w:r>
            <w:r>
              <w:t>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交通</w:t>
            </w:r>
            <w:r>
              <w:t>一卡通产品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</w:t>
            </w:r>
            <w:r>
              <w:t>轨道交通装备</w:t>
            </w:r>
            <w:r>
              <w:rPr>
                <w:rFonts w:hint="eastAsia"/>
              </w:rPr>
              <w:t>产品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城市轨道交通制动系统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城市轨道交通牵引传动系统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城市轨道交通电动客车列车控制与诊断系统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城市轨道交通车辆车门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城市轨道交通车辆车钩缓冲装置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城市轨道交通基于通信的列车运行控制系统</w:t>
            </w:r>
            <w:r>
              <w:t>（CBTC）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绿色产品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人造板和木质地板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涂料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卫生陶瓷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建筑玻璃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太阳能热水系统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家具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绝热材料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防水与密封材料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陶瓷砖（板）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纺织产品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木塑制品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纸和纸制品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金融科技产品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体育场所服务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软件过程能力及成熟度评估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测量管理体系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能源管理体系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知识产权管理体系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</w:tbl>
    <w:p>
      <w:pPr>
        <w:overflowPunct w:val="0"/>
        <w:spacing w:line="594" w:lineRule="exact"/>
        <w:ind w:firstLine="314" w:firstLineChars="1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aperSrc/>
      <w:pgNumType w:start="5"/>
      <w:cols w:space="720" w:num="1"/>
      <w:rtlGutter w:val="0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C"/>
    <w:rsid w:val="000110D8"/>
    <w:rsid w:val="000269C5"/>
    <w:rsid w:val="00040697"/>
    <w:rsid w:val="00050A13"/>
    <w:rsid w:val="00075975"/>
    <w:rsid w:val="000E0988"/>
    <w:rsid w:val="000E7AB4"/>
    <w:rsid w:val="000F19D1"/>
    <w:rsid w:val="000F24CD"/>
    <w:rsid w:val="001044E1"/>
    <w:rsid w:val="001343C3"/>
    <w:rsid w:val="00140B4A"/>
    <w:rsid w:val="00144920"/>
    <w:rsid w:val="0015665E"/>
    <w:rsid w:val="00164C8B"/>
    <w:rsid w:val="00183B35"/>
    <w:rsid w:val="0019344F"/>
    <w:rsid w:val="00197DE5"/>
    <w:rsid w:val="001A4D86"/>
    <w:rsid w:val="001A79A5"/>
    <w:rsid w:val="001B4508"/>
    <w:rsid w:val="001B6733"/>
    <w:rsid w:val="001E1025"/>
    <w:rsid w:val="001E2C8C"/>
    <w:rsid w:val="001E7FD7"/>
    <w:rsid w:val="001F373D"/>
    <w:rsid w:val="001F51DD"/>
    <w:rsid w:val="00215E89"/>
    <w:rsid w:val="00226C39"/>
    <w:rsid w:val="0025678B"/>
    <w:rsid w:val="00262655"/>
    <w:rsid w:val="00267267"/>
    <w:rsid w:val="00281C14"/>
    <w:rsid w:val="00292069"/>
    <w:rsid w:val="002D0667"/>
    <w:rsid w:val="002E6D80"/>
    <w:rsid w:val="002F086C"/>
    <w:rsid w:val="002F1A38"/>
    <w:rsid w:val="00352B84"/>
    <w:rsid w:val="00353C9B"/>
    <w:rsid w:val="00364822"/>
    <w:rsid w:val="003835BE"/>
    <w:rsid w:val="00393318"/>
    <w:rsid w:val="003B37CD"/>
    <w:rsid w:val="003C53AE"/>
    <w:rsid w:val="003D783C"/>
    <w:rsid w:val="003E0BFD"/>
    <w:rsid w:val="003E70A9"/>
    <w:rsid w:val="003F3C8C"/>
    <w:rsid w:val="00423F93"/>
    <w:rsid w:val="00461005"/>
    <w:rsid w:val="00477349"/>
    <w:rsid w:val="00480A53"/>
    <w:rsid w:val="004A1A8C"/>
    <w:rsid w:val="004B5EC3"/>
    <w:rsid w:val="004C4C48"/>
    <w:rsid w:val="004D79F9"/>
    <w:rsid w:val="004F2062"/>
    <w:rsid w:val="005063D6"/>
    <w:rsid w:val="00526645"/>
    <w:rsid w:val="00532474"/>
    <w:rsid w:val="0056417C"/>
    <w:rsid w:val="00581EA8"/>
    <w:rsid w:val="005A2F74"/>
    <w:rsid w:val="005D1E50"/>
    <w:rsid w:val="005E7EBE"/>
    <w:rsid w:val="006524D5"/>
    <w:rsid w:val="00665B42"/>
    <w:rsid w:val="006A3512"/>
    <w:rsid w:val="006B1A8A"/>
    <w:rsid w:val="006C4EA7"/>
    <w:rsid w:val="006D2D6F"/>
    <w:rsid w:val="006D315E"/>
    <w:rsid w:val="0070019F"/>
    <w:rsid w:val="0072072C"/>
    <w:rsid w:val="0072295A"/>
    <w:rsid w:val="007506F5"/>
    <w:rsid w:val="007541D5"/>
    <w:rsid w:val="0076612C"/>
    <w:rsid w:val="0078014D"/>
    <w:rsid w:val="00791849"/>
    <w:rsid w:val="007924A6"/>
    <w:rsid w:val="007E0834"/>
    <w:rsid w:val="007E45D2"/>
    <w:rsid w:val="007E725C"/>
    <w:rsid w:val="007F6955"/>
    <w:rsid w:val="0081347F"/>
    <w:rsid w:val="00836F9B"/>
    <w:rsid w:val="008817F3"/>
    <w:rsid w:val="008A3B7E"/>
    <w:rsid w:val="008E2C19"/>
    <w:rsid w:val="009140DB"/>
    <w:rsid w:val="009247A9"/>
    <w:rsid w:val="00942EFA"/>
    <w:rsid w:val="009F7F8D"/>
    <w:rsid w:val="00A219A4"/>
    <w:rsid w:val="00A41590"/>
    <w:rsid w:val="00A57BBF"/>
    <w:rsid w:val="00A64F75"/>
    <w:rsid w:val="00A81045"/>
    <w:rsid w:val="00A91A33"/>
    <w:rsid w:val="00AC77D0"/>
    <w:rsid w:val="00AD57B3"/>
    <w:rsid w:val="00B11BF0"/>
    <w:rsid w:val="00B12415"/>
    <w:rsid w:val="00B35829"/>
    <w:rsid w:val="00B47C99"/>
    <w:rsid w:val="00B47F2E"/>
    <w:rsid w:val="00B523FC"/>
    <w:rsid w:val="00B7287E"/>
    <w:rsid w:val="00B77AE0"/>
    <w:rsid w:val="00B8240D"/>
    <w:rsid w:val="00B91212"/>
    <w:rsid w:val="00BB2D88"/>
    <w:rsid w:val="00BC0A23"/>
    <w:rsid w:val="00BE757E"/>
    <w:rsid w:val="00BF6101"/>
    <w:rsid w:val="00C27AA7"/>
    <w:rsid w:val="00C32104"/>
    <w:rsid w:val="00C53C16"/>
    <w:rsid w:val="00C61606"/>
    <w:rsid w:val="00C75CB0"/>
    <w:rsid w:val="00C872AB"/>
    <w:rsid w:val="00CA5011"/>
    <w:rsid w:val="00CD6EE3"/>
    <w:rsid w:val="00D035AE"/>
    <w:rsid w:val="00D33819"/>
    <w:rsid w:val="00D655DC"/>
    <w:rsid w:val="00D83D18"/>
    <w:rsid w:val="00D90F73"/>
    <w:rsid w:val="00D9303A"/>
    <w:rsid w:val="00D93C46"/>
    <w:rsid w:val="00DB6238"/>
    <w:rsid w:val="00DB753A"/>
    <w:rsid w:val="00E22465"/>
    <w:rsid w:val="00E36EFE"/>
    <w:rsid w:val="00E578C3"/>
    <w:rsid w:val="00E70D00"/>
    <w:rsid w:val="00E873D4"/>
    <w:rsid w:val="00EE741D"/>
    <w:rsid w:val="00F256C6"/>
    <w:rsid w:val="00F66C08"/>
    <w:rsid w:val="00F67B6A"/>
    <w:rsid w:val="00F75E8A"/>
    <w:rsid w:val="00F80412"/>
    <w:rsid w:val="00FA0766"/>
    <w:rsid w:val="00FB3A89"/>
    <w:rsid w:val="00FE4D8E"/>
    <w:rsid w:val="00FE7E7C"/>
    <w:rsid w:val="012B1B70"/>
    <w:rsid w:val="048C5C04"/>
    <w:rsid w:val="0661709A"/>
    <w:rsid w:val="086F522F"/>
    <w:rsid w:val="0F031A62"/>
    <w:rsid w:val="13704A59"/>
    <w:rsid w:val="159A220E"/>
    <w:rsid w:val="167D0CC6"/>
    <w:rsid w:val="17B32A43"/>
    <w:rsid w:val="19615B49"/>
    <w:rsid w:val="1BCA3249"/>
    <w:rsid w:val="21212A7E"/>
    <w:rsid w:val="259F7956"/>
    <w:rsid w:val="282C165F"/>
    <w:rsid w:val="29A058DB"/>
    <w:rsid w:val="29CF3EB2"/>
    <w:rsid w:val="2AC81101"/>
    <w:rsid w:val="2C5D4207"/>
    <w:rsid w:val="2D1B7423"/>
    <w:rsid w:val="2FB307DD"/>
    <w:rsid w:val="36D9113E"/>
    <w:rsid w:val="36D97BCA"/>
    <w:rsid w:val="3D5321EB"/>
    <w:rsid w:val="3EB36EA2"/>
    <w:rsid w:val="43231D8A"/>
    <w:rsid w:val="4555641F"/>
    <w:rsid w:val="4AF4007D"/>
    <w:rsid w:val="4BCE4B49"/>
    <w:rsid w:val="4D84571A"/>
    <w:rsid w:val="51FC5E15"/>
    <w:rsid w:val="57446450"/>
    <w:rsid w:val="57AE1AA3"/>
    <w:rsid w:val="5914270E"/>
    <w:rsid w:val="5DB92EEF"/>
    <w:rsid w:val="5EAD2D84"/>
    <w:rsid w:val="5FAD0B6F"/>
    <w:rsid w:val="65426561"/>
    <w:rsid w:val="6CB1751C"/>
    <w:rsid w:val="6D764540"/>
    <w:rsid w:val="700D6012"/>
    <w:rsid w:val="71427197"/>
    <w:rsid w:val="733015E9"/>
    <w:rsid w:val="734C2CE0"/>
    <w:rsid w:val="73DB688B"/>
    <w:rsid w:val="74715BA0"/>
    <w:rsid w:val="75A532A1"/>
    <w:rsid w:val="762B2CD8"/>
    <w:rsid w:val="7E443E38"/>
    <w:rsid w:val="7F033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uiPriority w:val="99"/>
    <w:pPr>
      <w:jc w:val="left"/>
    </w:pPr>
    <w:rPr>
      <w:rFonts w:cs="Times New Roman"/>
    </w:rPr>
  </w:style>
  <w:style w:type="paragraph" w:styleId="3">
    <w:name w:val="Date"/>
    <w:basedOn w:val="1"/>
    <w:next w:val="1"/>
    <w:link w:val="23"/>
    <w:unhideWhenUsed/>
    <w:uiPriority w:val="99"/>
    <w:pPr>
      <w:ind w:left="100" w:leftChars="2500"/>
    </w:pPr>
    <w:rPr>
      <w:rFonts w:cs="Times New Roman"/>
    </w:rPr>
  </w:style>
  <w:style w:type="paragraph" w:styleId="4">
    <w:name w:val="Balloon Text"/>
    <w:basedOn w:val="1"/>
    <w:link w:val="21"/>
    <w:unhideWhenUsed/>
    <w:uiPriority w:val="99"/>
    <w:rPr>
      <w:rFonts w:cs="Times New Roman"/>
      <w:sz w:val="18"/>
      <w:szCs w:val="18"/>
    </w:r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8"/>
    <w:unhideWhenUsed/>
    <w:uiPriority w:val="99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paragraph" w:customStyle="1" w:styleId="14">
    <w:name w:val="正文0"/>
    <w:basedOn w:val="1"/>
    <w:link w:val="19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列出段落2"/>
    <w:basedOn w:val="1"/>
    <w:qFormat/>
    <w:uiPriority w:val="34"/>
    <w:pPr>
      <w:ind w:firstLine="200" w:firstLineChars="200"/>
    </w:pPr>
    <w:rPr>
      <w:rFonts w:cs="Times New Roman"/>
      <w:szCs w:val="21"/>
    </w:rPr>
  </w:style>
  <w:style w:type="paragraph" w:customStyle="1" w:styleId="16">
    <w:name w:val="p0"/>
    <w:basedOn w:val="1"/>
    <w:uiPriority w:val="0"/>
    <w:pPr>
      <w:widowControl/>
    </w:pPr>
    <w:rPr>
      <w:rFonts w:ascii="Times New Roman" w:hAnsi="Times New Roman" w:cs="Times New Roman"/>
      <w:kern w:val="0"/>
      <w:sz w:val="32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主题 Char"/>
    <w:link w:val="9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正文0 Char"/>
    <w:link w:val="14"/>
    <w:uiPriority w:val="0"/>
    <w:rPr>
      <w:rFonts w:ascii="Times New Roman" w:hAnsi="Times New Roman"/>
      <w:kern w:val="2"/>
      <w:sz w:val="24"/>
      <w:szCs w:val="24"/>
    </w:rPr>
  </w:style>
  <w:style w:type="character" w:customStyle="1" w:styleId="20">
    <w:name w:val="批注文字 Char"/>
    <w:link w:val="2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批注框文本 Char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dash6b636587char1"/>
    <w:uiPriority w:val="0"/>
    <w:rPr>
      <w:rFonts w:ascii="Times New Roman" w:hAnsi="Times New Roman" w:cs="Times New Roman"/>
    </w:rPr>
  </w:style>
  <w:style w:type="character" w:customStyle="1" w:styleId="23">
    <w:name w:val="日期 Char"/>
    <w:link w:val="3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4">
    <w:name w:val="页眉 Char"/>
    <w:link w:val="6"/>
    <w:uiPriority w:val="99"/>
    <w:rPr>
      <w:rFonts w:cs="黑体"/>
      <w:kern w:val="2"/>
      <w:sz w:val="18"/>
      <w:szCs w:val="18"/>
    </w:rPr>
  </w:style>
  <w:style w:type="character" w:customStyle="1" w:styleId="25">
    <w:name w:val="副标题 Char"/>
    <w:link w:val="7"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26">
    <w:name w:val="页脚 Char"/>
    <w:link w:val="5"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saic</Company>
  <Pages>43</Pages>
  <Words>3095</Words>
  <Characters>17645</Characters>
  <Lines>147</Lines>
  <Paragraphs>41</Paragraphs>
  <TotalTime>14</TotalTime>
  <ScaleCrop>false</ScaleCrop>
  <LinksUpToDate>false</LinksUpToDate>
  <CharactersWithSpaces>20699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2019-12-26T08:25:00Z</dcterms:created>
  <dc:creator>文学</dc:creator>
  <cp:lastModifiedBy>良液</cp:lastModifiedBy>
  <cp:lastPrinted>2020-01-19T01:37:39Z</cp:lastPrinted>
  <dcterms:modified xsi:type="dcterms:W3CDTF">2020-02-24T07:42:22Z</dcterms:modified>
  <dc:title>（格式2：规范性文件类议题）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