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84" w:rsidRPr="00087DB9" w:rsidRDefault="005E7EC6">
      <w:pPr>
        <w:rPr>
          <w:rFonts w:asciiTheme="majorEastAsia" w:eastAsiaTheme="majorEastAsia" w:hAnsiTheme="majorEastAsia"/>
          <w:sz w:val="28"/>
          <w:szCs w:val="28"/>
        </w:rPr>
      </w:pPr>
      <w:r w:rsidRPr="00087DB9">
        <w:rPr>
          <w:rFonts w:asciiTheme="majorEastAsia" w:eastAsiaTheme="majorEastAsia" w:hAnsiTheme="majorEastAsia" w:hint="eastAsia"/>
          <w:sz w:val="28"/>
          <w:szCs w:val="28"/>
        </w:rPr>
        <w:t>附件</w:t>
      </w:r>
      <w:r w:rsidR="00E67BA4" w:rsidRPr="00087DB9">
        <w:rPr>
          <w:rFonts w:asciiTheme="majorEastAsia" w:eastAsiaTheme="majorEastAsia" w:hAnsiTheme="majorEastAsia"/>
          <w:sz w:val="28"/>
          <w:szCs w:val="28"/>
        </w:rPr>
        <w:t>26</w:t>
      </w:r>
    </w:p>
    <w:p w:rsidR="00DA1484" w:rsidRDefault="005E7EC6">
      <w:pPr>
        <w:jc w:val="center"/>
        <w:rPr>
          <w:rFonts w:ascii="方正小标宋简体" w:eastAsia="方正小标宋简体"/>
          <w:bCs/>
          <w:sz w:val="44"/>
          <w:szCs w:val="44"/>
        </w:rPr>
      </w:pPr>
      <w:r>
        <w:rPr>
          <w:rFonts w:ascii="方正小标宋简体" w:eastAsia="方正小标宋简体" w:hint="eastAsia"/>
          <w:bCs/>
          <w:sz w:val="44"/>
          <w:szCs w:val="44"/>
        </w:rPr>
        <w:t>不合格项目说明</w:t>
      </w:r>
    </w:p>
    <w:p w:rsidR="00087DB9" w:rsidRPr="00087DB9" w:rsidRDefault="00087DB9">
      <w:pPr>
        <w:jc w:val="center"/>
        <w:rPr>
          <w:rFonts w:ascii="方正小标宋简体" w:eastAsia="方正小标宋简体"/>
          <w:bCs/>
          <w:sz w:val="13"/>
          <w:szCs w:val="13"/>
        </w:rPr>
      </w:pPr>
    </w:p>
    <w:p w:rsidR="007046E5" w:rsidRPr="007046E5" w:rsidRDefault="007046E5" w:rsidP="007046E5">
      <w:pPr>
        <w:pStyle w:val="a6"/>
        <w:numPr>
          <w:ilvl w:val="0"/>
          <w:numId w:val="3"/>
        </w:numPr>
        <w:spacing w:line="580" w:lineRule="exact"/>
        <w:rPr>
          <w:rFonts w:eastAsia="黑体"/>
          <w:color w:val="000000"/>
          <w:sz w:val="32"/>
          <w:szCs w:val="32"/>
        </w:rPr>
      </w:pPr>
      <w:r w:rsidRPr="007046E5">
        <w:rPr>
          <w:rFonts w:eastAsia="黑体"/>
          <w:color w:val="000000"/>
          <w:sz w:val="32"/>
          <w:szCs w:val="32"/>
        </w:rPr>
        <w:t>总砷</w:t>
      </w:r>
    </w:p>
    <w:p w:rsidR="007046E5" w:rsidRPr="007046E5" w:rsidRDefault="007046E5" w:rsidP="007046E5">
      <w:pPr>
        <w:pStyle w:val="p0"/>
        <w:widowControl w:val="0"/>
        <w:spacing w:beforeLines="20" w:before="62"/>
        <w:ind w:firstLineChars="196" w:firstLine="627"/>
        <w:rPr>
          <w:rFonts w:ascii="仿宋" w:eastAsia="仿宋" w:hAnsi="仿宋" w:cs="仿宋"/>
          <w:color w:val="000000" w:themeColor="text1"/>
          <w:sz w:val="32"/>
          <w:szCs w:val="32"/>
        </w:rPr>
      </w:pPr>
      <w:r w:rsidRPr="007046E5">
        <w:rPr>
          <w:rFonts w:ascii="仿宋" w:eastAsia="仿宋" w:hAnsi="仿宋" w:cs="仿宋"/>
          <w:color w:val="000000" w:themeColor="text1"/>
          <w:sz w:val="32"/>
          <w:szCs w:val="32"/>
        </w:rPr>
        <w:t>砷是一种类金属元素，主要存在于土壤、空气和水中。食物中砷污染主要来源于含砷农药、环境</w:t>
      </w:r>
      <w:proofErr w:type="gramStart"/>
      <w:r w:rsidRPr="007046E5">
        <w:rPr>
          <w:rFonts w:ascii="仿宋" w:eastAsia="仿宋" w:hAnsi="仿宋" w:cs="仿宋"/>
          <w:color w:val="000000" w:themeColor="text1"/>
          <w:sz w:val="32"/>
          <w:szCs w:val="32"/>
        </w:rPr>
        <w:t>砷</w:t>
      </w:r>
      <w:proofErr w:type="gramEnd"/>
      <w:r w:rsidRPr="007046E5">
        <w:rPr>
          <w:rFonts w:ascii="仿宋" w:eastAsia="仿宋" w:hAnsi="仿宋" w:cs="仿宋"/>
          <w:color w:val="000000" w:themeColor="text1"/>
          <w:sz w:val="32"/>
          <w:szCs w:val="32"/>
        </w:rPr>
        <w:t>污染、含砷的原料等。食物中</w:t>
      </w:r>
      <w:proofErr w:type="gramStart"/>
      <w:r w:rsidRPr="007046E5">
        <w:rPr>
          <w:rFonts w:ascii="仿宋" w:eastAsia="仿宋" w:hAnsi="仿宋" w:cs="仿宋"/>
          <w:color w:val="000000" w:themeColor="text1"/>
          <w:sz w:val="32"/>
          <w:szCs w:val="32"/>
        </w:rPr>
        <w:t>的砷以不同</w:t>
      </w:r>
      <w:proofErr w:type="gramEnd"/>
      <w:r w:rsidRPr="007046E5">
        <w:rPr>
          <w:rFonts w:ascii="仿宋" w:eastAsia="仿宋" w:hAnsi="仿宋" w:cs="仿宋"/>
          <w:color w:val="000000" w:themeColor="text1"/>
          <w:sz w:val="32"/>
          <w:szCs w:val="32"/>
        </w:rPr>
        <w:t>形态存在，包括无机</w:t>
      </w:r>
      <w:proofErr w:type="gramStart"/>
      <w:r w:rsidRPr="007046E5">
        <w:rPr>
          <w:rFonts w:ascii="仿宋" w:eastAsia="仿宋" w:hAnsi="仿宋" w:cs="仿宋"/>
          <w:color w:val="000000" w:themeColor="text1"/>
          <w:sz w:val="32"/>
          <w:szCs w:val="32"/>
        </w:rPr>
        <w:t>砷</w:t>
      </w:r>
      <w:proofErr w:type="gramEnd"/>
      <w:r w:rsidRPr="007046E5">
        <w:rPr>
          <w:rFonts w:ascii="仿宋" w:eastAsia="仿宋" w:hAnsi="仿宋" w:cs="仿宋"/>
          <w:color w:val="000000" w:themeColor="text1"/>
          <w:sz w:val="32"/>
          <w:szCs w:val="32"/>
        </w:rPr>
        <w:t>以及有机砷,合计为总</w:t>
      </w:r>
      <w:proofErr w:type="gramStart"/>
      <w:r w:rsidRPr="007046E5">
        <w:rPr>
          <w:rFonts w:ascii="仿宋" w:eastAsia="仿宋" w:hAnsi="仿宋" w:cs="仿宋"/>
          <w:color w:val="000000" w:themeColor="text1"/>
          <w:sz w:val="32"/>
          <w:szCs w:val="32"/>
        </w:rPr>
        <w:t>砷</w:t>
      </w:r>
      <w:proofErr w:type="gramEnd"/>
      <w:r w:rsidRPr="007046E5">
        <w:rPr>
          <w:rFonts w:ascii="仿宋" w:eastAsia="仿宋" w:hAnsi="仿宋" w:cs="仿宋"/>
          <w:color w:val="000000" w:themeColor="text1"/>
          <w:sz w:val="32"/>
          <w:szCs w:val="32"/>
        </w:rPr>
        <w:t>。</w:t>
      </w:r>
      <w:proofErr w:type="gramStart"/>
      <w:r w:rsidRPr="007046E5">
        <w:rPr>
          <w:rFonts w:ascii="仿宋" w:eastAsia="仿宋" w:hAnsi="仿宋" w:cs="仿宋"/>
          <w:color w:val="000000" w:themeColor="text1"/>
          <w:sz w:val="32"/>
          <w:szCs w:val="32"/>
        </w:rPr>
        <w:t>砷</w:t>
      </w:r>
      <w:proofErr w:type="gramEnd"/>
      <w:r w:rsidRPr="007046E5">
        <w:rPr>
          <w:rFonts w:ascii="仿宋" w:eastAsia="仿宋" w:hAnsi="仿宋" w:cs="仿宋"/>
          <w:color w:val="000000" w:themeColor="text1"/>
          <w:sz w:val="32"/>
          <w:szCs w:val="32"/>
        </w:rPr>
        <w:t>主要通过饮水、食物经消化道进入体内。《食品安全国家标准 食品中污染物限量》（GB 2762-2017）</w:t>
      </w:r>
      <w:r w:rsidR="00384298">
        <w:rPr>
          <w:rFonts w:ascii="仿宋" w:eastAsia="仿宋" w:hAnsi="仿宋" w:cs="仿宋" w:hint="eastAsia"/>
          <w:color w:val="000000" w:themeColor="text1"/>
          <w:sz w:val="32"/>
          <w:szCs w:val="32"/>
        </w:rPr>
        <w:t>中</w:t>
      </w:r>
      <w:r w:rsidRPr="007046E5">
        <w:rPr>
          <w:rFonts w:ascii="仿宋" w:eastAsia="仿宋" w:hAnsi="仿宋" w:cs="仿宋"/>
          <w:color w:val="000000" w:themeColor="text1"/>
          <w:sz w:val="32"/>
          <w:szCs w:val="32"/>
        </w:rPr>
        <w:t>规定</w:t>
      </w:r>
      <w:r w:rsidR="00384298">
        <w:rPr>
          <w:rFonts w:ascii="仿宋" w:eastAsia="仿宋" w:hAnsi="仿宋" w:cs="仿宋" w:hint="eastAsia"/>
          <w:color w:val="000000" w:themeColor="text1"/>
          <w:sz w:val="32"/>
          <w:szCs w:val="32"/>
        </w:rPr>
        <w:t>，</w:t>
      </w:r>
      <w:r w:rsidRPr="007046E5">
        <w:rPr>
          <w:rFonts w:ascii="仿宋" w:eastAsia="仿宋" w:hAnsi="仿宋" w:cs="仿宋"/>
          <w:color w:val="000000" w:themeColor="text1"/>
          <w:sz w:val="32"/>
          <w:szCs w:val="32"/>
        </w:rPr>
        <w:t>调味品(水产调味品、藻类调味品和香</w:t>
      </w:r>
      <w:proofErr w:type="gramStart"/>
      <w:r w:rsidRPr="007046E5">
        <w:rPr>
          <w:rFonts w:ascii="仿宋" w:eastAsia="仿宋" w:hAnsi="仿宋" w:cs="仿宋"/>
          <w:color w:val="000000" w:themeColor="text1"/>
          <w:sz w:val="32"/>
          <w:szCs w:val="32"/>
        </w:rPr>
        <w:t>辛料类除外</w:t>
      </w:r>
      <w:proofErr w:type="gramEnd"/>
      <w:r w:rsidRPr="007046E5">
        <w:rPr>
          <w:rFonts w:ascii="仿宋" w:eastAsia="仿宋" w:hAnsi="仿宋" w:cs="仿宋"/>
          <w:color w:val="000000" w:themeColor="text1"/>
          <w:sz w:val="32"/>
          <w:szCs w:val="32"/>
        </w:rPr>
        <w:t>)中总砷的限量为0.5 mg/kg。</w:t>
      </w:r>
    </w:p>
    <w:p w:rsidR="00DA1484" w:rsidRDefault="00E67BA4" w:rsidP="00BC6C8C">
      <w:pPr>
        <w:pStyle w:val="a6"/>
        <w:numPr>
          <w:ilvl w:val="0"/>
          <w:numId w:val="3"/>
        </w:numPr>
        <w:spacing w:line="580" w:lineRule="exact"/>
        <w:rPr>
          <w:rFonts w:eastAsia="黑体"/>
          <w:color w:val="000000"/>
          <w:sz w:val="32"/>
          <w:szCs w:val="32"/>
        </w:rPr>
      </w:pPr>
      <w:r w:rsidRPr="00E67BA4">
        <w:rPr>
          <w:rFonts w:eastAsia="黑体"/>
          <w:color w:val="000000"/>
          <w:sz w:val="32"/>
          <w:szCs w:val="32"/>
        </w:rPr>
        <w:t>4-</w:t>
      </w:r>
      <w:r w:rsidRPr="00E67BA4">
        <w:rPr>
          <w:rFonts w:eastAsia="黑体"/>
          <w:color w:val="000000"/>
          <w:sz w:val="32"/>
          <w:szCs w:val="32"/>
        </w:rPr>
        <w:t>氯苯氧乙酸钠</w:t>
      </w:r>
    </w:p>
    <w:p w:rsidR="00BC6C8C" w:rsidRDefault="00E67BA4" w:rsidP="00BC6C8C">
      <w:pPr>
        <w:pStyle w:val="p0"/>
        <w:widowControl w:val="0"/>
        <w:spacing w:beforeLines="20" w:before="62"/>
        <w:ind w:firstLineChars="196" w:firstLine="627"/>
        <w:rPr>
          <w:rFonts w:ascii="仿宋" w:eastAsia="仿宋" w:hAnsi="仿宋" w:cs="仿宋"/>
          <w:color w:val="000000" w:themeColor="text1"/>
          <w:sz w:val="32"/>
          <w:szCs w:val="32"/>
        </w:rPr>
      </w:pPr>
      <w:r w:rsidRPr="00E67BA4">
        <w:rPr>
          <w:rFonts w:ascii="仿宋" w:eastAsia="仿宋" w:hAnsi="仿宋" w:cs="仿宋"/>
          <w:color w:val="000000" w:themeColor="text1"/>
          <w:sz w:val="32"/>
          <w:szCs w:val="32"/>
        </w:rPr>
        <w:t>4-氯苯氧乙酸钠是植物生长调节剂。主要用于防止落花落果、抑制豆类生根，并能调节</w:t>
      </w:r>
      <w:proofErr w:type="gramStart"/>
      <w:r w:rsidRPr="00E67BA4">
        <w:rPr>
          <w:rFonts w:ascii="仿宋" w:eastAsia="仿宋" w:hAnsi="仿宋" w:cs="仿宋"/>
          <w:color w:val="000000" w:themeColor="text1"/>
          <w:sz w:val="32"/>
          <w:szCs w:val="32"/>
        </w:rPr>
        <w:t>植物株内激素</w:t>
      </w:r>
      <w:proofErr w:type="gramEnd"/>
      <w:r w:rsidRPr="00E67BA4">
        <w:rPr>
          <w:rFonts w:ascii="仿宋" w:eastAsia="仿宋" w:hAnsi="仿宋" w:cs="仿宋"/>
          <w:color w:val="000000" w:themeColor="text1"/>
          <w:sz w:val="32"/>
          <w:szCs w:val="32"/>
        </w:rPr>
        <w:t>的平衡。但由于其对人体有一定积累毒性，《国家食品药品监督管理总局、农业部、国家卫生和计划生育委员会关于豆芽生产过程中禁止使用6-苄基腺嘌呤等物质的公告》（2015年第11号）规定豆芽生产经营过程中禁止使用4-氯苯氧乙酸钠。</w:t>
      </w:r>
    </w:p>
    <w:p w:rsidR="00BC6C8C" w:rsidRPr="00BC6C8C" w:rsidRDefault="00BC6C8C" w:rsidP="00BC6C8C">
      <w:pPr>
        <w:pStyle w:val="a6"/>
        <w:numPr>
          <w:ilvl w:val="0"/>
          <w:numId w:val="3"/>
        </w:numPr>
        <w:spacing w:line="580" w:lineRule="exact"/>
        <w:rPr>
          <w:rFonts w:eastAsia="黑体"/>
          <w:color w:val="000000"/>
          <w:sz w:val="32"/>
          <w:szCs w:val="32"/>
        </w:rPr>
      </w:pPr>
      <w:proofErr w:type="gramStart"/>
      <w:r w:rsidRPr="00BC6C8C">
        <w:rPr>
          <w:rFonts w:eastAsia="黑体" w:hint="eastAsia"/>
          <w:color w:val="000000"/>
          <w:sz w:val="32"/>
          <w:szCs w:val="32"/>
        </w:rPr>
        <w:t>恩诺沙</w:t>
      </w:r>
      <w:proofErr w:type="gramEnd"/>
      <w:r w:rsidRPr="00BC6C8C">
        <w:rPr>
          <w:rFonts w:eastAsia="黑体" w:hint="eastAsia"/>
          <w:color w:val="000000"/>
          <w:sz w:val="32"/>
          <w:szCs w:val="32"/>
        </w:rPr>
        <w:t>星</w:t>
      </w:r>
    </w:p>
    <w:p w:rsidR="002209C3" w:rsidRDefault="00E67BA4" w:rsidP="002209C3">
      <w:pPr>
        <w:adjustRightInd w:val="0"/>
        <w:snapToGrid w:val="0"/>
        <w:spacing w:line="560" w:lineRule="exact"/>
        <w:ind w:firstLineChars="200" w:firstLine="640"/>
        <w:rPr>
          <w:rFonts w:ascii="仿宋" w:eastAsia="仿宋" w:hAnsi="仿宋" w:cs="仿宋"/>
          <w:sz w:val="32"/>
          <w:szCs w:val="32"/>
        </w:rPr>
      </w:pPr>
      <w:proofErr w:type="gramStart"/>
      <w:r w:rsidRPr="00BC6C8C">
        <w:rPr>
          <w:rFonts w:ascii="仿宋" w:eastAsia="仿宋" w:hAnsi="仿宋" w:cs="仿宋" w:hint="eastAsia"/>
          <w:sz w:val="32"/>
          <w:szCs w:val="32"/>
        </w:rPr>
        <w:t>恩诺沙</w:t>
      </w:r>
      <w:proofErr w:type="gramEnd"/>
      <w:r w:rsidRPr="00BC6C8C">
        <w:rPr>
          <w:rFonts w:ascii="仿宋" w:eastAsia="仿宋" w:hAnsi="仿宋" w:cs="仿宋" w:hint="eastAsia"/>
          <w:sz w:val="32"/>
          <w:szCs w:val="32"/>
        </w:rPr>
        <w:t>星</w:t>
      </w:r>
      <w:r>
        <w:rPr>
          <w:rFonts w:ascii="仿宋" w:eastAsia="仿宋" w:hAnsi="仿宋" w:cs="仿宋" w:hint="eastAsia"/>
          <w:sz w:val="32"/>
          <w:szCs w:val="32"/>
        </w:rPr>
        <w:t>，又名恩氟</w:t>
      </w:r>
      <w:proofErr w:type="gramStart"/>
      <w:r>
        <w:rPr>
          <w:rFonts w:ascii="仿宋" w:eastAsia="仿宋" w:hAnsi="仿宋" w:cs="仿宋" w:hint="eastAsia"/>
          <w:sz w:val="32"/>
          <w:szCs w:val="32"/>
        </w:rPr>
        <w:t>奎</w:t>
      </w:r>
      <w:proofErr w:type="gramEnd"/>
      <w:r>
        <w:rPr>
          <w:rFonts w:ascii="仿宋" w:eastAsia="仿宋" w:hAnsi="仿宋" w:cs="仿宋" w:hint="eastAsia"/>
          <w:sz w:val="32"/>
          <w:szCs w:val="32"/>
        </w:rPr>
        <w:t>林羧酸，属于氟</w:t>
      </w:r>
      <w:proofErr w:type="gramStart"/>
      <w:r>
        <w:rPr>
          <w:rFonts w:ascii="仿宋" w:eastAsia="仿宋" w:hAnsi="仿宋" w:cs="仿宋" w:hint="eastAsia"/>
          <w:sz w:val="32"/>
          <w:szCs w:val="32"/>
        </w:rPr>
        <w:t>喹</w:t>
      </w:r>
      <w:proofErr w:type="gramEnd"/>
      <w:r>
        <w:rPr>
          <w:rFonts w:ascii="仿宋" w:eastAsia="仿宋" w:hAnsi="仿宋" w:cs="仿宋" w:hint="eastAsia"/>
          <w:sz w:val="32"/>
          <w:szCs w:val="32"/>
        </w:rPr>
        <w:t>诺酮类药物，是一种化学合成的广谱抑菌剂，</w:t>
      </w:r>
      <w:r>
        <w:rPr>
          <w:rFonts w:eastAsia="仿宋_GB2312" w:hint="eastAsia"/>
          <w:sz w:val="32"/>
          <w:szCs w:val="32"/>
        </w:rPr>
        <w:t>用于治疗动物的皮肤感染、呼吸道感染等，是动物专属用药。</w:t>
      </w:r>
      <w:r>
        <w:rPr>
          <w:rFonts w:ascii="仿宋" w:eastAsia="仿宋" w:hAnsi="仿宋" w:cs="仿宋" w:hint="eastAsia"/>
          <w:sz w:val="32"/>
          <w:szCs w:val="32"/>
        </w:rPr>
        <w:t>《动物性食品中兽药最高</w:t>
      </w:r>
      <w:r>
        <w:rPr>
          <w:rFonts w:ascii="仿宋" w:eastAsia="仿宋" w:hAnsi="仿宋" w:cs="仿宋" w:hint="eastAsia"/>
          <w:sz w:val="32"/>
          <w:szCs w:val="32"/>
        </w:rPr>
        <w:lastRenderedPageBreak/>
        <w:t>残留限量》（农业部第235号公告）</w:t>
      </w:r>
      <w:r w:rsidR="00384298">
        <w:rPr>
          <w:rFonts w:ascii="仿宋" w:eastAsia="仿宋" w:hAnsi="仿宋" w:cs="仿宋" w:hint="eastAsia"/>
          <w:sz w:val="32"/>
          <w:szCs w:val="32"/>
        </w:rPr>
        <w:t>中</w:t>
      </w:r>
      <w:r>
        <w:rPr>
          <w:rFonts w:ascii="仿宋" w:eastAsia="仿宋" w:hAnsi="仿宋" w:cs="仿宋" w:hint="eastAsia"/>
          <w:sz w:val="32"/>
          <w:szCs w:val="32"/>
        </w:rPr>
        <w:t>规定</w:t>
      </w:r>
      <w:r w:rsidR="00384298">
        <w:rPr>
          <w:rFonts w:ascii="仿宋" w:eastAsia="仿宋" w:hAnsi="仿宋" w:cs="仿宋" w:hint="eastAsia"/>
          <w:sz w:val="32"/>
          <w:szCs w:val="32"/>
        </w:rPr>
        <w:t>，</w:t>
      </w:r>
      <w:r w:rsidR="003B0507">
        <w:rPr>
          <w:rFonts w:ascii="仿宋" w:eastAsia="仿宋" w:hAnsi="仿宋" w:cs="仿宋" w:hint="eastAsia"/>
          <w:sz w:val="32"/>
          <w:szCs w:val="32"/>
        </w:rPr>
        <w:t>所有食品动物</w:t>
      </w:r>
      <w:r>
        <w:rPr>
          <w:rFonts w:ascii="仿宋" w:eastAsia="仿宋" w:hAnsi="仿宋" w:cs="仿宋" w:hint="eastAsia"/>
          <w:sz w:val="32"/>
          <w:szCs w:val="32"/>
        </w:rPr>
        <w:t>肌肉</w:t>
      </w:r>
      <w:proofErr w:type="gramStart"/>
      <w:r>
        <w:rPr>
          <w:rFonts w:ascii="仿宋" w:eastAsia="仿宋" w:hAnsi="仿宋" w:cs="仿宋" w:hint="eastAsia"/>
          <w:sz w:val="32"/>
          <w:szCs w:val="32"/>
        </w:rPr>
        <w:t>中恩诺沙</w:t>
      </w:r>
      <w:proofErr w:type="gramEnd"/>
      <w:r>
        <w:rPr>
          <w:rFonts w:ascii="仿宋" w:eastAsia="仿宋" w:hAnsi="仿宋" w:cs="仿宋" w:hint="eastAsia"/>
          <w:sz w:val="32"/>
          <w:szCs w:val="32"/>
        </w:rPr>
        <w:t>星的</w:t>
      </w:r>
      <w:r>
        <w:rPr>
          <w:rFonts w:ascii="仿宋_GB2312" w:eastAsia="仿宋_GB2312" w:hint="eastAsia"/>
          <w:sz w:val="32"/>
          <w:szCs w:val="32"/>
        </w:rPr>
        <w:t>限量值为100 μg/kg</w:t>
      </w:r>
      <w:r w:rsidR="002209C3">
        <w:rPr>
          <w:rFonts w:ascii="仿宋_GB2312" w:eastAsia="仿宋_GB2312" w:hint="eastAsia"/>
          <w:sz w:val="32"/>
          <w:szCs w:val="32"/>
        </w:rPr>
        <w:t>；</w:t>
      </w:r>
      <w:r w:rsidR="007E5DC0">
        <w:rPr>
          <w:rFonts w:ascii="仿宋_GB2312" w:eastAsia="仿宋_GB2312" w:hint="eastAsia"/>
          <w:sz w:val="32"/>
          <w:szCs w:val="32"/>
        </w:rPr>
        <w:t>同时规定</w:t>
      </w:r>
      <w:r w:rsidR="002209C3">
        <w:rPr>
          <w:rFonts w:ascii="仿宋" w:eastAsia="仿宋" w:hAnsi="仿宋" w:cs="仿宋" w:hint="eastAsia"/>
          <w:sz w:val="32"/>
          <w:szCs w:val="32"/>
        </w:rPr>
        <w:t>“禽（产蛋鸡禁用）”，即鸡蛋中不得检出。</w:t>
      </w:r>
    </w:p>
    <w:p w:rsidR="00E67BA4" w:rsidRPr="005E7EC6" w:rsidRDefault="00E67BA4" w:rsidP="00E67BA4">
      <w:pPr>
        <w:pStyle w:val="a6"/>
        <w:numPr>
          <w:ilvl w:val="0"/>
          <w:numId w:val="3"/>
        </w:numPr>
        <w:spacing w:line="580" w:lineRule="exact"/>
        <w:rPr>
          <w:rFonts w:eastAsia="黑体"/>
          <w:color w:val="000000"/>
          <w:sz w:val="32"/>
          <w:szCs w:val="32"/>
        </w:rPr>
      </w:pPr>
      <w:proofErr w:type="gramStart"/>
      <w:r w:rsidRPr="005E7EC6">
        <w:rPr>
          <w:rFonts w:eastAsia="黑体" w:hint="eastAsia"/>
          <w:color w:val="000000"/>
          <w:sz w:val="32"/>
          <w:szCs w:val="32"/>
        </w:rPr>
        <w:t>镉</w:t>
      </w:r>
      <w:proofErr w:type="gramEnd"/>
    </w:p>
    <w:p w:rsidR="00E67BA4" w:rsidRDefault="00E67BA4" w:rsidP="00E67BA4">
      <w:pPr>
        <w:pStyle w:val="a6"/>
        <w:spacing w:line="58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镉</w:t>
      </w:r>
      <w:proofErr w:type="gramEnd"/>
      <w:r>
        <w:rPr>
          <w:rFonts w:ascii="仿宋_GB2312" w:eastAsia="仿宋_GB2312" w:hAnsi="仿宋" w:cs="仿宋" w:hint="eastAsia"/>
          <w:sz w:val="32"/>
          <w:szCs w:val="32"/>
        </w:rPr>
        <w:t>属于重金属污染物指标，联合国环境规划署（DNFP）和国际职业卫生重金属委员会将镉列入重点研究的环境污染物，世界卫生组织（WHO）则将其作为优先研究的食品污染物。《食品安全国家标准 食品中污染物限量》（GB 2762-2017）</w:t>
      </w:r>
      <w:r w:rsidR="00384298">
        <w:rPr>
          <w:rFonts w:ascii="仿宋_GB2312" w:eastAsia="仿宋_GB2312" w:hAnsi="仿宋" w:cs="仿宋" w:hint="eastAsia"/>
          <w:sz w:val="32"/>
          <w:szCs w:val="32"/>
        </w:rPr>
        <w:t>中</w:t>
      </w:r>
      <w:r>
        <w:rPr>
          <w:rFonts w:ascii="仿宋_GB2312" w:eastAsia="仿宋_GB2312" w:hAnsi="仿宋" w:cs="仿宋" w:hint="eastAsia"/>
          <w:sz w:val="32"/>
          <w:szCs w:val="32"/>
        </w:rPr>
        <w:t>规定</w:t>
      </w:r>
      <w:r w:rsidR="00384298">
        <w:rPr>
          <w:rFonts w:ascii="仿宋_GB2312" w:eastAsia="仿宋_GB2312" w:hAnsi="仿宋" w:cs="仿宋" w:hint="eastAsia"/>
          <w:sz w:val="32"/>
          <w:szCs w:val="32"/>
        </w:rPr>
        <w:t>，</w:t>
      </w:r>
      <w:r>
        <w:rPr>
          <w:rFonts w:ascii="仿宋_GB2312" w:eastAsia="仿宋_GB2312" w:hAnsi="仿宋" w:cs="仿宋" w:hint="eastAsia"/>
          <w:sz w:val="32"/>
          <w:szCs w:val="32"/>
        </w:rPr>
        <w:t>鲜、冻水产动物甲壳类中镉的限量值为0.5 mg/kg。</w:t>
      </w:r>
    </w:p>
    <w:p w:rsidR="00E67BA4" w:rsidRDefault="00E67BA4" w:rsidP="00E67BA4">
      <w:pPr>
        <w:pStyle w:val="a6"/>
        <w:numPr>
          <w:ilvl w:val="0"/>
          <w:numId w:val="3"/>
        </w:numPr>
        <w:spacing w:line="580" w:lineRule="exact"/>
        <w:rPr>
          <w:rFonts w:eastAsia="黑体"/>
          <w:color w:val="000000"/>
          <w:sz w:val="32"/>
          <w:szCs w:val="32"/>
        </w:rPr>
      </w:pPr>
      <w:r w:rsidRPr="00AB52C9">
        <w:rPr>
          <w:rFonts w:eastAsia="黑体" w:hint="eastAsia"/>
          <w:color w:val="000000"/>
          <w:sz w:val="32"/>
          <w:szCs w:val="32"/>
        </w:rPr>
        <w:t>大肠菌群</w:t>
      </w:r>
    </w:p>
    <w:p w:rsidR="00E67BA4" w:rsidRPr="00AB52C9" w:rsidRDefault="00E67BA4" w:rsidP="00E67BA4">
      <w:pPr>
        <w:pStyle w:val="a6"/>
        <w:spacing w:line="580" w:lineRule="exact"/>
        <w:ind w:firstLineChars="200" w:firstLine="640"/>
        <w:rPr>
          <w:rFonts w:ascii="仿宋_GB2312" w:eastAsia="仿宋_GB2312" w:hAnsiTheme="minorHAnsi" w:cstheme="minorBidi"/>
          <w:sz w:val="32"/>
          <w:szCs w:val="32"/>
        </w:rPr>
      </w:pPr>
      <w:r w:rsidRPr="00AB52C9">
        <w:rPr>
          <w:rFonts w:ascii="仿宋_GB2312" w:eastAsia="仿宋_GB2312" w:hAnsiTheme="minorHAnsi" w:cstheme="minorBidi"/>
          <w:sz w:val="32"/>
          <w:szCs w:val="32"/>
        </w:rPr>
        <w:t>大肠菌群是国内外通用的食品污染常用指示菌之一。食品中检出大肠菌群，提示被致病菌（如沙门氏菌、志贺氏菌、致病性大肠杆菌）污染的可能性较大。《食品安全国家标准 消毒餐（饮）具》（GB 14934-2016）</w:t>
      </w:r>
      <w:r w:rsidR="00384298">
        <w:rPr>
          <w:rFonts w:ascii="仿宋_GB2312" w:eastAsia="仿宋_GB2312" w:hAnsiTheme="minorHAnsi" w:cstheme="minorBidi" w:hint="eastAsia"/>
          <w:sz w:val="32"/>
          <w:szCs w:val="32"/>
        </w:rPr>
        <w:t>中</w:t>
      </w:r>
      <w:r w:rsidRPr="00AB52C9">
        <w:rPr>
          <w:rFonts w:ascii="仿宋_GB2312" w:eastAsia="仿宋_GB2312" w:hAnsiTheme="minorHAnsi" w:cstheme="minorBidi"/>
          <w:sz w:val="32"/>
          <w:szCs w:val="32"/>
        </w:rPr>
        <w:t>规定</w:t>
      </w:r>
      <w:r w:rsidR="00384298">
        <w:rPr>
          <w:rFonts w:ascii="仿宋_GB2312" w:eastAsia="仿宋_GB2312" w:hAnsiTheme="minorHAnsi" w:cstheme="minorBidi" w:hint="eastAsia"/>
          <w:sz w:val="32"/>
          <w:szCs w:val="32"/>
        </w:rPr>
        <w:t>，</w:t>
      </w:r>
      <w:r w:rsidRPr="00AB52C9">
        <w:rPr>
          <w:rFonts w:ascii="仿宋_GB2312" w:eastAsia="仿宋_GB2312" w:hAnsiTheme="minorHAnsi" w:cstheme="minorBidi"/>
          <w:sz w:val="32"/>
          <w:szCs w:val="32"/>
        </w:rPr>
        <w:t>消毒餐（饮）具中大肠菌群不得检出。</w:t>
      </w:r>
    </w:p>
    <w:p w:rsidR="00BC6C8C" w:rsidRPr="00BC6C8C" w:rsidRDefault="00BC6C8C" w:rsidP="00BC6C8C">
      <w:pPr>
        <w:pStyle w:val="a6"/>
        <w:numPr>
          <w:ilvl w:val="0"/>
          <w:numId w:val="3"/>
        </w:numPr>
        <w:spacing w:line="580" w:lineRule="exact"/>
        <w:rPr>
          <w:rFonts w:eastAsia="黑体"/>
          <w:color w:val="000000"/>
          <w:sz w:val="32"/>
          <w:szCs w:val="32"/>
        </w:rPr>
      </w:pPr>
      <w:r w:rsidRPr="00BC6C8C">
        <w:rPr>
          <w:rFonts w:eastAsia="黑体" w:hint="eastAsia"/>
          <w:color w:val="000000"/>
          <w:sz w:val="32"/>
          <w:szCs w:val="32"/>
        </w:rPr>
        <w:t>吡唑</w:t>
      </w:r>
      <w:proofErr w:type="gramStart"/>
      <w:r w:rsidRPr="00BC6C8C">
        <w:rPr>
          <w:rFonts w:eastAsia="黑体" w:hint="eastAsia"/>
          <w:color w:val="000000"/>
          <w:sz w:val="32"/>
          <w:szCs w:val="32"/>
        </w:rPr>
        <w:t>醚菌酯</w:t>
      </w:r>
      <w:proofErr w:type="gramEnd"/>
    </w:p>
    <w:p w:rsidR="00BC6C8C" w:rsidRDefault="00BC6C8C" w:rsidP="00BC6C8C">
      <w:pPr>
        <w:pStyle w:val="a6"/>
        <w:spacing w:line="580" w:lineRule="exact"/>
        <w:ind w:firstLineChars="200" w:firstLine="640"/>
        <w:rPr>
          <w:rFonts w:ascii="仿宋_GB2312" w:eastAsia="仿宋_GB2312"/>
          <w:bCs/>
          <w:sz w:val="32"/>
          <w:szCs w:val="32"/>
        </w:rPr>
      </w:pPr>
      <w:r>
        <w:rPr>
          <w:rFonts w:ascii="仿宋_GB2312" w:eastAsia="仿宋_GB2312" w:hint="eastAsia"/>
          <w:bCs/>
          <w:sz w:val="32"/>
          <w:szCs w:val="32"/>
        </w:rPr>
        <w:t>吡唑</w:t>
      </w:r>
      <w:proofErr w:type="gramStart"/>
      <w:r>
        <w:rPr>
          <w:rFonts w:ascii="仿宋_GB2312" w:eastAsia="仿宋_GB2312" w:hint="eastAsia"/>
          <w:bCs/>
          <w:sz w:val="32"/>
          <w:szCs w:val="32"/>
        </w:rPr>
        <w:t>醚菌酯</w:t>
      </w:r>
      <w:proofErr w:type="gramEnd"/>
      <w:r>
        <w:rPr>
          <w:rFonts w:ascii="仿宋_GB2312" w:eastAsia="仿宋_GB2312" w:hint="eastAsia"/>
          <w:bCs/>
          <w:sz w:val="32"/>
          <w:szCs w:val="32"/>
        </w:rPr>
        <w:t>为杀菌剂，属于甲氧基胺基甲酸酯类，通过抑制菌株的呼吸作用，进而达到杀菌的效果，可防治香蕉黑星病、叶斑病等。《食品安全国家标准 食品中农药最大残留限量》（GB 2763-2016）</w:t>
      </w:r>
      <w:r w:rsidR="00384298">
        <w:rPr>
          <w:rFonts w:ascii="仿宋_GB2312" w:eastAsia="仿宋_GB2312" w:hint="eastAsia"/>
          <w:bCs/>
          <w:sz w:val="32"/>
          <w:szCs w:val="32"/>
        </w:rPr>
        <w:t>中</w:t>
      </w:r>
      <w:r>
        <w:rPr>
          <w:rFonts w:ascii="仿宋_GB2312" w:eastAsia="仿宋_GB2312" w:hint="eastAsia"/>
          <w:bCs/>
          <w:sz w:val="32"/>
          <w:szCs w:val="32"/>
        </w:rPr>
        <w:t>规定</w:t>
      </w:r>
      <w:r w:rsidR="00384298">
        <w:rPr>
          <w:rFonts w:ascii="仿宋_GB2312" w:eastAsia="仿宋_GB2312" w:hint="eastAsia"/>
          <w:bCs/>
          <w:sz w:val="32"/>
          <w:szCs w:val="32"/>
        </w:rPr>
        <w:t>，</w:t>
      </w:r>
      <w:r>
        <w:rPr>
          <w:rFonts w:ascii="仿宋_GB2312" w:eastAsia="仿宋_GB2312" w:hint="eastAsia"/>
          <w:bCs/>
          <w:sz w:val="32"/>
          <w:szCs w:val="32"/>
        </w:rPr>
        <w:t>香蕉中吡唑</w:t>
      </w:r>
      <w:proofErr w:type="gramStart"/>
      <w:r>
        <w:rPr>
          <w:rFonts w:ascii="仿宋_GB2312" w:eastAsia="仿宋_GB2312" w:hint="eastAsia"/>
          <w:bCs/>
          <w:sz w:val="32"/>
          <w:szCs w:val="32"/>
        </w:rPr>
        <w:t>醚菌酯</w:t>
      </w:r>
      <w:proofErr w:type="gramEnd"/>
      <w:r>
        <w:rPr>
          <w:rFonts w:ascii="仿宋_GB2312" w:eastAsia="仿宋_GB2312" w:hint="eastAsia"/>
          <w:bCs/>
          <w:sz w:val="32"/>
          <w:szCs w:val="32"/>
        </w:rPr>
        <w:t>的最大残留限量为0.02 mg/kg。</w:t>
      </w:r>
    </w:p>
    <w:p w:rsidR="00BC6C8C" w:rsidRPr="002B5A26" w:rsidRDefault="00BC6C8C" w:rsidP="00BC6C8C">
      <w:pPr>
        <w:pStyle w:val="a6"/>
        <w:numPr>
          <w:ilvl w:val="0"/>
          <w:numId w:val="3"/>
        </w:numPr>
        <w:spacing w:line="580" w:lineRule="exact"/>
        <w:rPr>
          <w:rFonts w:eastAsia="黑体"/>
          <w:color w:val="000000"/>
          <w:sz w:val="32"/>
          <w:szCs w:val="32"/>
        </w:rPr>
      </w:pPr>
      <w:proofErr w:type="gramStart"/>
      <w:r w:rsidRPr="002B5A26">
        <w:rPr>
          <w:rFonts w:eastAsia="黑体" w:hint="eastAsia"/>
          <w:color w:val="000000"/>
          <w:sz w:val="32"/>
          <w:szCs w:val="32"/>
        </w:rPr>
        <w:t>腈</w:t>
      </w:r>
      <w:proofErr w:type="gramEnd"/>
      <w:r w:rsidRPr="002B5A26">
        <w:rPr>
          <w:rFonts w:eastAsia="黑体" w:hint="eastAsia"/>
          <w:color w:val="000000"/>
          <w:sz w:val="32"/>
          <w:szCs w:val="32"/>
        </w:rPr>
        <w:t>苯</w:t>
      </w:r>
      <w:proofErr w:type="gramStart"/>
      <w:r w:rsidRPr="002B5A26">
        <w:rPr>
          <w:rFonts w:eastAsia="黑体" w:hint="eastAsia"/>
          <w:color w:val="000000"/>
          <w:sz w:val="32"/>
          <w:szCs w:val="32"/>
        </w:rPr>
        <w:t>唑</w:t>
      </w:r>
      <w:proofErr w:type="gramEnd"/>
    </w:p>
    <w:p w:rsidR="00BC6C8C" w:rsidRDefault="00BC6C8C" w:rsidP="00BC6C8C">
      <w:pPr>
        <w:pStyle w:val="a6"/>
        <w:spacing w:line="580" w:lineRule="exact"/>
        <w:ind w:firstLineChars="200" w:firstLine="640"/>
        <w:rPr>
          <w:rFonts w:ascii="仿宋_GB2312" w:eastAsia="仿宋_GB2312"/>
          <w:bCs/>
          <w:sz w:val="32"/>
          <w:szCs w:val="32"/>
        </w:rPr>
      </w:pPr>
      <w:proofErr w:type="gramStart"/>
      <w:r w:rsidRPr="002B5A26">
        <w:rPr>
          <w:rFonts w:ascii="仿宋_GB2312" w:eastAsia="仿宋_GB2312" w:hint="eastAsia"/>
          <w:bCs/>
          <w:sz w:val="32"/>
          <w:szCs w:val="32"/>
        </w:rPr>
        <w:lastRenderedPageBreak/>
        <w:t>腈</w:t>
      </w:r>
      <w:proofErr w:type="gramEnd"/>
      <w:r w:rsidRPr="002B5A26">
        <w:rPr>
          <w:rFonts w:ascii="仿宋_GB2312" w:eastAsia="仿宋_GB2312" w:hint="eastAsia"/>
          <w:bCs/>
          <w:sz w:val="32"/>
          <w:szCs w:val="32"/>
        </w:rPr>
        <w:t>苯</w:t>
      </w:r>
      <w:proofErr w:type="gramStart"/>
      <w:r w:rsidRPr="002B5A26">
        <w:rPr>
          <w:rFonts w:ascii="仿宋_GB2312" w:eastAsia="仿宋_GB2312" w:hint="eastAsia"/>
          <w:bCs/>
          <w:sz w:val="32"/>
          <w:szCs w:val="32"/>
        </w:rPr>
        <w:t>唑</w:t>
      </w:r>
      <w:proofErr w:type="gramEnd"/>
      <w:r w:rsidRPr="002B5A26">
        <w:rPr>
          <w:rFonts w:ascii="仿宋_GB2312" w:eastAsia="仿宋_GB2312" w:hint="eastAsia"/>
          <w:bCs/>
          <w:sz w:val="32"/>
          <w:szCs w:val="32"/>
        </w:rPr>
        <w:t>是三唑类杀菌剂，能阻止已发芽的病菌孢子侵入作物组织，抑制菌丝的伸长</w:t>
      </w:r>
      <w:r w:rsidR="005E7EC6" w:rsidRPr="002B5A26">
        <w:rPr>
          <w:rFonts w:ascii="仿宋_GB2312" w:eastAsia="仿宋_GB2312" w:hint="eastAsia"/>
          <w:bCs/>
          <w:sz w:val="32"/>
          <w:szCs w:val="32"/>
        </w:rPr>
        <w:t>，可防治香蕉叶斑病等。</w:t>
      </w:r>
      <w:r w:rsidRPr="002B5A26">
        <w:rPr>
          <w:rFonts w:ascii="仿宋_GB2312" w:eastAsia="仿宋_GB2312" w:hint="eastAsia"/>
          <w:bCs/>
          <w:sz w:val="32"/>
          <w:szCs w:val="32"/>
        </w:rPr>
        <w:t>《食品安全国家标准 食品中农药最大残留限量》（GB 2763-2016）</w:t>
      </w:r>
      <w:r w:rsidR="00384298">
        <w:rPr>
          <w:rFonts w:ascii="仿宋_GB2312" w:eastAsia="仿宋_GB2312" w:hint="eastAsia"/>
          <w:bCs/>
          <w:sz w:val="32"/>
          <w:szCs w:val="32"/>
        </w:rPr>
        <w:t>中</w:t>
      </w:r>
      <w:r w:rsidRPr="002B5A26">
        <w:rPr>
          <w:rFonts w:ascii="仿宋_GB2312" w:eastAsia="仿宋_GB2312" w:hint="eastAsia"/>
          <w:bCs/>
          <w:sz w:val="32"/>
          <w:szCs w:val="32"/>
        </w:rPr>
        <w:t>规定</w:t>
      </w:r>
      <w:r w:rsidR="00384298">
        <w:rPr>
          <w:rFonts w:ascii="仿宋_GB2312" w:eastAsia="仿宋_GB2312" w:hint="eastAsia"/>
          <w:bCs/>
          <w:sz w:val="32"/>
          <w:szCs w:val="32"/>
        </w:rPr>
        <w:t>，</w:t>
      </w:r>
      <w:r w:rsidRPr="002B5A26">
        <w:rPr>
          <w:rFonts w:ascii="仿宋_GB2312" w:eastAsia="仿宋_GB2312" w:hint="eastAsia"/>
          <w:bCs/>
          <w:sz w:val="32"/>
          <w:szCs w:val="32"/>
        </w:rPr>
        <w:t>香蕉中</w:t>
      </w:r>
      <w:proofErr w:type="gramStart"/>
      <w:r w:rsidRPr="002B5A26">
        <w:rPr>
          <w:rFonts w:ascii="仿宋_GB2312" w:eastAsia="仿宋_GB2312" w:hint="eastAsia"/>
          <w:bCs/>
          <w:sz w:val="32"/>
          <w:szCs w:val="32"/>
        </w:rPr>
        <w:t>腈</w:t>
      </w:r>
      <w:proofErr w:type="gramEnd"/>
      <w:r w:rsidRPr="002B5A26">
        <w:rPr>
          <w:rFonts w:ascii="仿宋_GB2312" w:eastAsia="仿宋_GB2312" w:hint="eastAsia"/>
          <w:bCs/>
          <w:sz w:val="32"/>
          <w:szCs w:val="32"/>
        </w:rPr>
        <w:t>苯</w:t>
      </w:r>
      <w:proofErr w:type="gramStart"/>
      <w:r w:rsidRPr="002B5A26">
        <w:rPr>
          <w:rFonts w:ascii="仿宋_GB2312" w:eastAsia="仿宋_GB2312" w:hint="eastAsia"/>
          <w:bCs/>
          <w:sz w:val="32"/>
          <w:szCs w:val="32"/>
        </w:rPr>
        <w:t>唑</w:t>
      </w:r>
      <w:proofErr w:type="gramEnd"/>
      <w:r w:rsidRPr="002B5A26">
        <w:rPr>
          <w:rFonts w:ascii="仿宋_GB2312" w:eastAsia="仿宋_GB2312" w:hint="eastAsia"/>
          <w:bCs/>
          <w:sz w:val="32"/>
          <w:szCs w:val="32"/>
        </w:rPr>
        <w:t>的最大残留限量为0.0</w:t>
      </w:r>
      <w:r w:rsidRPr="002B5A26">
        <w:rPr>
          <w:rFonts w:ascii="仿宋_GB2312" w:eastAsia="仿宋_GB2312"/>
          <w:bCs/>
          <w:sz w:val="32"/>
          <w:szCs w:val="32"/>
        </w:rPr>
        <w:t>5</w:t>
      </w:r>
      <w:r w:rsidRPr="002B5A26">
        <w:rPr>
          <w:rFonts w:ascii="仿宋_GB2312" w:eastAsia="仿宋_GB2312" w:hint="eastAsia"/>
          <w:bCs/>
          <w:sz w:val="32"/>
          <w:szCs w:val="32"/>
        </w:rPr>
        <w:t xml:space="preserve"> mg/kg。</w:t>
      </w:r>
    </w:p>
    <w:p w:rsidR="001C084C" w:rsidRPr="001C084C" w:rsidRDefault="003B0507" w:rsidP="001C084C">
      <w:pPr>
        <w:pStyle w:val="a6"/>
        <w:numPr>
          <w:ilvl w:val="0"/>
          <w:numId w:val="3"/>
        </w:numPr>
        <w:spacing w:line="580" w:lineRule="exact"/>
        <w:rPr>
          <w:rFonts w:eastAsia="黑体"/>
          <w:color w:val="000000"/>
          <w:sz w:val="32"/>
          <w:szCs w:val="32"/>
        </w:rPr>
      </w:pPr>
      <w:r>
        <w:rPr>
          <w:rFonts w:eastAsia="黑体" w:hint="eastAsia"/>
          <w:color w:val="000000"/>
          <w:sz w:val="32"/>
          <w:szCs w:val="32"/>
        </w:rPr>
        <w:t>二氧化硫残留量</w:t>
      </w:r>
    </w:p>
    <w:p w:rsidR="001C084C" w:rsidRDefault="003B0507" w:rsidP="00A53A37">
      <w:pPr>
        <w:widowControl/>
        <w:ind w:firstLineChars="200" w:firstLine="640"/>
        <w:rPr>
          <w:rFonts w:ascii="仿宋" w:eastAsia="仿宋" w:hAnsi="仿宋" w:cs="仿宋"/>
          <w:sz w:val="32"/>
          <w:szCs w:val="32"/>
        </w:rPr>
      </w:pPr>
      <w:r>
        <w:rPr>
          <w:rFonts w:ascii="仿宋_GB2312" w:eastAsia="仿宋_GB2312" w:hAnsi="Times New Roman" w:cs="Times New Roman" w:hint="eastAsia"/>
          <w:bCs/>
          <w:sz w:val="32"/>
          <w:szCs w:val="32"/>
        </w:rPr>
        <w:t>二氧化硫</w:t>
      </w:r>
      <w:r w:rsidR="000C3C92" w:rsidRPr="000C3C92">
        <w:rPr>
          <w:rFonts w:ascii="仿宋_GB2312" w:eastAsia="仿宋_GB2312" w:hAnsi="Times New Roman" w:cs="Times New Roman"/>
          <w:bCs/>
          <w:sz w:val="32"/>
          <w:szCs w:val="32"/>
        </w:rPr>
        <w:t>（以及焦亚硫酸钾</w:t>
      </w:r>
      <w:r w:rsidR="000C3C92">
        <w:rPr>
          <w:rFonts w:ascii="仿宋_GB2312" w:eastAsia="仿宋_GB2312" w:hAnsi="Times New Roman" w:cs="Times New Roman" w:hint="eastAsia"/>
          <w:bCs/>
          <w:sz w:val="32"/>
          <w:szCs w:val="32"/>
        </w:rPr>
        <w:t>、</w:t>
      </w:r>
      <w:r w:rsidRPr="001C084C">
        <w:rPr>
          <w:rFonts w:ascii="仿宋_GB2312" w:eastAsia="仿宋_GB2312" w:hAnsi="Times New Roman" w:cs="Times New Roman" w:hint="eastAsia"/>
          <w:bCs/>
          <w:sz w:val="32"/>
          <w:szCs w:val="32"/>
        </w:rPr>
        <w:t>亚硫酸盐</w:t>
      </w:r>
      <w:r w:rsidR="000C3C92" w:rsidRPr="000C3C92">
        <w:rPr>
          <w:rFonts w:ascii="仿宋_GB2312" w:eastAsia="仿宋_GB2312" w:hAnsi="Times New Roman" w:cs="Times New Roman" w:hint="eastAsia"/>
          <w:bCs/>
          <w:sz w:val="32"/>
          <w:szCs w:val="32"/>
        </w:rPr>
        <w:t>等</w:t>
      </w:r>
      <w:r w:rsidR="000C3C92" w:rsidRPr="000C3C92">
        <w:rPr>
          <w:rFonts w:ascii="仿宋_GB2312" w:eastAsia="仿宋_GB2312" w:hAnsi="Times New Roman" w:cs="Times New Roman"/>
          <w:bCs/>
          <w:sz w:val="32"/>
          <w:szCs w:val="32"/>
        </w:rPr>
        <w:t>添加剂）是食品加工中常用的漂白剂和防腐剂，使用后均产生</w:t>
      </w:r>
      <w:r>
        <w:rPr>
          <w:rFonts w:ascii="仿宋_GB2312" w:eastAsia="仿宋_GB2312" w:hAnsi="Times New Roman" w:cs="Times New Roman" w:hint="eastAsia"/>
          <w:bCs/>
          <w:sz w:val="32"/>
          <w:szCs w:val="32"/>
        </w:rPr>
        <w:t>二氧化硫</w:t>
      </w:r>
      <w:r w:rsidR="000C3C92" w:rsidRPr="000C3C92">
        <w:rPr>
          <w:rFonts w:ascii="仿宋_GB2312" w:eastAsia="仿宋_GB2312" w:hAnsi="Times New Roman" w:cs="Times New Roman"/>
          <w:bCs/>
          <w:sz w:val="32"/>
          <w:szCs w:val="32"/>
        </w:rPr>
        <w:t>的残留</w:t>
      </w:r>
      <w:r w:rsidR="001C084C" w:rsidRPr="001C084C">
        <w:rPr>
          <w:rFonts w:ascii="仿宋_GB2312" w:eastAsia="仿宋_GB2312" w:hAnsi="Times New Roman" w:cs="Times New Roman"/>
          <w:bCs/>
          <w:sz w:val="32"/>
          <w:szCs w:val="32"/>
        </w:rPr>
        <w:t>。</w:t>
      </w:r>
      <w:r w:rsidRPr="00384298">
        <w:rPr>
          <w:rFonts w:ascii="仿宋" w:eastAsia="仿宋" w:hAnsi="仿宋" w:cs="仿宋"/>
          <w:sz w:val="32"/>
          <w:szCs w:val="32"/>
        </w:rPr>
        <w:t>《食品安全国家标准食品添加剂使用标准》（GB 2760-2014）</w:t>
      </w:r>
      <w:r w:rsidR="00384298" w:rsidRPr="00384298">
        <w:rPr>
          <w:rFonts w:ascii="仿宋" w:eastAsia="仿宋" w:hAnsi="仿宋" w:cs="仿宋" w:hint="eastAsia"/>
          <w:sz w:val="32"/>
          <w:szCs w:val="32"/>
        </w:rPr>
        <w:t>中</w:t>
      </w:r>
      <w:r w:rsidRPr="00384298">
        <w:rPr>
          <w:rFonts w:ascii="仿宋" w:eastAsia="仿宋" w:hAnsi="仿宋" w:cs="仿宋"/>
          <w:sz w:val="32"/>
          <w:szCs w:val="32"/>
        </w:rPr>
        <w:t>规定</w:t>
      </w:r>
      <w:r w:rsidR="00384298" w:rsidRPr="00384298">
        <w:rPr>
          <w:rFonts w:ascii="仿宋" w:eastAsia="仿宋" w:hAnsi="仿宋" w:cs="仿宋" w:hint="eastAsia"/>
          <w:sz w:val="32"/>
          <w:szCs w:val="32"/>
        </w:rPr>
        <w:t>，</w:t>
      </w:r>
      <w:r w:rsidRPr="00384298">
        <w:rPr>
          <w:rFonts w:ascii="仿宋" w:eastAsia="仿宋" w:hAnsi="仿宋" w:cs="仿宋" w:hint="eastAsia"/>
          <w:sz w:val="32"/>
          <w:szCs w:val="32"/>
        </w:rPr>
        <w:t>腌渍的蔬菜</w:t>
      </w:r>
      <w:r w:rsidRPr="00384298">
        <w:rPr>
          <w:rFonts w:ascii="仿宋" w:eastAsia="仿宋" w:hAnsi="仿宋" w:cs="仿宋"/>
          <w:sz w:val="32"/>
          <w:szCs w:val="32"/>
        </w:rPr>
        <w:t>中</w:t>
      </w:r>
      <w:r w:rsidR="002209C3" w:rsidRPr="00384298">
        <w:rPr>
          <w:rFonts w:ascii="仿宋" w:eastAsia="仿宋" w:hAnsi="仿宋" w:cs="仿宋"/>
          <w:sz w:val="32"/>
          <w:szCs w:val="32"/>
        </w:rPr>
        <w:t>二氧化硫残留量</w:t>
      </w:r>
      <w:r w:rsidR="00384298" w:rsidRPr="00384298">
        <w:rPr>
          <w:rFonts w:ascii="仿宋_GB2312" w:eastAsia="仿宋_GB2312" w:hint="eastAsia"/>
          <w:bCs/>
          <w:sz w:val="32"/>
          <w:szCs w:val="32"/>
        </w:rPr>
        <w:t>不得超过</w:t>
      </w:r>
      <w:r w:rsidR="002209C3" w:rsidRPr="00384298">
        <w:rPr>
          <w:rFonts w:ascii="仿宋_GB2312" w:eastAsia="仿宋_GB2312" w:hint="eastAsia"/>
          <w:bCs/>
          <w:sz w:val="32"/>
          <w:szCs w:val="32"/>
        </w:rPr>
        <w:t>0.</w:t>
      </w:r>
      <w:r w:rsidR="002209C3" w:rsidRPr="00384298">
        <w:rPr>
          <w:rFonts w:ascii="仿宋_GB2312" w:eastAsia="仿宋_GB2312"/>
          <w:bCs/>
          <w:sz w:val="32"/>
          <w:szCs w:val="32"/>
        </w:rPr>
        <w:t>1</w:t>
      </w:r>
      <w:r w:rsidR="002209C3" w:rsidRPr="00384298">
        <w:rPr>
          <w:rFonts w:ascii="仿宋_GB2312" w:eastAsia="仿宋_GB2312" w:hint="eastAsia"/>
          <w:bCs/>
          <w:sz w:val="32"/>
          <w:szCs w:val="32"/>
        </w:rPr>
        <w:t xml:space="preserve"> g/kg</w:t>
      </w:r>
      <w:r w:rsidR="001C084C" w:rsidRPr="00384298">
        <w:rPr>
          <w:rFonts w:ascii="仿宋" w:eastAsia="仿宋" w:hAnsi="仿宋" w:cs="仿宋" w:hint="eastAsia"/>
          <w:sz w:val="32"/>
          <w:szCs w:val="32"/>
        </w:rPr>
        <w:t>。</w:t>
      </w:r>
    </w:p>
    <w:p w:rsidR="002209C3" w:rsidRPr="00CB4882" w:rsidRDefault="002209C3" w:rsidP="002209C3">
      <w:pPr>
        <w:pStyle w:val="a6"/>
        <w:numPr>
          <w:ilvl w:val="0"/>
          <w:numId w:val="3"/>
        </w:numPr>
        <w:spacing w:line="580" w:lineRule="exact"/>
        <w:rPr>
          <w:rFonts w:eastAsia="黑体"/>
          <w:color w:val="000000"/>
          <w:sz w:val="32"/>
          <w:szCs w:val="32"/>
        </w:rPr>
      </w:pPr>
      <w:r w:rsidRPr="00CB4882">
        <w:rPr>
          <w:rFonts w:eastAsia="黑体"/>
          <w:color w:val="000000"/>
          <w:sz w:val="32"/>
          <w:szCs w:val="32"/>
        </w:rPr>
        <w:t>氧氟沙星</w:t>
      </w:r>
    </w:p>
    <w:p w:rsidR="002209C3" w:rsidRPr="002209C3" w:rsidRDefault="002209C3" w:rsidP="002209C3">
      <w:pPr>
        <w:pStyle w:val="a6"/>
        <w:ind w:firstLineChars="200" w:firstLine="640"/>
        <w:rPr>
          <w:rFonts w:ascii="仿宋_GB2312" w:eastAsia="仿宋_GB2312"/>
          <w:bCs/>
          <w:sz w:val="32"/>
          <w:szCs w:val="32"/>
        </w:rPr>
      </w:pPr>
      <w:r w:rsidRPr="00CB4882">
        <w:rPr>
          <w:rFonts w:ascii="仿宋_GB2312" w:eastAsia="仿宋_GB2312"/>
          <w:bCs/>
          <w:sz w:val="32"/>
          <w:szCs w:val="32"/>
        </w:rPr>
        <w:t>氧氟沙</w:t>
      </w:r>
      <w:proofErr w:type="gramStart"/>
      <w:r w:rsidRPr="00CB4882">
        <w:rPr>
          <w:rFonts w:ascii="仿宋_GB2312" w:eastAsia="仿宋_GB2312"/>
          <w:bCs/>
          <w:sz w:val="32"/>
          <w:szCs w:val="32"/>
        </w:rPr>
        <w:t>星属于氟喹</w:t>
      </w:r>
      <w:proofErr w:type="gramEnd"/>
      <w:r w:rsidRPr="00CB4882">
        <w:rPr>
          <w:rFonts w:ascii="仿宋_GB2312" w:eastAsia="仿宋_GB2312"/>
          <w:bCs/>
          <w:sz w:val="32"/>
          <w:szCs w:val="32"/>
        </w:rPr>
        <w:t>诺酮类药物，因抗菌谱广、抗菌活性强曾被广泛用于畜禽细菌性疾病的治疗和预防。《发布在食品动物中停止使用洛美沙星、培氟沙星、氧氟沙星、诺氟沙星4种兽药的决定》（农业部公告第2292号）中规定自2016年12月31日起，停止经营、使用用于食品动物的</w:t>
      </w:r>
      <w:proofErr w:type="gramStart"/>
      <w:r w:rsidRPr="00CB4882">
        <w:rPr>
          <w:rFonts w:ascii="仿宋_GB2312" w:eastAsia="仿宋_GB2312"/>
          <w:bCs/>
          <w:sz w:val="32"/>
          <w:szCs w:val="32"/>
        </w:rPr>
        <w:t>洛美沙</w:t>
      </w:r>
      <w:proofErr w:type="gramEnd"/>
      <w:r w:rsidRPr="00CB4882">
        <w:rPr>
          <w:rFonts w:ascii="仿宋_GB2312" w:eastAsia="仿宋_GB2312"/>
          <w:bCs/>
          <w:sz w:val="32"/>
          <w:szCs w:val="32"/>
        </w:rPr>
        <w:t>星、</w:t>
      </w:r>
      <w:proofErr w:type="gramStart"/>
      <w:r w:rsidRPr="00CB4882">
        <w:rPr>
          <w:rFonts w:ascii="仿宋_GB2312" w:eastAsia="仿宋_GB2312"/>
          <w:bCs/>
          <w:sz w:val="32"/>
          <w:szCs w:val="32"/>
        </w:rPr>
        <w:t>培氟沙</w:t>
      </w:r>
      <w:proofErr w:type="gramEnd"/>
      <w:r w:rsidRPr="00CB4882">
        <w:rPr>
          <w:rFonts w:ascii="仿宋_GB2312" w:eastAsia="仿宋_GB2312"/>
          <w:bCs/>
          <w:sz w:val="32"/>
          <w:szCs w:val="32"/>
        </w:rPr>
        <w:t>星、氧氟沙星、诺氟沙星4种原料药的各种盐、</w:t>
      </w:r>
      <w:proofErr w:type="gramStart"/>
      <w:r w:rsidRPr="00CB4882">
        <w:rPr>
          <w:rFonts w:ascii="仿宋_GB2312" w:eastAsia="仿宋_GB2312"/>
          <w:bCs/>
          <w:sz w:val="32"/>
          <w:szCs w:val="32"/>
        </w:rPr>
        <w:t>酯及其</w:t>
      </w:r>
      <w:proofErr w:type="gramEnd"/>
      <w:r w:rsidRPr="00CB4882">
        <w:rPr>
          <w:rFonts w:ascii="仿宋_GB2312" w:eastAsia="仿宋_GB2312"/>
          <w:bCs/>
          <w:sz w:val="32"/>
          <w:szCs w:val="32"/>
        </w:rPr>
        <w:t>各种制剂。</w:t>
      </w:r>
    </w:p>
    <w:p w:rsidR="00DA1484" w:rsidRPr="005E7EC6" w:rsidRDefault="005E7EC6" w:rsidP="005E7EC6">
      <w:pPr>
        <w:pStyle w:val="a6"/>
        <w:numPr>
          <w:ilvl w:val="0"/>
          <w:numId w:val="3"/>
        </w:numPr>
        <w:spacing w:line="580" w:lineRule="exact"/>
        <w:rPr>
          <w:rFonts w:eastAsia="黑体"/>
          <w:color w:val="000000"/>
          <w:sz w:val="32"/>
          <w:szCs w:val="32"/>
        </w:rPr>
      </w:pPr>
      <w:proofErr w:type="gramStart"/>
      <w:r w:rsidRPr="005E7EC6">
        <w:rPr>
          <w:rFonts w:eastAsia="黑体" w:hint="eastAsia"/>
          <w:color w:val="000000"/>
          <w:sz w:val="32"/>
          <w:szCs w:val="32"/>
        </w:rPr>
        <w:t>腐霉利</w:t>
      </w:r>
      <w:proofErr w:type="gramEnd"/>
    </w:p>
    <w:p w:rsidR="00DA1484" w:rsidRDefault="005E7EC6">
      <w:pPr>
        <w:pStyle w:val="a6"/>
        <w:ind w:firstLineChars="200" w:firstLine="640"/>
        <w:rPr>
          <w:rFonts w:ascii="仿宋_GB2312" w:eastAsia="仿宋_GB2312"/>
          <w:bCs/>
          <w:sz w:val="32"/>
          <w:szCs w:val="32"/>
        </w:rPr>
      </w:pPr>
      <w:proofErr w:type="gramStart"/>
      <w:r>
        <w:rPr>
          <w:rFonts w:ascii="仿宋_GB2312" w:eastAsia="仿宋_GB2312" w:hAnsi="仿宋" w:cs="仿宋" w:hint="eastAsia"/>
          <w:sz w:val="32"/>
          <w:szCs w:val="32"/>
        </w:rPr>
        <w:t>腐霉利属于</w:t>
      </w:r>
      <w:proofErr w:type="gramEnd"/>
      <w:r>
        <w:rPr>
          <w:rFonts w:ascii="仿宋_GB2312" w:eastAsia="仿宋_GB2312" w:hAnsi="仿宋" w:cs="仿宋" w:hint="eastAsia"/>
          <w:sz w:val="32"/>
          <w:szCs w:val="32"/>
        </w:rPr>
        <w:t>低毒性杀菌剂，</w:t>
      </w:r>
      <w:r w:rsidR="00176F93">
        <w:rPr>
          <w:rFonts w:eastAsia="仿宋_GB2312" w:hint="eastAsia"/>
          <w:sz w:val="32"/>
          <w:szCs w:val="32"/>
        </w:rPr>
        <w:t>主要用于果树、蔬菜作物的灰霉病、菌核病、褐腐病防治。</w:t>
      </w:r>
      <w:r>
        <w:rPr>
          <w:rFonts w:ascii="仿宋_GB2312" w:eastAsia="仿宋_GB2312" w:hint="eastAsia"/>
          <w:bCs/>
          <w:sz w:val="32"/>
          <w:szCs w:val="32"/>
        </w:rPr>
        <w:t>《食品安全国家标准 食品中农药最大残留限量》（GB 2763-2016）</w:t>
      </w:r>
      <w:r w:rsidR="00384298">
        <w:rPr>
          <w:rFonts w:ascii="仿宋_GB2312" w:eastAsia="仿宋_GB2312" w:hint="eastAsia"/>
          <w:bCs/>
          <w:sz w:val="32"/>
          <w:szCs w:val="32"/>
        </w:rPr>
        <w:t>中</w:t>
      </w:r>
      <w:r>
        <w:rPr>
          <w:rFonts w:ascii="仿宋_GB2312" w:eastAsia="仿宋_GB2312" w:hint="eastAsia"/>
          <w:bCs/>
          <w:sz w:val="32"/>
          <w:szCs w:val="32"/>
        </w:rPr>
        <w:t>规定，韭菜</w:t>
      </w:r>
      <w:proofErr w:type="gramStart"/>
      <w:r>
        <w:rPr>
          <w:rFonts w:ascii="仿宋_GB2312" w:eastAsia="仿宋_GB2312" w:hint="eastAsia"/>
          <w:bCs/>
          <w:sz w:val="32"/>
          <w:szCs w:val="32"/>
        </w:rPr>
        <w:t>中腐</w:t>
      </w:r>
      <w:r>
        <w:rPr>
          <w:rFonts w:ascii="仿宋_GB2312" w:eastAsia="仿宋_GB2312" w:hint="eastAsia"/>
          <w:bCs/>
          <w:sz w:val="32"/>
          <w:szCs w:val="32"/>
        </w:rPr>
        <w:lastRenderedPageBreak/>
        <w:t>霉利</w:t>
      </w:r>
      <w:proofErr w:type="gramEnd"/>
      <w:r>
        <w:rPr>
          <w:rFonts w:ascii="仿宋_GB2312" w:eastAsia="仿宋_GB2312" w:hint="eastAsia"/>
          <w:bCs/>
          <w:sz w:val="32"/>
          <w:szCs w:val="32"/>
        </w:rPr>
        <w:t>的最大残留限量为0.2 mg/kg。</w:t>
      </w:r>
    </w:p>
    <w:p w:rsidR="000A2EEF" w:rsidRPr="00557B9A" w:rsidRDefault="000A2EEF" w:rsidP="00557B9A">
      <w:pPr>
        <w:pStyle w:val="a6"/>
        <w:numPr>
          <w:ilvl w:val="0"/>
          <w:numId w:val="3"/>
        </w:numPr>
        <w:spacing w:line="580" w:lineRule="exact"/>
        <w:rPr>
          <w:rFonts w:eastAsia="黑体"/>
          <w:color w:val="000000"/>
          <w:sz w:val="32"/>
          <w:szCs w:val="32"/>
        </w:rPr>
      </w:pPr>
      <w:r w:rsidRPr="00557B9A">
        <w:rPr>
          <w:rFonts w:eastAsia="黑体" w:hint="eastAsia"/>
          <w:color w:val="000000"/>
          <w:sz w:val="32"/>
          <w:szCs w:val="32"/>
        </w:rPr>
        <w:t>氰化物</w:t>
      </w:r>
    </w:p>
    <w:p w:rsidR="00557B9A" w:rsidRPr="00F53E84" w:rsidRDefault="00F53E84" w:rsidP="00F53E84">
      <w:pPr>
        <w:pStyle w:val="a6"/>
        <w:ind w:firstLineChars="200" w:firstLine="640"/>
        <w:rPr>
          <w:rFonts w:ascii="仿宋_GB2312" w:eastAsia="仿宋_GB2312" w:hAnsi="仿宋" w:cs="仿宋"/>
          <w:sz w:val="32"/>
          <w:szCs w:val="32"/>
        </w:rPr>
      </w:pPr>
      <w:r w:rsidRPr="00F53E84">
        <w:rPr>
          <w:rFonts w:ascii="仿宋_GB2312" w:eastAsia="仿宋_GB2312" w:hAnsi="仿宋" w:cs="仿宋" w:hint="eastAsia"/>
          <w:sz w:val="32"/>
          <w:szCs w:val="32"/>
        </w:rPr>
        <w:t>氰化物是白酒中一项重要安全指标，《食品安全国家标准蒸馏酒及其配制酒》（GB 2757—2012）规定蒸馏酒氰化物指标应不超过8mg/kg(100%酒精度折算)。白酒中氰化物超标对人体有毒有害，是生产者直接使用不符合规定的原料加工或是生产工艺去除氰化物不彻底造成。</w:t>
      </w:r>
    </w:p>
    <w:p w:rsidR="000A2EEF" w:rsidRPr="000A2EEF" w:rsidRDefault="000A2EEF" w:rsidP="000A2EEF">
      <w:pPr>
        <w:pStyle w:val="a6"/>
        <w:ind w:firstLineChars="200" w:firstLine="640"/>
        <w:rPr>
          <w:rFonts w:ascii="仿宋_GB2312" w:eastAsia="仿宋_GB2312"/>
          <w:bCs/>
          <w:sz w:val="32"/>
          <w:szCs w:val="32"/>
        </w:rPr>
      </w:pPr>
    </w:p>
    <w:p w:rsidR="000A2EEF" w:rsidRPr="000A2EEF" w:rsidRDefault="000A2EEF">
      <w:pPr>
        <w:pStyle w:val="a6"/>
        <w:ind w:firstLineChars="200" w:firstLine="640"/>
        <w:rPr>
          <w:rFonts w:ascii="仿宋_GB2312" w:eastAsia="仿宋_GB2312"/>
          <w:bCs/>
          <w:sz w:val="32"/>
          <w:szCs w:val="32"/>
        </w:rPr>
      </w:pPr>
    </w:p>
    <w:p w:rsidR="00DA1484" w:rsidRDefault="00DA1484">
      <w:pPr>
        <w:spacing w:line="640" w:lineRule="exact"/>
        <w:rPr>
          <w:rFonts w:ascii="仿宋_GB2312" w:eastAsia="仿宋_GB2312" w:hAnsi="仿宋" w:cs="仿宋"/>
          <w:sz w:val="32"/>
          <w:szCs w:val="32"/>
        </w:rPr>
      </w:pPr>
    </w:p>
    <w:sectPr w:rsidR="00DA1484" w:rsidSect="006A09C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A2" w:rsidRDefault="00EC76A2" w:rsidP="00E32844">
      <w:r>
        <w:separator/>
      </w:r>
    </w:p>
  </w:endnote>
  <w:endnote w:type="continuationSeparator" w:id="0">
    <w:p w:rsidR="00EC76A2" w:rsidRDefault="00EC76A2" w:rsidP="00E3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C8" w:rsidRDefault="006A09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0025"/>
      <w:docPartObj>
        <w:docPartGallery w:val="Page Numbers (Bottom of Page)"/>
        <w:docPartUnique/>
      </w:docPartObj>
    </w:sdtPr>
    <w:sdtContent>
      <w:bookmarkStart w:id="0" w:name="_GoBack" w:displacedByCustomXml="prev"/>
      <w:bookmarkEnd w:id="0" w:displacedByCustomXml="prev"/>
      <w:p w:rsidR="006A09C8" w:rsidRDefault="006A09C8">
        <w:pPr>
          <w:pStyle w:val="a4"/>
          <w:jc w:val="center"/>
        </w:pPr>
        <w:r w:rsidRPr="006A09C8">
          <w:rPr>
            <w:rFonts w:asciiTheme="majorEastAsia" w:eastAsiaTheme="majorEastAsia" w:hAnsiTheme="majorEastAsia"/>
            <w:sz w:val="28"/>
            <w:szCs w:val="28"/>
          </w:rPr>
          <w:fldChar w:fldCharType="begin"/>
        </w:r>
        <w:r w:rsidRPr="006A09C8">
          <w:rPr>
            <w:rFonts w:asciiTheme="majorEastAsia" w:eastAsiaTheme="majorEastAsia" w:hAnsiTheme="majorEastAsia"/>
            <w:sz w:val="28"/>
            <w:szCs w:val="28"/>
          </w:rPr>
          <w:instrText>PAGE   \* MERGEFORMAT</w:instrText>
        </w:r>
        <w:r w:rsidRPr="006A09C8">
          <w:rPr>
            <w:rFonts w:asciiTheme="majorEastAsia" w:eastAsiaTheme="majorEastAsia" w:hAnsiTheme="majorEastAsia"/>
            <w:sz w:val="28"/>
            <w:szCs w:val="28"/>
          </w:rPr>
          <w:fldChar w:fldCharType="separate"/>
        </w:r>
        <w:r w:rsidRPr="006A09C8">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6A09C8">
          <w:rPr>
            <w:rFonts w:asciiTheme="majorEastAsia" w:eastAsiaTheme="majorEastAsia" w:hAnsiTheme="majorEastAsia"/>
            <w:sz w:val="28"/>
            <w:szCs w:val="28"/>
          </w:rPr>
          <w:fldChar w:fldCharType="end"/>
        </w:r>
      </w:p>
    </w:sdtContent>
  </w:sdt>
  <w:p w:rsidR="006A09C8" w:rsidRDefault="006A09C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C8" w:rsidRDefault="006A09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A2" w:rsidRDefault="00EC76A2" w:rsidP="00E32844">
      <w:r>
        <w:separator/>
      </w:r>
    </w:p>
  </w:footnote>
  <w:footnote w:type="continuationSeparator" w:id="0">
    <w:p w:rsidR="00EC76A2" w:rsidRDefault="00EC76A2" w:rsidP="00E32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C8" w:rsidRDefault="006A09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C8" w:rsidRDefault="006A09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C8" w:rsidRDefault="006A09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283A"/>
    <w:multiLevelType w:val="hybridMultilevel"/>
    <w:tmpl w:val="D444D6E0"/>
    <w:lvl w:ilvl="0" w:tplc="4DE834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FB7068A"/>
    <w:multiLevelType w:val="hybridMultilevel"/>
    <w:tmpl w:val="0E38CAD8"/>
    <w:lvl w:ilvl="0" w:tplc="B3E013C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E251711"/>
    <w:multiLevelType w:val="singleLevel"/>
    <w:tmpl w:val="5E251711"/>
    <w:lvl w:ilvl="0">
      <w:start w:val="4"/>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45"/>
    <w:rsid w:val="00082C9C"/>
    <w:rsid w:val="00087DB9"/>
    <w:rsid w:val="000A0EB8"/>
    <w:rsid w:val="000A2EEF"/>
    <w:rsid w:val="000C3C92"/>
    <w:rsid w:val="000F7D55"/>
    <w:rsid w:val="00115D71"/>
    <w:rsid w:val="0016657F"/>
    <w:rsid w:val="00176F93"/>
    <w:rsid w:val="001B4234"/>
    <w:rsid w:val="001C084C"/>
    <w:rsid w:val="00203CEF"/>
    <w:rsid w:val="00210759"/>
    <w:rsid w:val="002209C3"/>
    <w:rsid w:val="00227C98"/>
    <w:rsid w:val="00287106"/>
    <w:rsid w:val="002B5A26"/>
    <w:rsid w:val="002D4079"/>
    <w:rsid w:val="002F1403"/>
    <w:rsid w:val="00320337"/>
    <w:rsid w:val="00335654"/>
    <w:rsid w:val="00384298"/>
    <w:rsid w:val="00385653"/>
    <w:rsid w:val="003B0507"/>
    <w:rsid w:val="004012A2"/>
    <w:rsid w:val="00430E21"/>
    <w:rsid w:val="00446771"/>
    <w:rsid w:val="00475C35"/>
    <w:rsid w:val="00490F04"/>
    <w:rsid w:val="00495F06"/>
    <w:rsid w:val="004A7B13"/>
    <w:rsid w:val="00507310"/>
    <w:rsid w:val="00524DAE"/>
    <w:rsid w:val="005437A0"/>
    <w:rsid w:val="00557B9A"/>
    <w:rsid w:val="00580A7E"/>
    <w:rsid w:val="00585877"/>
    <w:rsid w:val="005A532E"/>
    <w:rsid w:val="005C3B9C"/>
    <w:rsid w:val="005E26BC"/>
    <w:rsid w:val="005E4129"/>
    <w:rsid w:val="005E7EC6"/>
    <w:rsid w:val="005F2ABB"/>
    <w:rsid w:val="0065262F"/>
    <w:rsid w:val="00660E64"/>
    <w:rsid w:val="00686D3D"/>
    <w:rsid w:val="006A09C8"/>
    <w:rsid w:val="007046E5"/>
    <w:rsid w:val="007442C1"/>
    <w:rsid w:val="00762757"/>
    <w:rsid w:val="0076723A"/>
    <w:rsid w:val="007771CD"/>
    <w:rsid w:val="007955BC"/>
    <w:rsid w:val="007A6867"/>
    <w:rsid w:val="007E5DC0"/>
    <w:rsid w:val="00827383"/>
    <w:rsid w:val="00830ABC"/>
    <w:rsid w:val="00853C2D"/>
    <w:rsid w:val="00877733"/>
    <w:rsid w:val="008C2B4D"/>
    <w:rsid w:val="00903A9D"/>
    <w:rsid w:val="00911DEC"/>
    <w:rsid w:val="00916DDB"/>
    <w:rsid w:val="00923D48"/>
    <w:rsid w:val="0093237C"/>
    <w:rsid w:val="00941AB8"/>
    <w:rsid w:val="00984FED"/>
    <w:rsid w:val="009C7045"/>
    <w:rsid w:val="00A007B4"/>
    <w:rsid w:val="00A40680"/>
    <w:rsid w:val="00A53A37"/>
    <w:rsid w:val="00A85D79"/>
    <w:rsid w:val="00A9410C"/>
    <w:rsid w:val="00AB52C9"/>
    <w:rsid w:val="00B16DD3"/>
    <w:rsid w:val="00B65241"/>
    <w:rsid w:val="00B87DF6"/>
    <w:rsid w:val="00BA7A5C"/>
    <w:rsid w:val="00BC6C8C"/>
    <w:rsid w:val="00C91D58"/>
    <w:rsid w:val="00C92AC2"/>
    <w:rsid w:val="00CA542D"/>
    <w:rsid w:val="00CA6E01"/>
    <w:rsid w:val="00CC4DEC"/>
    <w:rsid w:val="00CE074F"/>
    <w:rsid w:val="00D67F5E"/>
    <w:rsid w:val="00D70BCE"/>
    <w:rsid w:val="00D70DCF"/>
    <w:rsid w:val="00DA1484"/>
    <w:rsid w:val="00DC2436"/>
    <w:rsid w:val="00DE3228"/>
    <w:rsid w:val="00E224EE"/>
    <w:rsid w:val="00E32844"/>
    <w:rsid w:val="00E67BA4"/>
    <w:rsid w:val="00E67F3B"/>
    <w:rsid w:val="00E84511"/>
    <w:rsid w:val="00EC76A2"/>
    <w:rsid w:val="00EE3B7B"/>
    <w:rsid w:val="00F53E84"/>
    <w:rsid w:val="00F76C16"/>
    <w:rsid w:val="00F97CA3"/>
    <w:rsid w:val="00FA014A"/>
    <w:rsid w:val="00FD429A"/>
    <w:rsid w:val="07AE2006"/>
    <w:rsid w:val="09776334"/>
    <w:rsid w:val="13515910"/>
    <w:rsid w:val="14BC6CC4"/>
    <w:rsid w:val="176820C2"/>
    <w:rsid w:val="1775494C"/>
    <w:rsid w:val="1831126E"/>
    <w:rsid w:val="1C2C6E58"/>
    <w:rsid w:val="20827181"/>
    <w:rsid w:val="225C3C81"/>
    <w:rsid w:val="23E97F38"/>
    <w:rsid w:val="281026FA"/>
    <w:rsid w:val="299E2E0B"/>
    <w:rsid w:val="29FC4125"/>
    <w:rsid w:val="2A9E1780"/>
    <w:rsid w:val="32C0209F"/>
    <w:rsid w:val="333B066B"/>
    <w:rsid w:val="33B77259"/>
    <w:rsid w:val="380D2FFA"/>
    <w:rsid w:val="39997C19"/>
    <w:rsid w:val="3E2A1862"/>
    <w:rsid w:val="3E565C74"/>
    <w:rsid w:val="418A341C"/>
    <w:rsid w:val="43647A48"/>
    <w:rsid w:val="439A2AC1"/>
    <w:rsid w:val="465F0FDF"/>
    <w:rsid w:val="49F133DD"/>
    <w:rsid w:val="4B0F4C04"/>
    <w:rsid w:val="4BA13A50"/>
    <w:rsid w:val="4BB3766A"/>
    <w:rsid w:val="4D0714C7"/>
    <w:rsid w:val="53D91CC8"/>
    <w:rsid w:val="5616109A"/>
    <w:rsid w:val="56D62CEE"/>
    <w:rsid w:val="57772CF1"/>
    <w:rsid w:val="58030A90"/>
    <w:rsid w:val="5C6C6636"/>
    <w:rsid w:val="5D0578A1"/>
    <w:rsid w:val="60C1101C"/>
    <w:rsid w:val="61FD7005"/>
    <w:rsid w:val="62830167"/>
    <w:rsid w:val="645402A0"/>
    <w:rsid w:val="64B01203"/>
    <w:rsid w:val="676638DA"/>
    <w:rsid w:val="684E6F14"/>
    <w:rsid w:val="6B0075F0"/>
    <w:rsid w:val="6D17077E"/>
    <w:rsid w:val="6DEC0CF9"/>
    <w:rsid w:val="6EC828CB"/>
    <w:rsid w:val="70771DBB"/>
    <w:rsid w:val="709B67CD"/>
    <w:rsid w:val="74210BA7"/>
    <w:rsid w:val="74BE04FC"/>
    <w:rsid w:val="75ED0473"/>
    <w:rsid w:val="77504EE4"/>
    <w:rsid w:val="78003728"/>
    <w:rsid w:val="7807013D"/>
    <w:rsid w:val="78997A7C"/>
    <w:rsid w:val="7B0559CF"/>
    <w:rsid w:val="7C7452C5"/>
    <w:rsid w:val="7E8258AE"/>
    <w:rsid w:val="7F240109"/>
    <w:rsid w:val="7FD5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rFonts w:ascii="Times New Roman" w:eastAsia="宋体" w:hAnsi="Times New Roman" w:cs="Times New Roman"/>
      <w:sz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rFonts w:cs="宋体"/>
      <w:kern w:val="0"/>
      <w:szCs w:val="21"/>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unhideWhenUsed/>
    <w:qFormat/>
    <w:pPr>
      <w:ind w:firstLineChars="200" w:firstLine="420"/>
    </w:pPr>
  </w:style>
  <w:style w:type="paragraph" w:styleId="a8">
    <w:name w:val="List Paragraph"/>
    <w:basedOn w:val="a"/>
    <w:uiPriority w:val="99"/>
    <w:rsid w:val="00BC6C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rFonts w:ascii="Times New Roman" w:eastAsia="宋体" w:hAnsi="Times New Roman" w:cs="Times New Roman"/>
      <w:sz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rFonts w:cs="宋体"/>
      <w:kern w:val="0"/>
      <w:szCs w:val="21"/>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unhideWhenUsed/>
    <w:qFormat/>
    <w:pPr>
      <w:ind w:firstLineChars="200" w:firstLine="420"/>
    </w:pPr>
  </w:style>
  <w:style w:type="paragraph" w:styleId="a8">
    <w:name w:val="List Paragraph"/>
    <w:basedOn w:val="a"/>
    <w:uiPriority w:val="99"/>
    <w:rsid w:val="00BC6C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6926">
      <w:bodyDiv w:val="1"/>
      <w:marLeft w:val="0"/>
      <w:marRight w:val="0"/>
      <w:marTop w:val="0"/>
      <w:marBottom w:val="0"/>
      <w:divBdr>
        <w:top w:val="none" w:sz="0" w:space="0" w:color="auto"/>
        <w:left w:val="none" w:sz="0" w:space="0" w:color="auto"/>
        <w:bottom w:val="none" w:sz="0" w:space="0" w:color="auto"/>
        <w:right w:val="none" w:sz="0" w:space="0" w:color="auto"/>
      </w:divBdr>
    </w:div>
    <w:div w:id="601839083">
      <w:bodyDiv w:val="1"/>
      <w:marLeft w:val="0"/>
      <w:marRight w:val="0"/>
      <w:marTop w:val="0"/>
      <w:marBottom w:val="0"/>
      <w:divBdr>
        <w:top w:val="none" w:sz="0" w:space="0" w:color="auto"/>
        <w:left w:val="none" w:sz="0" w:space="0" w:color="auto"/>
        <w:bottom w:val="none" w:sz="0" w:space="0" w:color="auto"/>
        <w:right w:val="none" w:sz="0" w:space="0" w:color="auto"/>
      </w:divBdr>
    </w:div>
    <w:div w:id="1277444146">
      <w:bodyDiv w:val="1"/>
      <w:marLeft w:val="0"/>
      <w:marRight w:val="0"/>
      <w:marTop w:val="0"/>
      <w:marBottom w:val="0"/>
      <w:divBdr>
        <w:top w:val="none" w:sz="0" w:space="0" w:color="auto"/>
        <w:left w:val="none" w:sz="0" w:space="0" w:color="auto"/>
        <w:bottom w:val="none" w:sz="0" w:space="0" w:color="auto"/>
        <w:right w:val="none" w:sz="0" w:space="0" w:color="auto"/>
      </w:divBdr>
    </w:div>
    <w:div w:id="189943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9B59F-C88C-4262-9E9C-906BFE72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236</Words>
  <Characters>1350</Characters>
  <Application>Microsoft Office Word</Application>
  <DocSecurity>0</DocSecurity>
  <Lines>11</Lines>
  <Paragraphs>3</Paragraphs>
  <ScaleCrop>false</ScaleCrop>
  <Company>CFQS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19</cp:revision>
  <dcterms:created xsi:type="dcterms:W3CDTF">2020-01-16T10:17:00Z</dcterms:created>
  <dcterms:modified xsi:type="dcterms:W3CDTF">2020-02-21T10:43:00Z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