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9"/>
          <w:rFonts w:ascii="黑体" w:hAnsi="黑体" w:eastAsia="黑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 w:cs="Times New Roman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jc w:val="both"/>
        <w:textAlignment w:val="baseline"/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9"/>
          <w:rFonts w:ascii="方正小标宋简体" w:hAnsi="Calibri" w:eastAsia="方正小标宋简体" w:cs="Times New Roman"/>
          <w:b/>
          <w:bCs/>
          <w:spacing w:val="-12"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方正小标宋简体" w:hAnsi="Calibri" w:eastAsia="方正小标宋简体" w:cs="Times New Roman"/>
          <w:b/>
          <w:bCs/>
          <w:spacing w:val="-12"/>
          <w:kern w:val="2"/>
          <w:sz w:val="36"/>
          <w:szCs w:val="36"/>
          <w:lang w:val="en-US" w:eastAsia="zh-CN" w:bidi="ar-SA"/>
        </w:rPr>
        <w:t>部分不合格项目的小知识</w:t>
      </w:r>
    </w:p>
    <w:p>
      <w:pPr>
        <w:spacing w:line="600" w:lineRule="exact"/>
        <w:jc w:val="both"/>
        <w:textAlignment w:val="baseline"/>
        <w:rPr>
          <w:rStyle w:val="9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ind w:firstLine="643" w:firstLineChars="200"/>
        <w:jc w:val="left"/>
        <w:textAlignment w:val="baseline"/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一、亚硝酸盐(以亚硝酸钠计)：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是一类无机化合物的总称，主要包括亚硝酸钠和亚硝酸钾。亚硝酸盐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在肉制品加工中有护色、防腐作用，但仅限用于预包装食品。而</w:t>
      </w:r>
      <w:r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  <w:t>《</w:t>
      </w:r>
      <w:r>
        <w:rPr>
          <w:rStyle w:val="9"/>
          <w:rFonts w:hint="eastAsia" w:ascii="宋体" w:hAnsi="宋体"/>
          <w:kern w:val="2"/>
          <w:sz w:val="32"/>
          <w:szCs w:val="32"/>
          <w:lang w:val="en-US" w:eastAsia="zh-CN" w:bidi="ar-SA"/>
        </w:rPr>
        <w:t>中华人民共和国卫生部 国家食品药品监督管理局公告  2012年 第10号》中明确</w:t>
      </w:r>
      <w:r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  <w:t>规定，</w:t>
      </w:r>
      <w:r>
        <w:rPr>
          <w:rStyle w:val="9"/>
          <w:rFonts w:hint="eastAsia" w:ascii="宋体" w:hAnsi="宋体"/>
          <w:kern w:val="2"/>
          <w:sz w:val="32"/>
          <w:szCs w:val="32"/>
          <w:lang w:val="en-US" w:eastAsia="zh-CN" w:bidi="ar-SA"/>
        </w:rPr>
        <w:t>禁止餐饮服务单位使用含亚硝酸盐的食品添加剂</w:t>
      </w:r>
      <w:r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  <w:t>。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饭店销售的酱牛肉检出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亚硝酸盐的原因，可能是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该饭店不了解相关公告要求，或为使</w:t>
      </w:r>
      <w:bookmarkStart w:id="0" w:name="_GoBack"/>
      <w:bookmarkEnd w:id="0"/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酱牛肉具有更好的色泽及延长保质期，而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在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加工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过程中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违规使用亚硝酸盐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。长期食用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亚硝酸盐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超标的食品，对人体健康有一定影响。</w:t>
      </w:r>
    </w:p>
    <w:p>
      <w:pPr>
        <w:spacing w:line="600" w:lineRule="exact"/>
        <w:ind w:firstLine="643" w:firstLineChars="200"/>
        <w:jc w:val="both"/>
        <w:textAlignment w:val="baseline"/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二、腐霉利：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腐霉利是一种低毒内吸性杀菌剂，主要用于蔬菜及果树的灰霉病防治。《食品安全国家标准 食品中农药最大残留限量》（GB 2763-2016）中规定，腐霉利在韭菜中的最大残留限量为0.2 mg/kg。长期食用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腐霉利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残留超标的食品，对人体健康有一定影响。</w:t>
      </w:r>
    </w:p>
    <w:sectPr>
      <w:footerReference r:id="rId3" w:type="default"/>
      <w:pgSz w:w="11906" w:h="16838"/>
      <w:pgMar w:top="1928" w:right="1274" w:bottom="1814" w:left="141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BookMaker5DlFont5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-Identity-H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BookMaker6DlFont6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A4F35D7"/>
    <w:rsid w:val="2F29793D"/>
    <w:rsid w:val="45C57A60"/>
    <w:rsid w:val="580D39D4"/>
    <w:rsid w:val="608D3B5E"/>
    <w:rsid w:val="71436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link w:val="1"/>
    <w:uiPriority w:val="0"/>
    <w:rPr>
      <w:b/>
    </w:rPr>
  </w:style>
  <w:style w:type="character" w:styleId="7">
    <w:name w:val="Hyperlink"/>
    <w:link w:val="1"/>
    <w:qFormat/>
    <w:uiPriority w:val="0"/>
    <w:rPr>
      <w:color w:val="3A3A3A"/>
    </w:rPr>
  </w:style>
  <w:style w:type="paragraph" w:customStyle="1" w:styleId="8">
    <w:name w:val="Heading3"/>
    <w:basedOn w:val="1"/>
    <w:next w:val="1"/>
    <w:qFormat/>
    <w:uiPriority w:val="0"/>
    <w:pPr>
      <w:spacing w:beforeAutospacing="1" w:afterAutospacing="1"/>
      <w:jc w:val="left"/>
      <w:textAlignment w:val="baseline"/>
    </w:pPr>
    <w:rPr>
      <w:rFonts w:ascii="宋体" w:hAnsi="宋体"/>
      <w:b/>
      <w:kern w:val="0"/>
      <w:sz w:val="27"/>
      <w:szCs w:val="27"/>
      <w:lang w:val="en-US" w:eastAsia="zh-CN" w:bidi="ar-SA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qFormat/>
    <w:uiPriority w:val="0"/>
  </w:style>
  <w:style w:type="character" w:customStyle="1" w:styleId="11">
    <w:name w:val="UserStyle_0"/>
    <w:link w:val="1"/>
    <w:qFormat/>
    <w:uiPriority w:val="0"/>
    <w:rPr>
      <w:rFonts w:ascii="FzBookMaker5DlFont5" w:hAnsi="FzBookMaker5DlFont5"/>
      <w:color w:val="000000"/>
      <w:sz w:val="16"/>
      <w:szCs w:val="16"/>
    </w:rPr>
  </w:style>
  <w:style w:type="character" w:customStyle="1" w:styleId="12">
    <w:name w:val="UserStyle_1"/>
    <w:link w:val="1"/>
    <w:qFormat/>
    <w:uiPriority w:val="0"/>
    <w:rPr>
      <w:rFonts w:ascii="SSJ-Identity-H" w:hAnsi="SSJ-Identity-H"/>
      <w:color w:val="000000"/>
      <w:sz w:val="16"/>
      <w:szCs w:val="16"/>
    </w:rPr>
  </w:style>
  <w:style w:type="character" w:customStyle="1" w:styleId="13">
    <w:name w:val="UserStyle_2"/>
    <w:basedOn w:val="9"/>
    <w:link w:val="1"/>
    <w:qFormat/>
    <w:uiPriority w:val="0"/>
  </w:style>
  <w:style w:type="character" w:customStyle="1" w:styleId="14">
    <w:name w:val="UserStyle_3"/>
    <w:link w:val="3"/>
    <w:qFormat/>
    <w:uiPriority w:val="0"/>
    <w:rPr>
      <w:sz w:val="18"/>
      <w:szCs w:val="18"/>
    </w:rPr>
  </w:style>
  <w:style w:type="character" w:customStyle="1" w:styleId="15">
    <w:name w:val="UserStyle_4"/>
    <w:link w:val="1"/>
    <w:qFormat/>
    <w:uiPriority w:val="0"/>
    <w:rPr>
      <w:rFonts w:ascii="FzBookMaker6DlFont60" w:hAnsi="FzBookMaker6DlFont60"/>
      <w:color w:val="000000"/>
      <w:sz w:val="16"/>
      <w:szCs w:val="16"/>
    </w:rPr>
  </w:style>
  <w:style w:type="character" w:customStyle="1" w:styleId="16">
    <w:name w:val="UserStyle_5"/>
    <w:link w:val="2"/>
    <w:qFormat/>
    <w:uiPriority w:val="0"/>
    <w:rPr>
      <w:sz w:val="18"/>
      <w:szCs w:val="18"/>
    </w:rPr>
  </w:style>
  <w:style w:type="character" w:customStyle="1" w:styleId="17">
    <w:name w:val="UserStyle_6"/>
    <w:link w:val="18"/>
    <w:semiHidden/>
    <w:qFormat/>
    <w:uiPriority w:val="0"/>
    <w:rPr>
      <w:sz w:val="18"/>
      <w:szCs w:val="18"/>
    </w:rPr>
  </w:style>
  <w:style w:type="paragraph" w:customStyle="1" w:styleId="18">
    <w:name w:val="Acetate"/>
    <w:basedOn w:val="1"/>
    <w:link w:val="17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color w:val="CC0000"/>
      <w:kern w:val="0"/>
      <w:sz w:val="24"/>
      <w:szCs w:val="22"/>
      <w:u w:val="single"/>
      <w:lang w:val="en-US" w:eastAsia="zh-CN" w:bidi="ar-SA"/>
    </w:rPr>
  </w:style>
  <w:style w:type="paragraph" w:customStyle="1" w:styleId="20">
    <w:name w:val="UserStyle_7"/>
    <w:basedOn w:val="1"/>
    <w:uiPriority w:val="0"/>
    <w:pPr>
      <w:ind w:firstLine="420" w:firstLineChars="200"/>
      <w:jc w:val="both"/>
      <w:textAlignment w:val="baseline"/>
    </w:pPr>
  </w:style>
  <w:style w:type="paragraph" w:customStyle="1" w:styleId="21">
    <w:name w:val="HtmlPre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22">
    <w:name w:val="UserStyle_8"/>
    <w:basedOn w:val="1"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2020-02-24T03:29:00Z</dcterms:created>
  <dc:creator>xuanshihai</dc:creator>
  <cp:lastModifiedBy>轩诗海</cp:lastModifiedBy>
  <dcterms:modified xsi:type="dcterms:W3CDTF">2020-02-24T12:20:38Z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9"/>
          <w:rFonts w:ascii="黑体" w:hAnsi="黑体" w:eastAsia="黑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 w:cs="Times New Roman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jc w:val="both"/>
        <w:textAlignment w:val="baseline"/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9"/>
          <w:rFonts w:ascii="方正小标宋简体" w:hAnsi="Calibri" w:eastAsia="方正小标宋简体" w:cs="Times New Roman"/>
          <w:b/>
          <w:bCs/>
          <w:spacing w:val="-12"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方正小标宋简体" w:hAnsi="Calibri" w:eastAsia="方正小标宋简体" w:cs="Times New Roman"/>
          <w:b/>
          <w:bCs/>
          <w:spacing w:val="-12"/>
          <w:kern w:val="2"/>
          <w:sz w:val="36"/>
          <w:szCs w:val="36"/>
          <w:lang w:val="en-US" w:eastAsia="zh-CN" w:bidi="ar-SA"/>
        </w:rPr>
        <w:t>部分不合格项目的小知识</w:t>
      </w:r>
    </w:p>
    <w:p>
      <w:pPr>
        <w:spacing w:line="600" w:lineRule="exact"/>
        <w:jc w:val="both"/>
        <w:textAlignment w:val="baseline"/>
        <w:rPr>
          <w:rStyle w:val="9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ind w:firstLine="643" w:firstLineChars="200"/>
        <w:jc w:val="left"/>
        <w:textAlignment w:val="baseline"/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一、亚硝酸盐(以亚硝酸钠计)：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是一类无机化合物的总称，主要包括亚硝酸钠和亚硝酸钾。亚硝酸盐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在肉制品加工中有护色、防腐的作用。但</w:t>
      </w:r>
      <w:r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  <w:t>《</w:t>
      </w:r>
      <w:r>
        <w:rPr>
          <w:rStyle w:val="9"/>
          <w:rFonts w:hint="eastAsia" w:ascii="宋体" w:hAnsi="宋体"/>
          <w:kern w:val="2"/>
          <w:sz w:val="32"/>
          <w:szCs w:val="32"/>
          <w:lang w:val="en-US" w:eastAsia="zh-CN" w:bidi="ar-SA"/>
        </w:rPr>
        <w:t>中华人民共和国卫生部 国家食品药品监督管理局公告  2012年 第10号》</w:t>
      </w:r>
      <w:r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  <w:t>规定，</w:t>
      </w:r>
      <w:r>
        <w:rPr>
          <w:rStyle w:val="9"/>
          <w:rFonts w:hint="eastAsia" w:ascii="宋体" w:hAnsi="宋体"/>
          <w:kern w:val="2"/>
          <w:sz w:val="32"/>
          <w:szCs w:val="32"/>
          <w:lang w:val="en-US" w:eastAsia="zh-CN" w:bidi="ar-SA"/>
        </w:rPr>
        <w:t>禁止餐饮服务单位使用食品添加剂亚硝酸钠</w:t>
      </w:r>
      <w:r>
        <w:rPr>
          <w:rStyle w:val="9"/>
          <w:rFonts w:ascii="宋体" w:hAnsi="宋体"/>
          <w:kern w:val="2"/>
          <w:sz w:val="32"/>
          <w:szCs w:val="32"/>
          <w:lang w:val="en-US" w:eastAsia="zh-CN" w:bidi="ar-SA"/>
        </w:rPr>
        <w:t>。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饭店销售的酱牛肉检出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亚硝酸盐的原因，可能是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该饭店不了解相关公告的要求，或为使</w:t>
      </w:r>
      <w:bookmarkStart w:id="0" w:name="_GoBack"/>
      <w:bookmarkEnd w:id="0"/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酱牛肉具有更好的色泽及延长保质期，而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在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加工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过程中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违规使用亚硝酸盐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。长期食用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亚硝酸盐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超标的食品，对人体健康有一定影响。</w:t>
      </w:r>
    </w:p>
    <w:p>
      <w:pPr>
        <w:spacing w:line="600" w:lineRule="exact"/>
        <w:ind w:firstLine="643" w:firstLineChars="200"/>
        <w:jc w:val="both"/>
        <w:textAlignment w:val="baseline"/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二、腐霉利：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腐霉利是一种低毒内吸性杀菌剂，主要用于蔬菜及果树的灰霉病防治。《食品安全国家标准 食品中农药最大残留限量》（GB 2763-2016）中规定，腐霉利在韭菜中的最大残留限量为0.2 mg/kg。长期食用</w:t>
      </w:r>
      <w:r>
        <w:rPr>
          <w:rStyle w:val="9"/>
          <w:rFonts w:hint="eastAsia" w:ascii="宋体" w:hAnsi="宋体"/>
          <w:color w:val="000000"/>
          <w:kern w:val="2"/>
          <w:sz w:val="32"/>
          <w:szCs w:val="32"/>
          <w:lang w:val="en-US" w:eastAsia="zh-CN" w:bidi="ar-SA"/>
        </w:rPr>
        <w:t>腐霉利</w:t>
      </w:r>
      <w:r>
        <w:rPr>
          <w:rStyle w:val="9"/>
          <w:rFonts w:ascii="宋体" w:hAnsi="宋体"/>
          <w:color w:val="000000"/>
          <w:kern w:val="2"/>
          <w:sz w:val="32"/>
          <w:szCs w:val="32"/>
          <w:lang w:val="en-US" w:eastAsia="zh-CN" w:bidi="ar-SA"/>
        </w:rPr>
        <w:t>残留超标的食品，对人体健康有一定影响。</w:t>
      </w:r>
    </w:p>
    <w:sectPr>
      <w:footerReference r:id="rId3" w:type="default"/>
      <w:pgSz w:w="11906" w:h="16838"/>
      <w:pgMar w:top="1928" w:right="1274" w:bottom="1814" w:left="141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treport/opRecord.xml>p_4(4_4,4_10,4_6,4_2);
</file>