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ascii="黑体" w:hAnsi="黑体" w:eastAsia="黑体" w:cs="Arial"/>
          <w:color w:val="auto"/>
          <w:kern w:val="0"/>
          <w:sz w:val="32"/>
          <w:szCs w:val="32"/>
        </w:rPr>
      </w:pPr>
      <w:r>
        <w:rPr>
          <w:rFonts w:hint="eastAsia" w:ascii="黑体" w:hAnsi="黑体" w:eastAsia="黑体" w:cs="Arial"/>
          <w:color w:val="auto"/>
          <w:kern w:val="0"/>
          <w:sz w:val="32"/>
          <w:szCs w:val="32"/>
        </w:rPr>
        <w:t>附件3</w:t>
      </w:r>
    </w:p>
    <w:p>
      <w:pPr>
        <w:spacing w:line="560" w:lineRule="exact"/>
        <w:jc w:val="center"/>
        <w:rPr>
          <w:rFonts w:eastAsia="方正小标宋简体"/>
          <w:color w:val="auto"/>
          <w:spacing w:val="-12"/>
          <w:sz w:val="44"/>
          <w:szCs w:val="44"/>
        </w:rPr>
      </w:pPr>
      <w:r>
        <w:rPr>
          <w:rFonts w:hint="eastAsia" w:eastAsia="方正小标宋简体"/>
          <w:color w:val="auto"/>
          <w:spacing w:val="-12"/>
          <w:sz w:val="44"/>
          <w:szCs w:val="44"/>
        </w:rPr>
        <w:t>部分不合格项目小知识</w:t>
      </w:r>
    </w:p>
    <w:p>
      <w:pPr>
        <w:spacing w:line="560" w:lineRule="exact"/>
        <w:ind w:firstLine="480" w:firstLineChars="200"/>
        <w:rPr>
          <w:rFonts w:ascii="宋体" w:hAnsi="宋体" w:eastAsia="宋体" w:cs="宋体"/>
          <w:color w:val="auto"/>
          <w:kern w:val="0"/>
          <w:sz w:val="24"/>
          <w:szCs w:val="24"/>
        </w:rPr>
      </w:pPr>
    </w:p>
    <w:p>
      <w:pPr>
        <w:spacing w:line="560" w:lineRule="exact"/>
        <w:ind w:firstLine="643" w:firstLineChars="200"/>
        <w:rPr>
          <w:rFonts w:ascii="黑体" w:hAnsi="黑体" w:eastAsia="黑体" w:cs="仿宋_GB2312"/>
          <w:b/>
          <w:color w:val="auto"/>
          <w:sz w:val="32"/>
          <w:szCs w:val="32"/>
        </w:rPr>
      </w:pPr>
      <w:r>
        <w:rPr>
          <w:rFonts w:hint="eastAsia" w:ascii="黑体" w:hAnsi="黑体" w:eastAsia="黑体" w:cs="仿宋_GB2312"/>
          <w:b/>
          <w:color w:val="auto"/>
          <w:sz w:val="32"/>
          <w:szCs w:val="32"/>
        </w:rPr>
        <w:t>一、不合格项目小知识</w:t>
      </w:r>
    </w:p>
    <w:p>
      <w:pPr>
        <w:spacing w:line="560" w:lineRule="exact"/>
        <w:ind w:firstLine="643" w:firstLineChars="200"/>
        <w:rPr>
          <w:rFonts w:ascii="楷体" w:hAnsi="楷体" w:eastAsia="楷体" w:cs="宋体"/>
          <w:b/>
          <w:color w:val="auto"/>
          <w:kern w:val="0"/>
          <w:sz w:val="32"/>
          <w:szCs w:val="32"/>
        </w:rPr>
      </w:pPr>
      <w:r>
        <w:rPr>
          <w:rFonts w:hint="eastAsia" w:ascii="楷体" w:hAnsi="楷体" w:eastAsia="楷体" w:cs="仿宋_GB2312"/>
          <w:b/>
          <w:color w:val="auto"/>
          <w:sz w:val="32"/>
          <w:szCs w:val="32"/>
        </w:rPr>
        <w:t>（一）</w:t>
      </w:r>
      <w:r>
        <w:rPr>
          <w:rFonts w:hint="eastAsia" w:ascii="楷体" w:hAnsi="楷体" w:eastAsia="楷体" w:cs="宋体"/>
          <w:b/>
          <w:color w:val="auto"/>
          <w:kern w:val="0"/>
          <w:sz w:val="32"/>
          <w:szCs w:val="32"/>
        </w:rPr>
        <w:t>脱氢乙酸及其钠盐</w:t>
      </w:r>
    </w:p>
    <w:p>
      <w:pPr>
        <w:spacing w:line="560" w:lineRule="exact"/>
        <w:ind w:firstLine="640" w:firstLineChars="200"/>
        <w:rPr>
          <w:rFonts w:ascii="楷体" w:hAnsi="楷体" w:eastAsia="楷体" w:cs="仿宋_GB2312"/>
          <w:b/>
          <w:color w:val="auto"/>
          <w:sz w:val="32"/>
          <w:szCs w:val="32"/>
        </w:rPr>
      </w:pPr>
      <w:r>
        <w:rPr>
          <w:rFonts w:hint="eastAsia" w:ascii="仿宋" w:hAnsi="仿宋" w:eastAsia="仿宋"/>
          <w:color w:val="auto"/>
          <w:sz w:val="32"/>
          <w:szCs w:val="32"/>
        </w:rPr>
        <w:t>脱氢乙酸及其钠盐由于对霉菌具有较强</w:t>
      </w:r>
      <w:r>
        <w:rPr>
          <w:rFonts w:ascii="仿宋" w:hAnsi="仿宋" w:eastAsia="仿宋"/>
          <w:color w:val="auto"/>
          <w:sz w:val="32"/>
          <w:szCs w:val="32"/>
        </w:rPr>
        <w:t>的抑制作用</w:t>
      </w:r>
      <w:r>
        <w:rPr>
          <w:rFonts w:hint="eastAsia" w:ascii="仿宋" w:hAnsi="仿宋" w:eastAsia="仿宋"/>
          <w:color w:val="auto"/>
          <w:sz w:val="32"/>
          <w:szCs w:val="32"/>
        </w:rPr>
        <w:t>，经常会被添加在食物中作为防腐剂使用</w:t>
      </w:r>
      <w:r>
        <w:rPr>
          <w:rFonts w:ascii="仿宋" w:hAnsi="仿宋" w:eastAsia="仿宋"/>
          <w:color w:val="auto"/>
          <w:sz w:val="32"/>
          <w:szCs w:val="32"/>
        </w:rPr>
        <w:t>。</w:t>
      </w:r>
      <w:r>
        <w:rPr>
          <w:rFonts w:ascii="仿宋" w:hAnsi="仿宋" w:eastAsia="仿宋"/>
          <w:color w:val="auto"/>
          <w:sz w:val="32"/>
          <w:szCs w:val="32"/>
        </w:rPr>
        <w:t>《食品安全国家标准 食品添加剂使用标准》（GB 2760-2014）中规定</w:t>
      </w:r>
      <w:r>
        <w:rPr>
          <w:rFonts w:hint="eastAsia" w:ascii="仿宋" w:hAnsi="仿宋" w:eastAsia="仿宋"/>
          <w:color w:val="auto"/>
          <w:sz w:val="32"/>
          <w:szCs w:val="32"/>
        </w:rPr>
        <w:t>，米粉制品中不得使用</w:t>
      </w:r>
      <w:r>
        <w:rPr>
          <w:rFonts w:ascii="仿宋" w:hAnsi="仿宋" w:eastAsia="仿宋"/>
          <w:color w:val="auto"/>
          <w:sz w:val="32"/>
          <w:szCs w:val="32"/>
        </w:rPr>
        <w:t>脱氢乙酸及其钠盐。</w:t>
      </w:r>
      <w:r>
        <w:rPr>
          <w:rFonts w:hint="eastAsia" w:ascii="仿宋" w:hAnsi="仿宋" w:eastAsia="仿宋"/>
          <w:color w:val="auto"/>
          <w:sz w:val="32"/>
          <w:szCs w:val="32"/>
        </w:rPr>
        <w:t>由于脱氢乙酸可与血浆的白蛋白或组织中蛋白质的胺基结合，食用脱氢乙酸含量超标的食品，会对肝、肾和中枢神经系统造成一定的伤害，特别是老年人、儿童及低免疫力人群。消费者要树立科学、健康的饮食观，在选购食品时切忌盲目追求产品卖相，注意荤素合理搭配、营养均衡。</w:t>
      </w:r>
    </w:p>
    <w:p>
      <w:pPr>
        <w:spacing w:line="560" w:lineRule="exact"/>
        <w:ind w:firstLine="643" w:firstLineChars="200"/>
        <w:rPr>
          <w:rFonts w:ascii="楷体" w:hAnsi="楷体" w:eastAsia="楷体"/>
          <w:b/>
          <w:color w:val="auto"/>
          <w:sz w:val="32"/>
          <w:szCs w:val="32"/>
        </w:rPr>
      </w:pPr>
      <w:r>
        <w:rPr>
          <w:rFonts w:hint="eastAsia" w:ascii="楷体" w:hAnsi="楷体" w:eastAsia="楷体" w:cs="仿宋_GB2312"/>
          <w:b/>
          <w:color w:val="auto"/>
          <w:sz w:val="32"/>
          <w:szCs w:val="32"/>
        </w:rPr>
        <w:t>（二）</w:t>
      </w:r>
      <w:r>
        <w:rPr>
          <w:rFonts w:hint="eastAsia" w:ascii="楷体" w:hAnsi="楷体" w:eastAsia="楷体"/>
          <w:b/>
          <w:color w:val="auto"/>
          <w:sz w:val="32"/>
          <w:szCs w:val="32"/>
        </w:rPr>
        <w:t>铝的残留量</w:t>
      </w:r>
    </w:p>
    <w:p>
      <w:pPr>
        <w:spacing w:line="560" w:lineRule="exact"/>
        <w:ind w:firstLine="640" w:firstLineChars="200"/>
        <w:rPr>
          <w:rFonts w:ascii="楷体" w:hAnsi="楷体" w:eastAsia="楷体" w:cs="仿宋_GB2312"/>
          <w:b/>
          <w:color w:val="auto"/>
          <w:sz w:val="32"/>
          <w:szCs w:val="32"/>
        </w:rPr>
      </w:pPr>
      <w:r>
        <w:rPr>
          <w:rFonts w:hint="eastAsia" w:ascii="仿宋" w:hAnsi="仿宋" w:eastAsia="仿宋" w:cs="仿宋"/>
          <w:color w:val="auto"/>
          <w:sz w:val="32"/>
          <w:szCs w:val="32"/>
        </w:rPr>
        <w:t>铝作为食品添加剂硫酸铝钾的重要成分，经常会添加在食物中作为膨松剂或稳定剂。《食品安全国家标准 食品添加剂使用标准》（GB 2760-2014）中规定，豆类制品中铝的残留量不得超过100mg/kg。铝有一定的慢性毒性，在体内可造成铝的蓄积，轻者会使食欲减退，引起贫血，重者会表现为神经毒性，使人运动失调、记忆力衰退。</w:t>
      </w:r>
    </w:p>
    <w:p>
      <w:pPr>
        <w:spacing w:line="560" w:lineRule="exact"/>
        <w:ind w:firstLine="643" w:firstLineChars="200"/>
        <w:rPr>
          <w:rFonts w:ascii="楷体" w:hAnsi="楷体" w:eastAsia="楷体"/>
          <w:b/>
          <w:color w:val="auto"/>
          <w:sz w:val="32"/>
          <w:szCs w:val="32"/>
        </w:rPr>
      </w:pPr>
      <w:r>
        <w:rPr>
          <w:rFonts w:hint="eastAsia" w:ascii="楷体" w:hAnsi="楷体" w:eastAsia="楷体" w:cs="仿宋_GB2312"/>
          <w:b/>
          <w:color w:val="auto"/>
          <w:sz w:val="32"/>
          <w:szCs w:val="32"/>
        </w:rPr>
        <w:t>（三）</w:t>
      </w:r>
      <w:r>
        <w:rPr>
          <w:rFonts w:ascii="楷体" w:hAnsi="楷体" w:eastAsia="楷体"/>
          <w:b/>
          <w:color w:val="auto"/>
          <w:sz w:val="32"/>
          <w:szCs w:val="32"/>
        </w:rPr>
        <w:t>菌落总数</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菌落总数是指示性微生物指标，并非致病菌指标，主要用来评价食品清洁度，反映食品在生产过程中是否符合卫生要求，一定程度上标志着食品卫生质量的优劣。</w:t>
      </w:r>
      <w:r>
        <w:rPr>
          <w:rFonts w:ascii="仿宋" w:hAnsi="仿宋" w:eastAsia="仿宋"/>
          <w:color w:val="auto"/>
          <w:sz w:val="32"/>
          <w:szCs w:val="32"/>
        </w:rPr>
        <w:t xml:space="preserve">《食品馅料》 </w:t>
      </w:r>
      <w:r>
        <w:rPr>
          <w:rFonts w:hint="eastAsia" w:ascii="仿宋" w:hAnsi="仿宋" w:eastAsia="仿宋"/>
          <w:color w:val="auto"/>
          <w:sz w:val="32"/>
          <w:szCs w:val="32"/>
        </w:rPr>
        <w:t>（</w:t>
      </w:r>
      <w:r>
        <w:rPr>
          <w:rFonts w:ascii="仿宋" w:hAnsi="仿宋" w:eastAsia="仿宋"/>
          <w:color w:val="auto"/>
          <w:sz w:val="32"/>
          <w:szCs w:val="32"/>
        </w:rPr>
        <w:t>GB/T 21270-2007</w:t>
      </w:r>
      <w:r>
        <w:rPr>
          <w:rFonts w:hint="eastAsia" w:ascii="仿宋" w:hAnsi="仿宋" w:eastAsia="仿宋"/>
          <w:color w:val="auto"/>
          <w:sz w:val="32"/>
          <w:szCs w:val="32"/>
        </w:rPr>
        <w:t>）中规定</w:t>
      </w:r>
      <w:r>
        <w:rPr>
          <w:rFonts w:ascii="仿宋" w:hAnsi="仿宋" w:eastAsia="仿宋"/>
          <w:color w:val="auto"/>
          <w:sz w:val="32"/>
          <w:szCs w:val="32"/>
        </w:rPr>
        <w:t>，</w:t>
      </w:r>
      <w:r>
        <w:rPr>
          <w:rFonts w:hint="eastAsia" w:ascii="仿宋" w:hAnsi="仿宋" w:eastAsia="仿宋"/>
          <w:color w:val="auto"/>
          <w:sz w:val="32"/>
          <w:szCs w:val="32"/>
        </w:rPr>
        <w:t>从一批产品中</w:t>
      </w:r>
      <w:r>
        <w:rPr>
          <w:rFonts w:ascii="仿宋" w:hAnsi="仿宋" w:eastAsia="仿宋"/>
          <w:color w:val="auto"/>
          <w:sz w:val="32"/>
          <w:szCs w:val="32"/>
        </w:rPr>
        <w:t>采集</w:t>
      </w:r>
      <w:r>
        <w:rPr>
          <w:rFonts w:hint="eastAsia" w:ascii="仿宋" w:hAnsi="仿宋" w:eastAsia="仿宋"/>
          <w:color w:val="auto"/>
          <w:sz w:val="32"/>
          <w:szCs w:val="32"/>
        </w:rPr>
        <w:t>5个样品</w:t>
      </w:r>
      <w:r>
        <w:rPr>
          <w:rFonts w:ascii="仿宋" w:hAnsi="仿宋" w:eastAsia="仿宋"/>
          <w:color w:val="auto"/>
          <w:sz w:val="32"/>
          <w:szCs w:val="32"/>
        </w:rPr>
        <w:t>，若</w:t>
      </w:r>
      <w:r>
        <w:rPr>
          <w:rFonts w:hint="eastAsia" w:ascii="仿宋" w:hAnsi="仿宋" w:eastAsia="仿宋"/>
          <w:color w:val="auto"/>
          <w:sz w:val="32"/>
          <w:szCs w:val="32"/>
        </w:rPr>
        <w:t>5个样品</w:t>
      </w:r>
      <w:r>
        <w:rPr>
          <w:rFonts w:ascii="仿宋" w:hAnsi="仿宋" w:eastAsia="仿宋"/>
          <w:color w:val="auto"/>
          <w:sz w:val="32"/>
          <w:szCs w:val="32"/>
        </w:rPr>
        <w:t>的检验结果均小于或等于</w:t>
      </w:r>
      <w:r>
        <w:rPr>
          <w:rFonts w:hint="eastAsia" w:ascii="仿宋" w:hAnsi="仿宋" w:eastAsia="仿宋"/>
          <w:color w:val="auto"/>
          <w:sz w:val="32"/>
          <w:szCs w:val="32"/>
        </w:rPr>
        <w:t>m值</w:t>
      </w:r>
      <w:r>
        <w:rPr>
          <w:rFonts w:ascii="仿宋" w:hAnsi="仿宋" w:eastAsia="仿宋"/>
          <w:color w:val="auto"/>
          <w:sz w:val="32"/>
          <w:szCs w:val="32"/>
        </w:rPr>
        <w:t>（</w:t>
      </w:r>
      <w:r>
        <w:rPr>
          <w:rFonts w:hint="eastAsia" w:ascii="仿宋" w:hAnsi="仿宋" w:eastAsia="仿宋"/>
          <w:color w:val="auto"/>
          <w:sz w:val="32"/>
          <w:szCs w:val="32"/>
        </w:rPr>
        <w:t>≤</w:t>
      </w:r>
      <w:r>
        <w:rPr>
          <w:rFonts w:ascii="仿宋" w:hAnsi="仿宋" w:eastAsia="仿宋"/>
          <w:color w:val="auto"/>
          <w:sz w:val="32"/>
          <w:szCs w:val="32"/>
        </w:rPr>
        <w:t>10</w:t>
      </w:r>
      <w:r>
        <w:rPr>
          <w:rFonts w:ascii="仿宋" w:hAnsi="仿宋" w:eastAsia="仿宋"/>
          <w:color w:val="auto"/>
          <w:sz w:val="32"/>
          <w:szCs w:val="32"/>
          <w:vertAlign w:val="superscript"/>
        </w:rPr>
        <w:t>4</w:t>
      </w:r>
      <w:r>
        <w:rPr>
          <w:rFonts w:ascii="仿宋" w:hAnsi="仿宋" w:eastAsia="仿宋"/>
          <w:color w:val="auto"/>
          <w:sz w:val="32"/>
          <w:szCs w:val="32"/>
        </w:rPr>
        <w:t>CFU/g）</w:t>
      </w:r>
      <w:r>
        <w:rPr>
          <w:rFonts w:hint="eastAsia" w:ascii="仿宋" w:hAnsi="仿宋" w:eastAsia="仿宋"/>
          <w:color w:val="auto"/>
          <w:sz w:val="32"/>
          <w:szCs w:val="32"/>
        </w:rPr>
        <w:t>，</w:t>
      </w:r>
      <w:r>
        <w:rPr>
          <w:rFonts w:ascii="仿宋" w:hAnsi="仿宋" w:eastAsia="仿宋"/>
          <w:color w:val="auto"/>
          <w:sz w:val="32"/>
          <w:szCs w:val="32"/>
        </w:rPr>
        <w:t>则这种情况是允许的；</w:t>
      </w:r>
      <w:r>
        <w:rPr>
          <w:rFonts w:hint="eastAsia" w:ascii="仿宋" w:hAnsi="仿宋" w:eastAsia="仿宋"/>
          <w:color w:val="auto"/>
          <w:sz w:val="32"/>
          <w:szCs w:val="32"/>
        </w:rPr>
        <w:t>若≤</w:t>
      </w:r>
      <w:r>
        <w:rPr>
          <w:rFonts w:ascii="仿宋" w:hAnsi="仿宋" w:eastAsia="仿宋"/>
          <w:color w:val="auto"/>
          <w:sz w:val="32"/>
          <w:szCs w:val="32"/>
        </w:rPr>
        <w:t>2</w:t>
      </w:r>
      <w:r>
        <w:rPr>
          <w:rFonts w:hint="eastAsia" w:ascii="仿宋" w:hAnsi="仿宋" w:eastAsia="仿宋"/>
          <w:color w:val="auto"/>
          <w:sz w:val="32"/>
          <w:szCs w:val="32"/>
        </w:rPr>
        <w:t>个</w:t>
      </w:r>
      <w:r>
        <w:rPr>
          <w:rFonts w:ascii="仿宋" w:hAnsi="仿宋" w:eastAsia="仿宋"/>
          <w:color w:val="auto"/>
          <w:sz w:val="32"/>
          <w:szCs w:val="32"/>
        </w:rPr>
        <w:t>样品的结果</w:t>
      </w:r>
      <w:r>
        <w:rPr>
          <w:rFonts w:hint="eastAsia" w:ascii="仿宋" w:hAnsi="仿宋" w:eastAsia="仿宋"/>
          <w:color w:val="auto"/>
          <w:sz w:val="32"/>
          <w:szCs w:val="32"/>
        </w:rPr>
        <w:t>（X）位于m值</w:t>
      </w:r>
      <w:r>
        <w:rPr>
          <w:rFonts w:ascii="仿宋" w:hAnsi="仿宋" w:eastAsia="仿宋"/>
          <w:color w:val="auto"/>
          <w:sz w:val="32"/>
          <w:szCs w:val="32"/>
        </w:rPr>
        <w:t>和</w:t>
      </w:r>
      <w:r>
        <w:rPr>
          <w:rFonts w:hint="eastAsia" w:ascii="仿宋" w:hAnsi="仿宋" w:eastAsia="仿宋"/>
          <w:color w:val="auto"/>
          <w:sz w:val="32"/>
          <w:szCs w:val="32"/>
        </w:rPr>
        <w:t>M值</w:t>
      </w:r>
      <w:r>
        <w:rPr>
          <w:rFonts w:ascii="仿宋" w:hAnsi="仿宋" w:eastAsia="仿宋"/>
          <w:color w:val="auto"/>
          <w:sz w:val="32"/>
          <w:szCs w:val="32"/>
        </w:rPr>
        <w:t>之间（10</w:t>
      </w:r>
      <w:r>
        <w:rPr>
          <w:rFonts w:ascii="仿宋" w:hAnsi="仿宋" w:eastAsia="仿宋"/>
          <w:color w:val="auto"/>
          <w:sz w:val="32"/>
          <w:szCs w:val="32"/>
          <w:vertAlign w:val="superscript"/>
        </w:rPr>
        <w:t>4</w:t>
      </w:r>
      <w:r>
        <w:rPr>
          <w:rFonts w:hint="eastAsia" w:ascii="仿宋" w:hAnsi="仿宋" w:eastAsia="仿宋"/>
          <w:color w:val="auto"/>
          <w:sz w:val="32"/>
          <w:szCs w:val="32"/>
        </w:rPr>
        <w:t>CFU/g＜X≤</w:t>
      </w:r>
      <w:r>
        <w:rPr>
          <w:rFonts w:ascii="仿宋" w:hAnsi="仿宋" w:eastAsia="仿宋"/>
          <w:color w:val="auto"/>
          <w:sz w:val="32"/>
          <w:szCs w:val="32"/>
        </w:rPr>
        <w:t>10</w:t>
      </w:r>
      <w:r>
        <w:rPr>
          <w:rFonts w:ascii="仿宋" w:hAnsi="仿宋" w:eastAsia="仿宋"/>
          <w:color w:val="auto"/>
          <w:sz w:val="32"/>
          <w:szCs w:val="32"/>
          <w:vertAlign w:val="superscript"/>
        </w:rPr>
        <w:t>5</w:t>
      </w:r>
      <w:r>
        <w:rPr>
          <w:rFonts w:hint="eastAsia" w:ascii="仿宋" w:hAnsi="仿宋" w:eastAsia="仿宋"/>
          <w:color w:val="auto"/>
          <w:sz w:val="32"/>
          <w:szCs w:val="32"/>
        </w:rPr>
        <w:t>CFU/g</w:t>
      </w:r>
      <w:r>
        <w:rPr>
          <w:rFonts w:ascii="仿宋" w:hAnsi="仿宋" w:eastAsia="仿宋"/>
          <w:color w:val="auto"/>
          <w:sz w:val="32"/>
          <w:szCs w:val="32"/>
        </w:rPr>
        <w:t>）</w:t>
      </w:r>
      <w:r>
        <w:rPr>
          <w:rFonts w:hint="eastAsia" w:ascii="仿宋" w:hAnsi="仿宋" w:eastAsia="仿宋"/>
          <w:color w:val="auto"/>
          <w:sz w:val="32"/>
          <w:szCs w:val="32"/>
        </w:rPr>
        <w:t>,则</w:t>
      </w:r>
      <w:r>
        <w:rPr>
          <w:rFonts w:ascii="仿宋" w:hAnsi="仿宋" w:eastAsia="仿宋"/>
          <w:color w:val="auto"/>
          <w:sz w:val="32"/>
          <w:szCs w:val="32"/>
        </w:rPr>
        <w:t>这种情况也是允许的；若有3</w:t>
      </w:r>
      <w:r>
        <w:rPr>
          <w:rFonts w:hint="eastAsia" w:ascii="仿宋" w:hAnsi="仿宋" w:eastAsia="仿宋"/>
          <w:color w:val="auto"/>
          <w:sz w:val="32"/>
          <w:szCs w:val="32"/>
        </w:rPr>
        <w:t>个</w:t>
      </w:r>
      <w:r>
        <w:rPr>
          <w:rFonts w:ascii="仿宋" w:hAnsi="仿宋" w:eastAsia="仿宋"/>
          <w:color w:val="auto"/>
          <w:sz w:val="32"/>
          <w:szCs w:val="32"/>
        </w:rPr>
        <w:t>及以上的样品检验</w:t>
      </w:r>
      <w:r>
        <w:rPr>
          <w:rFonts w:hint="eastAsia" w:ascii="仿宋" w:hAnsi="仿宋" w:eastAsia="仿宋"/>
          <w:color w:val="auto"/>
          <w:sz w:val="32"/>
          <w:szCs w:val="32"/>
        </w:rPr>
        <w:t>结果</w:t>
      </w:r>
      <w:r>
        <w:rPr>
          <w:rFonts w:ascii="仿宋" w:hAnsi="仿宋" w:eastAsia="仿宋"/>
          <w:color w:val="auto"/>
          <w:sz w:val="32"/>
          <w:szCs w:val="32"/>
        </w:rPr>
        <w:t>位于</w:t>
      </w:r>
      <w:r>
        <w:rPr>
          <w:rFonts w:hint="eastAsia" w:ascii="仿宋" w:hAnsi="仿宋" w:eastAsia="仿宋"/>
          <w:color w:val="auto"/>
          <w:sz w:val="32"/>
          <w:szCs w:val="32"/>
        </w:rPr>
        <w:t>m值</w:t>
      </w:r>
      <w:r>
        <w:rPr>
          <w:rFonts w:ascii="仿宋" w:hAnsi="仿宋" w:eastAsia="仿宋"/>
          <w:color w:val="auto"/>
          <w:sz w:val="32"/>
          <w:szCs w:val="32"/>
        </w:rPr>
        <w:t>和</w:t>
      </w:r>
      <w:r>
        <w:rPr>
          <w:rFonts w:hint="eastAsia" w:ascii="仿宋" w:hAnsi="仿宋" w:eastAsia="仿宋"/>
          <w:color w:val="auto"/>
          <w:sz w:val="32"/>
          <w:szCs w:val="32"/>
        </w:rPr>
        <w:t>M值</w:t>
      </w:r>
      <w:r>
        <w:rPr>
          <w:rFonts w:ascii="仿宋" w:hAnsi="仿宋" w:eastAsia="仿宋"/>
          <w:color w:val="auto"/>
          <w:sz w:val="32"/>
          <w:szCs w:val="32"/>
        </w:rPr>
        <w:t>之间，则这种情况</w:t>
      </w:r>
      <w:r>
        <w:rPr>
          <w:rFonts w:hint="eastAsia" w:ascii="仿宋" w:hAnsi="仿宋" w:eastAsia="仿宋"/>
          <w:color w:val="auto"/>
          <w:sz w:val="32"/>
          <w:szCs w:val="32"/>
        </w:rPr>
        <w:t>是不允许的</w:t>
      </w:r>
      <w:r>
        <w:rPr>
          <w:rFonts w:ascii="仿宋" w:hAnsi="仿宋" w:eastAsia="仿宋"/>
          <w:color w:val="auto"/>
          <w:sz w:val="32"/>
          <w:szCs w:val="32"/>
        </w:rPr>
        <w:t>；若有</w:t>
      </w:r>
      <w:r>
        <w:rPr>
          <w:rFonts w:hint="eastAsia" w:ascii="仿宋" w:hAnsi="仿宋" w:eastAsia="仿宋"/>
          <w:color w:val="auto"/>
          <w:sz w:val="32"/>
          <w:szCs w:val="32"/>
        </w:rPr>
        <w:t>任</w:t>
      </w:r>
      <w:r>
        <w:rPr>
          <w:rFonts w:ascii="仿宋" w:hAnsi="仿宋" w:eastAsia="仿宋"/>
          <w:color w:val="auto"/>
          <w:sz w:val="32"/>
          <w:szCs w:val="32"/>
        </w:rPr>
        <w:t>一样品的检验结果大于</w:t>
      </w:r>
      <w:r>
        <w:rPr>
          <w:rFonts w:hint="eastAsia" w:ascii="仿宋" w:hAnsi="仿宋" w:eastAsia="仿宋"/>
          <w:color w:val="auto"/>
          <w:sz w:val="32"/>
          <w:szCs w:val="32"/>
        </w:rPr>
        <w:t>M值</w:t>
      </w:r>
      <w:r>
        <w:rPr>
          <w:rFonts w:ascii="仿宋" w:hAnsi="仿宋" w:eastAsia="仿宋"/>
          <w:color w:val="auto"/>
          <w:sz w:val="32"/>
          <w:szCs w:val="32"/>
        </w:rPr>
        <w:t>（</w:t>
      </w:r>
      <w:r>
        <w:rPr>
          <w:rFonts w:hint="eastAsia" w:ascii="仿宋" w:hAnsi="仿宋" w:eastAsia="仿宋"/>
          <w:color w:val="auto"/>
          <w:sz w:val="32"/>
          <w:szCs w:val="32"/>
        </w:rPr>
        <w:t>＞</w:t>
      </w:r>
      <w:r>
        <w:rPr>
          <w:rFonts w:ascii="仿宋" w:hAnsi="仿宋" w:eastAsia="仿宋"/>
          <w:color w:val="auto"/>
          <w:sz w:val="32"/>
          <w:szCs w:val="32"/>
        </w:rPr>
        <w:t>10</w:t>
      </w:r>
      <w:r>
        <w:rPr>
          <w:rFonts w:ascii="仿宋" w:hAnsi="仿宋" w:eastAsia="仿宋"/>
          <w:color w:val="auto"/>
          <w:sz w:val="32"/>
          <w:szCs w:val="32"/>
          <w:vertAlign w:val="superscript"/>
        </w:rPr>
        <w:t>5</w:t>
      </w:r>
      <w:r>
        <w:rPr>
          <w:rFonts w:hint="eastAsia" w:ascii="仿宋" w:hAnsi="仿宋" w:eastAsia="仿宋"/>
          <w:color w:val="auto"/>
          <w:sz w:val="32"/>
          <w:szCs w:val="32"/>
        </w:rPr>
        <w:t>CFU/g</w:t>
      </w:r>
      <w:r>
        <w:rPr>
          <w:rFonts w:ascii="仿宋" w:hAnsi="仿宋" w:eastAsia="仿宋"/>
          <w:color w:val="auto"/>
          <w:sz w:val="32"/>
          <w:szCs w:val="32"/>
        </w:rPr>
        <w:t>）</w:t>
      </w:r>
      <w:r>
        <w:rPr>
          <w:rFonts w:hint="eastAsia" w:ascii="仿宋" w:hAnsi="仿宋" w:eastAsia="仿宋"/>
          <w:color w:val="auto"/>
          <w:sz w:val="32"/>
          <w:szCs w:val="32"/>
        </w:rPr>
        <w:t>，</w:t>
      </w:r>
      <w:r>
        <w:rPr>
          <w:rFonts w:ascii="仿宋" w:hAnsi="仿宋" w:eastAsia="仿宋"/>
          <w:color w:val="auto"/>
          <w:sz w:val="32"/>
          <w:szCs w:val="32"/>
        </w:rPr>
        <w:t>则这种情况也是不允许的</w:t>
      </w:r>
      <w:r>
        <w:rPr>
          <w:rFonts w:hint="eastAsia" w:ascii="仿宋" w:hAnsi="仿宋" w:eastAsia="仿宋"/>
          <w:color w:val="auto"/>
          <w:sz w:val="32"/>
          <w:szCs w:val="32"/>
        </w:rPr>
        <w:t>。</w:t>
      </w:r>
      <w:r>
        <w:rPr>
          <w:rFonts w:ascii="仿宋" w:hAnsi="仿宋" w:eastAsia="仿宋"/>
          <w:color w:val="auto"/>
          <w:sz w:val="32"/>
          <w:szCs w:val="32"/>
        </w:rPr>
        <w:t>食品的菌落总数严重超标，说明其产品的卫生状况达不到基本的卫生要求，将会破坏食品的营养成分，加速食品的腐败变质，使食品失去食用价值。消费者食用微生物超标严重的食品，容易患痢疾等肠道疾病，</w:t>
      </w:r>
      <w:r>
        <w:rPr>
          <w:rFonts w:hint="eastAsia" w:ascii="仿宋" w:hAnsi="仿宋" w:eastAsia="仿宋"/>
          <w:color w:val="auto"/>
          <w:sz w:val="32"/>
          <w:szCs w:val="32"/>
        </w:rPr>
        <w:t>会</w:t>
      </w:r>
      <w:r>
        <w:rPr>
          <w:rFonts w:ascii="仿宋" w:hAnsi="仿宋" w:eastAsia="仿宋"/>
          <w:color w:val="auto"/>
          <w:sz w:val="32"/>
          <w:szCs w:val="32"/>
        </w:rPr>
        <w:t>引起呕吐、腹泻等症状。</w:t>
      </w:r>
    </w:p>
    <w:p>
      <w:pPr>
        <w:spacing w:line="560" w:lineRule="exact"/>
        <w:ind w:firstLine="643" w:firstLineChars="200"/>
        <w:rPr>
          <w:rFonts w:ascii="楷体" w:hAnsi="楷体" w:eastAsia="楷体"/>
          <w:b/>
          <w:color w:val="auto"/>
          <w:sz w:val="32"/>
          <w:szCs w:val="32"/>
        </w:rPr>
      </w:pPr>
      <w:r>
        <w:rPr>
          <w:rFonts w:hint="eastAsia" w:ascii="楷体" w:hAnsi="楷体" w:eastAsia="楷体" w:cs="仿宋_GB2312"/>
          <w:b/>
          <w:color w:val="auto"/>
          <w:sz w:val="32"/>
          <w:szCs w:val="32"/>
        </w:rPr>
        <w:t>（四）</w:t>
      </w:r>
      <w:r>
        <w:rPr>
          <w:rFonts w:hint="eastAsia" w:ascii="楷体" w:hAnsi="楷体" w:eastAsia="楷体"/>
          <w:b/>
          <w:color w:val="auto"/>
          <w:sz w:val="32"/>
          <w:szCs w:val="32"/>
        </w:rPr>
        <w:t>铜绿假单胞菌</w:t>
      </w:r>
    </w:p>
    <w:p>
      <w:pPr>
        <w:spacing w:line="56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铜绿假单胞菌广泛分布于水、空气、正常人的皮肤、呼吸道和肠道等处，对消毒剂、紫外线等具有较强的抵抗力，是一种条件致病菌。《食品安全国家标准 包装饮用水》（</w:t>
      </w:r>
      <w:r>
        <w:rPr>
          <w:rFonts w:ascii="仿宋" w:hAnsi="仿宋" w:eastAsia="仿宋" w:cs="宋体"/>
          <w:color w:val="auto"/>
          <w:sz w:val="32"/>
          <w:szCs w:val="32"/>
        </w:rPr>
        <w:t>GB</w:t>
      </w:r>
      <w:r>
        <w:rPr>
          <w:rFonts w:hint="eastAsia" w:ascii="仿宋" w:hAnsi="仿宋" w:eastAsia="仿宋" w:cs="宋体"/>
          <w:color w:val="auto"/>
          <w:sz w:val="32"/>
          <w:szCs w:val="32"/>
        </w:rPr>
        <w:t xml:space="preserve"> </w:t>
      </w:r>
      <w:r>
        <w:rPr>
          <w:rFonts w:ascii="仿宋" w:hAnsi="仿宋" w:eastAsia="仿宋" w:cs="宋体"/>
          <w:color w:val="auto"/>
          <w:sz w:val="32"/>
          <w:szCs w:val="32"/>
        </w:rPr>
        <w:t>19298-2014</w:t>
      </w:r>
      <w:r>
        <w:rPr>
          <w:rFonts w:hint="eastAsia" w:ascii="仿宋" w:hAnsi="仿宋" w:eastAsia="仿宋" w:cs="宋体"/>
          <w:color w:val="auto"/>
          <w:sz w:val="32"/>
          <w:szCs w:val="32"/>
        </w:rPr>
        <w:t>）中规定，在5件包装饮用水样品中，铜绿假单胞菌的检测结果均不得超过0CFU/250mL。抵抗力较差的人群若饮用铜绿假单胞菌不合格的瓶（桶）装水会</w:t>
      </w:r>
      <w:r>
        <w:rPr>
          <w:rFonts w:ascii="仿宋" w:hAnsi="仿宋" w:eastAsia="仿宋"/>
          <w:color w:val="auto"/>
          <w:sz w:val="32"/>
          <w:szCs w:val="32"/>
          <w:shd w:val="clear" w:color="auto" w:fill="FFFFFF"/>
        </w:rPr>
        <w:t>容易引起急性肠道炎、脑膜炎、败血症和皮肤炎症等疾病</w:t>
      </w:r>
      <w:r>
        <w:rPr>
          <w:rFonts w:hint="eastAsia" w:ascii="仿宋" w:hAnsi="仿宋" w:eastAsia="仿宋" w:cs="宋体"/>
          <w:color w:val="auto"/>
          <w:sz w:val="32"/>
          <w:szCs w:val="32"/>
        </w:rPr>
        <w:t>。</w:t>
      </w:r>
    </w:p>
    <w:p>
      <w:pPr>
        <w:numPr>
          <w:ilvl w:val="0"/>
          <w:numId w:val="1"/>
        </w:numPr>
        <w:spacing w:line="560" w:lineRule="exact"/>
        <w:ind w:firstLine="643" w:firstLineChars="200"/>
        <w:rPr>
          <w:rFonts w:ascii="楷体" w:hAnsi="楷体" w:eastAsia="楷体" w:cs="仿宋_GB2312"/>
          <w:b/>
          <w:color w:val="auto"/>
          <w:sz w:val="32"/>
          <w:szCs w:val="32"/>
        </w:rPr>
      </w:pPr>
      <w:r>
        <w:rPr>
          <w:rFonts w:hint="eastAsia" w:ascii="楷体" w:hAnsi="楷体" w:eastAsia="楷体" w:cs="仿宋_GB2312"/>
          <w:b/>
          <w:color w:val="auto"/>
          <w:sz w:val="32"/>
          <w:szCs w:val="32"/>
        </w:rPr>
        <w:t>霉菌</w:t>
      </w:r>
    </w:p>
    <w:p>
      <w:pPr>
        <w:spacing w:line="560" w:lineRule="exact"/>
        <w:ind w:firstLine="640" w:firstLineChars="200"/>
        <w:rPr>
          <w:rFonts w:ascii="楷体" w:hAnsi="楷体" w:eastAsia="仿宋" w:cs="仿宋_GB2312"/>
          <w:b/>
          <w:color w:val="auto"/>
          <w:sz w:val="32"/>
          <w:szCs w:val="32"/>
        </w:rPr>
      </w:pPr>
      <w:r>
        <w:rPr>
          <w:rFonts w:ascii="仿宋" w:hAnsi="仿宋" w:eastAsia="仿宋"/>
          <w:color w:val="auto"/>
          <w:sz w:val="32"/>
          <w:szCs w:val="32"/>
        </w:rPr>
        <w:t>霉菌是自然界中常见的真菌，是用来判定食品在</w:t>
      </w:r>
      <w:r>
        <w:rPr>
          <w:rFonts w:ascii="仿宋" w:hAnsi="仿宋" w:eastAsia="仿宋"/>
          <w:color w:val="auto"/>
          <w:sz w:val="32"/>
          <w:szCs w:val="32"/>
        </w:rPr>
        <w:t>加</w:t>
      </w:r>
      <w:r>
        <w:rPr>
          <w:rFonts w:ascii="仿宋" w:hAnsi="仿宋" w:eastAsia="仿宋"/>
          <w:color w:val="auto"/>
          <w:sz w:val="32"/>
          <w:szCs w:val="32"/>
        </w:rPr>
        <w:t>工过程中被污染的程度及卫生质量的指标</w:t>
      </w:r>
      <w:r>
        <w:rPr>
          <w:rFonts w:hint="eastAsia" w:ascii="仿宋" w:hAnsi="仿宋" w:eastAsia="仿宋"/>
          <w:color w:val="auto"/>
          <w:sz w:val="32"/>
          <w:szCs w:val="32"/>
        </w:rPr>
        <w:t>。</w:t>
      </w:r>
      <w:r>
        <w:rPr>
          <w:rFonts w:hint="eastAsia" w:ascii="仿宋" w:hAnsi="仿宋" w:eastAsia="仿宋" w:cs="仿宋"/>
          <w:color w:val="auto"/>
          <w:sz w:val="32"/>
          <w:szCs w:val="32"/>
        </w:rPr>
        <w:t>《食品安全国家标准 糕点、面包》（GB 7099-2015）</w:t>
      </w:r>
      <w:r>
        <w:rPr>
          <w:rFonts w:hint="eastAsia" w:ascii="仿宋" w:hAnsi="仿宋" w:eastAsia="仿宋"/>
          <w:color w:val="auto"/>
          <w:sz w:val="32"/>
          <w:szCs w:val="32"/>
        </w:rPr>
        <w:t>中</w:t>
      </w:r>
      <w:r>
        <w:rPr>
          <w:rFonts w:ascii="仿宋" w:hAnsi="仿宋" w:eastAsia="仿宋"/>
          <w:color w:val="auto"/>
          <w:sz w:val="32"/>
          <w:szCs w:val="32"/>
        </w:rPr>
        <w:t>规定</w:t>
      </w:r>
      <w:r>
        <w:rPr>
          <w:rFonts w:hint="eastAsia" w:ascii="仿宋" w:hAnsi="仿宋" w:eastAsia="仿宋"/>
          <w:color w:val="auto"/>
          <w:sz w:val="32"/>
          <w:szCs w:val="32"/>
        </w:rPr>
        <w:t>，糕点中</w:t>
      </w:r>
      <w:r>
        <w:rPr>
          <w:rFonts w:ascii="仿宋" w:hAnsi="仿宋" w:eastAsia="仿宋"/>
          <w:color w:val="auto"/>
          <w:sz w:val="32"/>
          <w:szCs w:val="32"/>
        </w:rPr>
        <w:t>霉菌的最大限量值为</w:t>
      </w:r>
      <w:r>
        <w:rPr>
          <w:rFonts w:hint="eastAsia" w:ascii="仿宋" w:hAnsi="仿宋" w:eastAsia="仿宋"/>
          <w:color w:val="auto"/>
          <w:sz w:val="32"/>
          <w:szCs w:val="32"/>
        </w:rPr>
        <w:t>≤150CFU/g</w:t>
      </w:r>
      <w:r>
        <w:rPr>
          <w:rFonts w:ascii="仿宋" w:hAnsi="仿宋" w:eastAsia="仿宋"/>
          <w:color w:val="auto"/>
          <w:sz w:val="32"/>
          <w:szCs w:val="32"/>
        </w:rPr>
        <w:t>。霉菌污染可使食品腐败变质，破坏食品的色、香、味，降低食品的食用价值</w:t>
      </w:r>
      <w:r>
        <w:rPr>
          <w:rFonts w:hint="eastAsia" w:ascii="仿宋" w:hAnsi="仿宋" w:eastAsia="仿宋"/>
          <w:color w:val="auto"/>
          <w:sz w:val="32"/>
          <w:szCs w:val="32"/>
        </w:rPr>
        <w:t>；同时</w:t>
      </w:r>
      <w:r>
        <w:rPr>
          <w:rFonts w:ascii="仿宋" w:hAnsi="仿宋" w:eastAsia="仿宋" w:cs="Times New Roman"/>
          <w:color w:val="auto"/>
          <w:sz w:val="32"/>
          <w:szCs w:val="32"/>
        </w:rPr>
        <w:t>霉菌有可能在食品中产生毒素，造成人体内分泌紊乱、免疫抑制等问题。</w:t>
      </w:r>
    </w:p>
    <w:p>
      <w:pPr>
        <w:numPr>
          <w:ilvl w:val="0"/>
          <w:numId w:val="1"/>
        </w:numPr>
        <w:spacing w:line="560" w:lineRule="exact"/>
        <w:ind w:firstLine="643" w:firstLineChars="200"/>
        <w:rPr>
          <w:rFonts w:ascii="楷体" w:hAnsi="楷体" w:eastAsia="楷体" w:cs="仿宋_GB2312"/>
          <w:b/>
          <w:color w:val="auto"/>
          <w:sz w:val="32"/>
          <w:szCs w:val="32"/>
        </w:rPr>
      </w:pPr>
      <w:r>
        <w:rPr>
          <w:rFonts w:hint="eastAsia" w:ascii="楷体" w:hAnsi="楷体" w:eastAsia="楷体" w:cs="仿宋_GB2312"/>
          <w:b/>
          <w:color w:val="auto"/>
          <w:sz w:val="32"/>
          <w:szCs w:val="32"/>
        </w:rPr>
        <w:t>过氧化值</w:t>
      </w:r>
    </w:p>
    <w:p>
      <w:pPr>
        <w:spacing w:line="560" w:lineRule="exact"/>
        <w:ind w:firstLine="640" w:firstLineChars="200"/>
        <w:rPr>
          <w:rFonts w:ascii="仿宋" w:hAnsi="仿宋" w:eastAsia="仿宋" w:cs="宋体"/>
          <w:color w:val="auto"/>
          <w:sz w:val="32"/>
          <w:szCs w:val="32"/>
        </w:rPr>
      </w:pPr>
      <w:r>
        <w:rPr>
          <w:rFonts w:hint="eastAsia" w:ascii="仿宋" w:hAnsi="仿宋" w:eastAsia="仿宋"/>
          <w:color w:val="auto"/>
          <w:sz w:val="32"/>
          <w:szCs w:val="32"/>
        </w:rPr>
        <w:t>过氧化值主要反映</w:t>
      </w:r>
      <w:r>
        <w:rPr>
          <w:rFonts w:hint="eastAsia" w:ascii="仿宋" w:hAnsi="仿宋" w:eastAsia="仿宋"/>
          <w:color w:val="auto"/>
          <w:sz w:val="32"/>
          <w:szCs w:val="32"/>
          <w:highlight w:val="none"/>
        </w:rPr>
        <w:t>食</w:t>
      </w:r>
      <w:r>
        <w:rPr>
          <w:rFonts w:hint="eastAsia" w:ascii="仿宋" w:hAnsi="仿宋" w:eastAsia="仿宋"/>
          <w:color w:val="auto"/>
          <w:sz w:val="32"/>
          <w:szCs w:val="32"/>
          <w:highlight w:val="none"/>
        </w:rPr>
        <w:t>品</w:t>
      </w:r>
      <w:r>
        <w:rPr>
          <w:rFonts w:hint="eastAsia" w:ascii="仿宋" w:hAnsi="仿宋" w:eastAsia="仿宋"/>
          <w:color w:val="auto"/>
          <w:sz w:val="32"/>
          <w:szCs w:val="32"/>
        </w:rPr>
        <w:t>中油脂是否氧化变质。</w:t>
      </w:r>
      <w:r>
        <w:rPr>
          <w:rFonts w:ascii="仿宋" w:hAnsi="仿宋" w:eastAsia="仿宋"/>
          <w:color w:val="auto"/>
          <w:sz w:val="32"/>
          <w:szCs w:val="32"/>
        </w:rPr>
        <w:t>《食品馅料》</w:t>
      </w:r>
      <w:r>
        <w:rPr>
          <w:rFonts w:hint="eastAsia" w:ascii="仿宋" w:hAnsi="仿宋" w:eastAsia="仿宋"/>
          <w:color w:val="auto"/>
          <w:sz w:val="32"/>
          <w:szCs w:val="32"/>
        </w:rPr>
        <w:t>（</w:t>
      </w:r>
      <w:r>
        <w:rPr>
          <w:rFonts w:ascii="仿宋" w:hAnsi="仿宋" w:eastAsia="仿宋"/>
          <w:color w:val="auto"/>
          <w:sz w:val="32"/>
          <w:szCs w:val="32"/>
        </w:rPr>
        <w:t>GB/T 21270-2007</w:t>
      </w:r>
      <w:r>
        <w:rPr>
          <w:rFonts w:hint="eastAsia" w:ascii="仿宋" w:hAnsi="仿宋" w:eastAsia="仿宋"/>
          <w:color w:val="auto"/>
          <w:sz w:val="32"/>
          <w:szCs w:val="32"/>
        </w:rPr>
        <w:t>）</w:t>
      </w:r>
      <w:bookmarkStart w:id="2" w:name="_GoBack"/>
      <w:bookmarkEnd w:id="2"/>
      <w:r>
        <w:rPr>
          <w:rFonts w:hint="eastAsia" w:ascii="仿宋" w:hAnsi="仿宋" w:eastAsia="仿宋"/>
          <w:color w:val="auto"/>
          <w:sz w:val="32"/>
          <w:szCs w:val="32"/>
        </w:rPr>
        <w:t>中规定，食品馅料的过氧化值限量值为≤0.25g/100g。随着产品中油脂氧化，过氧化值会逐步升高，虽一般不会对人体的健康产生损害，但食用不合格产品严重时会导致肠胃不适、腹泻等症状。一般情况下，氧化变质的食品，消费者在食用过程中能明显辨别出哈喇等异味，需避免食用。</w:t>
      </w:r>
    </w:p>
    <w:p>
      <w:pPr>
        <w:spacing w:line="560" w:lineRule="exact"/>
        <w:ind w:firstLine="643" w:firstLineChars="200"/>
        <w:jc w:val="left"/>
        <w:rPr>
          <w:rFonts w:ascii="黑体" w:hAnsi="黑体" w:eastAsia="黑体" w:cs="仿宋_GB2312"/>
          <w:b/>
          <w:color w:val="auto"/>
          <w:sz w:val="32"/>
          <w:szCs w:val="32"/>
        </w:rPr>
      </w:pPr>
      <w:r>
        <w:rPr>
          <w:rFonts w:hint="eastAsia" w:ascii="黑体" w:hAnsi="黑体" w:eastAsia="黑体" w:cs="仿宋_GB2312"/>
          <w:b/>
          <w:color w:val="auto"/>
          <w:sz w:val="32"/>
          <w:szCs w:val="32"/>
        </w:rPr>
        <w:t>二、建议</w:t>
      </w:r>
    </w:p>
    <w:p>
      <w:pPr>
        <w:spacing w:line="560" w:lineRule="exact"/>
        <w:ind w:firstLine="640" w:firstLineChars="200"/>
        <w:jc w:val="left"/>
        <w:rPr>
          <w:rFonts w:ascii="仿宋" w:hAnsi="仿宋" w:eastAsia="仿宋" w:cs="Times New Roman"/>
          <w:color w:val="auto"/>
          <w:sz w:val="32"/>
          <w:szCs w:val="32"/>
        </w:rPr>
      </w:pPr>
      <w:r>
        <w:rPr>
          <w:rFonts w:hint="eastAsia" w:ascii="仿宋" w:hAnsi="仿宋" w:eastAsia="仿宋" w:cs="Times New Roman"/>
          <w:color w:val="auto"/>
          <w:sz w:val="32"/>
          <w:szCs w:val="32"/>
        </w:rPr>
        <w:t>根据生产环节抽检不合格项目，建议食品生产经营企业：</w:t>
      </w:r>
    </w:p>
    <w:p>
      <w:pPr>
        <w:pStyle w:val="5"/>
        <w:shd w:val="clear" w:color="auto" w:fill="FFFFFF"/>
        <w:spacing w:before="0" w:beforeAutospacing="0" w:after="0" w:afterAutospacing="0" w:line="560" w:lineRule="exact"/>
        <w:ind w:firstLine="803" w:firstLineChars="250"/>
        <w:rPr>
          <w:rFonts w:ascii="楷体" w:hAnsi="楷体" w:eastAsia="楷体"/>
          <w:b/>
          <w:color w:val="auto"/>
          <w:sz w:val="32"/>
          <w:szCs w:val="32"/>
        </w:rPr>
      </w:pPr>
      <w:r>
        <w:rPr>
          <w:rFonts w:hint="eastAsia" w:ascii="楷体" w:hAnsi="楷体" w:eastAsia="楷体"/>
          <w:b/>
          <w:color w:val="auto"/>
          <w:sz w:val="32"/>
          <w:szCs w:val="32"/>
        </w:rPr>
        <w:t>（一）加强原辅料的把控</w:t>
      </w:r>
    </w:p>
    <w:p>
      <w:pPr>
        <w:ind w:firstLine="640" w:firstLineChars="200"/>
        <w:rPr>
          <w:rFonts w:ascii="仿宋" w:hAnsi="仿宋" w:eastAsia="仿宋"/>
          <w:color w:val="auto"/>
          <w:sz w:val="32"/>
          <w:szCs w:val="32"/>
        </w:rPr>
      </w:pPr>
      <w:r>
        <w:rPr>
          <w:rFonts w:hint="eastAsia" w:ascii="仿宋" w:hAnsi="仿宋" w:eastAsia="仿宋"/>
          <w:color w:val="auto"/>
          <w:sz w:val="32"/>
          <w:szCs w:val="32"/>
        </w:rPr>
        <w:t>食品原料的质量与卫生是食品质量安全的前提。食品生产企业应加强对所使用的原材料的质量管理，建立进货查验、索证索票和进货台账制度，查验供货者的许可证和食品合格证明文件，不得采购腐败变质、发霉、质量不新鲜的食品原料。</w:t>
      </w:r>
    </w:p>
    <w:p>
      <w:pPr>
        <w:spacing w:line="560" w:lineRule="exact"/>
        <w:ind w:firstLine="643" w:firstLineChars="200"/>
        <w:rPr>
          <w:rFonts w:eastAsia="楷体"/>
          <w:bCs/>
          <w:color w:val="auto"/>
        </w:rPr>
      </w:pPr>
      <w:r>
        <w:rPr>
          <w:rFonts w:hint="eastAsia" w:ascii="楷体" w:hAnsi="楷体" w:eastAsia="楷体"/>
          <w:b/>
          <w:color w:val="auto"/>
          <w:sz w:val="32"/>
          <w:szCs w:val="32"/>
        </w:rPr>
        <w:t>（二）加强生产过程的质量控制</w:t>
      </w:r>
    </w:p>
    <w:p>
      <w:pPr>
        <w:spacing w:line="560" w:lineRule="exact"/>
        <w:ind w:firstLine="640" w:firstLineChars="200"/>
        <w:rPr>
          <w:rFonts w:ascii="仿宋" w:hAnsi="仿宋" w:eastAsia="仿宋"/>
          <w:color w:val="auto"/>
          <w:sz w:val="32"/>
          <w:szCs w:val="32"/>
        </w:rPr>
      </w:pPr>
      <w:r>
        <w:rPr>
          <w:rFonts w:hint="eastAsia" w:ascii="仿宋" w:hAnsi="仿宋" w:eastAsia="仿宋"/>
          <w:color w:val="auto"/>
          <w:sz w:val="32"/>
          <w:szCs w:val="32"/>
        </w:rPr>
        <w:t>食品生产过程是直接影响食品质量安全的关键。生产企业应</w:t>
      </w:r>
      <w:r>
        <w:rPr>
          <w:rFonts w:eastAsia="仿宋_GB2312"/>
          <w:snapToGrid w:val="0"/>
          <w:color w:val="auto"/>
          <w:kern w:val="0"/>
          <w:sz w:val="32"/>
          <w:szCs w:val="32"/>
        </w:rPr>
        <w:t>建立HACCP食品安全管理体系，设定关键控制点和相应的温度和时间的关键限值，严格执行食品加工过程标准工作程序，达到有效控制食品安全风险</w:t>
      </w:r>
      <w:r>
        <w:rPr>
          <w:rFonts w:hint="eastAsia" w:eastAsia="仿宋_GB2312"/>
          <w:snapToGrid w:val="0"/>
          <w:color w:val="auto"/>
          <w:kern w:val="0"/>
          <w:sz w:val="32"/>
          <w:szCs w:val="32"/>
        </w:rPr>
        <w:t>；</w:t>
      </w:r>
      <w:r>
        <w:rPr>
          <w:rFonts w:hint="eastAsia" w:eastAsia="仿宋_GB2312"/>
          <w:color w:val="auto"/>
          <w:sz w:val="32"/>
          <w:szCs w:val="32"/>
        </w:rPr>
        <w:t>提高操作人员的食品安全意识，加强卫生知识培训，督促员工建立良好的个人卫生习惯，遵守卫生标准操作程序，避免加工过程中的人为污染；定期对厂区内</w:t>
      </w:r>
      <w:bookmarkStart w:id="0" w:name="OLE_LINK2"/>
      <w:r>
        <w:rPr>
          <w:rFonts w:hint="eastAsia" w:eastAsia="仿宋_GB2312"/>
          <w:color w:val="auto"/>
          <w:sz w:val="32"/>
          <w:szCs w:val="32"/>
        </w:rPr>
        <w:t>环境和设施进行消毒、清洁</w:t>
      </w:r>
      <w:bookmarkEnd w:id="0"/>
      <w:r>
        <w:rPr>
          <w:rFonts w:hint="eastAsia" w:eastAsia="仿宋_GB2312"/>
          <w:color w:val="auto"/>
          <w:sz w:val="32"/>
          <w:szCs w:val="32"/>
        </w:rPr>
        <w:t>，并对环境进行微生物监测，以减少或避免生产过程中受到微生物的污染。</w:t>
      </w:r>
    </w:p>
    <w:p>
      <w:pPr>
        <w:pStyle w:val="5"/>
        <w:shd w:val="clear" w:color="auto" w:fill="FFFFFF"/>
        <w:spacing w:before="0" w:beforeAutospacing="0" w:after="0" w:afterAutospacing="0" w:line="560" w:lineRule="exact"/>
        <w:ind w:firstLine="643" w:firstLineChars="200"/>
        <w:rPr>
          <w:rFonts w:ascii="楷体" w:hAnsi="楷体" w:eastAsia="楷体"/>
          <w:b/>
          <w:color w:val="auto"/>
          <w:sz w:val="32"/>
          <w:szCs w:val="32"/>
        </w:rPr>
      </w:pPr>
      <w:r>
        <w:rPr>
          <w:rFonts w:hint="eastAsia" w:ascii="楷体" w:hAnsi="楷体" w:eastAsia="楷体"/>
          <w:b/>
          <w:color w:val="auto"/>
          <w:sz w:val="32"/>
          <w:szCs w:val="32"/>
        </w:rPr>
        <w:t>（三）加强</w:t>
      </w:r>
      <w:r>
        <w:rPr>
          <w:rFonts w:ascii="楷体" w:hAnsi="楷体" w:eastAsia="楷体"/>
          <w:b/>
          <w:color w:val="auto"/>
          <w:sz w:val="32"/>
          <w:szCs w:val="32"/>
        </w:rPr>
        <w:t>食品出厂检验</w:t>
      </w:r>
    </w:p>
    <w:p>
      <w:pPr>
        <w:ind w:firstLine="640" w:firstLineChars="200"/>
        <w:rPr>
          <w:rFonts w:eastAsia="仿宋_GB2312"/>
          <w:b/>
          <w:bCs/>
          <w:snapToGrid w:val="0"/>
          <w:color w:val="auto"/>
          <w:kern w:val="0"/>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ind w:firstLine="643" w:firstLineChars="200"/>
        <w:rPr>
          <w:rStyle w:val="8"/>
          <w:rFonts w:ascii="楷体" w:hAnsi="楷体" w:eastAsia="楷体"/>
          <w:color w:val="auto"/>
          <w:sz w:val="32"/>
          <w:szCs w:val="32"/>
        </w:rPr>
      </w:pPr>
      <w:r>
        <w:rPr>
          <w:rFonts w:hint="eastAsia" w:ascii="楷体" w:hAnsi="楷体" w:eastAsia="楷体"/>
          <w:b/>
          <w:color w:val="auto"/>
          <w:sz w:val="32"/>
          <w:szCs w:val="32"/>
        </w:rPr>
        <w:t>（四）加强</w:t>
      </w:r>
      <w:r>
        <w:rPr>
          <w:rStyle w:val="8"/>
          <w:rFonts w:hint="eastAsia" w:ascii="楷体" w:hAnsi="楷体" w:eastAsia="楷体"/>
          <w:color w:val="auto"/>
          <w:sz w:val="32"/>
          <w:szCs w:val="32"/>
        </w:rPr>
        <w:t>食品从业人员培训</w:t>
      </w:r>
    </w:p>
    <w:p>
      <w:pPr>
        <w:spacing w:line="560" w:lineRule="exact"/>
        <w:ind w:firstLine="640" w:firstLineChars="200"/>
        <w:rPr>
          <w:rFonts w:ascii="楷体" w:hAnsi="楷体" w:eastAsia="楷体"/>
          <w:b/>
          <w:color w:val="auto"/>
          <w:sz w:val="32"/>
          <w:szCs w:val="32"/>
        </w:rPr>
      </w:pPr>
      <w:bookmarkStart w:id="1" w:name="OLE_LINK1"/>
      <w:r>
        <w:rPr>
          <w:rFonts w:hint="eastAsia" w:ascii="仿宋" w:hAnsi="仿宋" w:eastAsia="仿宋"/>
          <w:color w:val="auto"/>
          <w:sz w:val="32"/>
          <w:szCs w:val="32"/>
        </w:rPr>
        <w:t>食品生产企业</w:t>
      </w:r>
      <w:r>
        <w:rPr>
          <w:rFonts w:ascii="仿宋" w:hAnsi="仿宋" w:eastAsia="仿宋"/>
          <w:color w:val="auto"/>
          <w:sz w:val="32"/>
          <w:szCs w:val="32"/>
        </w:rPr>
        <w:t>应建立食品生产相关岗位的培训制度，</w:t>
      </w:r>
      <w:r>
        <w:rPr>
          <w:rFonts w:hint="eastAsia" w:ascii="仿宋" w:hAnsi="仿宋" w:eastAsia="仿宋"/>
          <w:color w:val="auto"/>
          <w:sz w:val="32"/>
          <w:szCs w:val="32"/>
        </w:rPr>
        <w:t>加强日常监管及培训，</w:t>
      </w:r>
      <w:r>
        <w:rPr>
          <w:rFonts w:ascii="仿宋" w:hAnsi="仿宋" w:eastAsia="仿宋"/>
          <w:color w:val="auto"/>
          <w:sz w:val="32"/>
          <w:szCs w:val="32"/>
        </w:rPr>
        <w:t>对食品加工人员以及相关岗位的从业人员进行相应的食品安全知识培训</w:t>
      </w:r>
      <w:r>
        <w:rPr>
          <w:rFonts w:hint="eastAsia" w:ascii="仿宋" w:hAnsi="仿宋" w:eastAsia="仿宋" w:cs="仿宋"/>
          <w:color w:val="auto"/>
          <w:sz w:val="32"/>
          <w:szCs w:val="32"/>
        </w:rPr>
        <w:t>，</w:t>
      </w:r>
      <w:r>
        <w:rPr>
          <w:rFonts w:hint="eastAsia" w:ascii="仿宋" w:hAnsi="仿宋" w:eastAsia="仿宋" w:cs="仿宋"/>
          <w:snapToGrid w:val="0"/>
          <w:color w:val="auto"/>
          <w:kern w:val="0"/>
          <w:sz w:val="32"/>
        </w:rPr>
        <w:t>提高从业人员的食品安全意识和维护食品安全能力</w:t>
      </w:r>
      <w:r>
        <w:rPr>
          <w:rFonts w:ascii="仿宋" w:hAnsi="仿宋" w:eastAsia="仿宋"/>
          <w:color w:val="auto"/>
          <w:sz w:val="32"/>
          <w:szCs w:val="32"/>
        </w:rPr>
        <w:t>。</w:t>
      </w:r>
      <w:bookmarkEnd w:id="1"/>
    </w:p>
    <w:p>
      <w:pPr>
        <w:ind w:firstLine="643" w:firstLineChars="200"/>
        <w:rPr>
          <w:rFonts w:ascii="黑体" w:hAnsi="黑体" w:eastAsia="黑体" w:cs="仿宋_GB2312"/>
          <w:b/>
          <w:color w:val="auto"/>
          <w:sz w:val="32"/>
          <w:szCs w:val="32"/>
        </w:rPr>
      </w:pPr>
    </w:p>
    <w:p>
      <w:pPr>
        <w:pStyle w:val="5"/>
        <w:shd w:val="clear" w:color="auto" w:fill="FFFFFF"/>
        <w:spacing w:before="0" w:beforeAutospacing="0" w:after="0" w:afterAutospacing="0" w:line="560" w:lineRule="exact"/>
        <w:ind w:left="708"/>
        <w:rPr>
          <w:rFonts w:ascii="仿宋" w:hAnsi="仿宋" w:eastAsia="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469C1"/>
    <w:multiLevelType w:val="singleLevel"/>
    <w:tmpl w:val="4E6469C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0D71"/>
    <w:rsid w:val="00004DB3"/>
    <w:rsid w:val="0001248C"/>
    <w:rsid w:val="00020EAA"/>
    <w:rsid w:val="00023D16"/>
    <w:rsid w:val="000276EE"/>
    <w:rsid w:val="00032538"/>
    <w:rsid w:val="00035BF4"/>
    <w:rsid w:val="00040D71"/>
    <w:rsid w:val="00044B2D"/>
    <w:rsid w:val="0004778C"/>
    <w:rsid w:val="000518A7"/>
    <w:rsid w:val="00071380"/>
    <w:rsid w:val="00073BFA"/>
    <w:rsid w:val="00074F6A"/>
    <w:rsid w:val="000821AB"/>
    <w:rsid w:val="000B08E7"/>
    <w:rsid w:val="000B6093"/>
    <w:rsid w:val="000C4E7D"/>
    <w:rsid w:val="000D0EA8"/>
    <w:rsid w:val="000D555F"/>
    <w:rsid w:val="000D6FFE"/>
    <w:rsid w:val="000E4F73"/>
    <w:rsid w:val="000F5F41"/>
    <w:rsid w:val="00102A23"/>
    <w:rsid w:val="00105D8A"/>
    <w:rsid w:val="00117748"/>
    <w:rsid w:val="00117D05"/>
    <w:rsid w:val="001345A3"/>
    <w:rsid w:val="001372D9"/>
    <w:rsid w:val="0014337A"/>
    <w:rsid w:val="001451AC"/>
    <w:rsid w:val="001517B0"/>
    <w:rsid w:val="00154CAA"/>
    <w:rsid w:val="00160E55"/>
    <w:rsid w:val="001618B6"/>
    <w:rsid w:val="0016502E"/>
    <w:rsid w:val="0017157D"/>
    <w:rsid w:val="0019148B"/>
    <w:rsid w:val="00192D11"/>
    <w:rsid w:val="001A2AAA"/>
    <w:rsid w:val="001B4BBC"/>
    <w:rsid w:val="001C5EB6"/>
    <w:rsid w:val="001D639F"/>
    <w:rsid w:val="001D6A3C"/>
    <w:rsid w:val="001F221F"/>
    <w:rsid w:val="001F4A92"/>
    <w:rsid w:val="002078D8"/>
    <w:rsid w:val="00213E7B"/>
    <w:rsid w:val="00215ABE"/>
    <w:rsid w:val="002178AC"/>
    <w:rsid w:val="002200B2"/>
    <w:rsid w:val="00221DA8"/>
    <w:rsid w:val="002349E5"/>
    <w:rsid w:val="00242A69"/>
    <w:rsid w:val="00257A0D"/>
    <w:rsid w:val="0026230D"/>
    <w:rsid w:val="0026468F"/>
    <w:rsid w:val="002671C8"/>
    <w:rsid w:val="00277FEA"/>
    <w:rsid w:val="00287612"/>
    <w:rsid w:val="002940D0"/>
    <w:rsid w:val="0029681F"/>
    <w:rsid w:val="002A5ABF"/>
    <w:rsid w:val="002B5671"/>
    <w:rsid w:val="002D2260"/>
    <w:rsid w:val="002D5CDC"/>
    <w:rsid w:val="002D7D42"/>
    <w:rsid w:val="002E1A9A"/>
    <w:rsid w:val="002E7121"/>
    <w:rsid w:val="002E7A60"/>
    <w:rsid w:val="002F661B"/>
    <w:rsid w:val="002F6AF2"/>
    <w:rsid w:val="00302840"/>
    <w:rsid w:val="003119B4"/>
    <w:rsid w:val="003145EC"/>
    <w:rsid w:val="00320483"/>
    <w:rsid w:val="00332A02"/>
    <w:rsid w:val="003439FD"/>
    <w:rsid w:val="00344CD6"/>
    <w:rsid w:val="0036094B"/>
    <w:rsid w:val="0036358C"/>
    <w:rsid w:val="003A105E"/>
    <w:rsid w:val="003A7456"/>
    <w:rsid w:val="003B285F"/>
    <w:rsid w:val="003E3863"/>
    <w:rsid w:val="003E4CCE"/>
    <w:rsid w:val="003E5E06"/>
    <w:rsid w:val="003F2E05"/>
    <w:rsid w:val="003F4780"/>
    <w:rsid w:val="00404951"/>
    <w:rsid w:val="00407D6D"/>
    <w:rsid w:val="00423F19"/>
    <w:rsid w:val="004256C7"/>
    <w:rsid w:val="00427D54"/>
    <w:rsid w:val="004361DC"/>
    <w:rsid w:val="004432E7"/>
    <w:rsid w:val="00445FF9"/>
    <w:rsid w:val="00474153"/>
    <w:rsid w:val="00485C2D"/>
    <w:rsid w:val="00487895"/>
    <w:rsid w:val="00495C32"/>
    <w:rsid w:val="004A0708"/>
    <w:rsid w:val="004A4837"/>
    <w:rsid w:val="004A5FBF"/>
    <w:rsid w:val="004B00FD"/>
    <w:rsid w:val="004B4C82"/>
    <w:rsid w:val="004C426F"/>
    <w:rsid w:val="004C4885"/>
    <w:rsid w:val="004D1007"/>
    <w:rsid w:val="004E4404"/>
    <w:rsid w:val="004F6ABF"/>
    <w:rsid w:val="005023CC"/>
    <w:rsid w:val="00512C0F"/>
    <w:rsid w:val="00514C4D"/>
    <w:rsid w:val="00524190"/>
    <w:rsid w:val="005263C4"/>
    <w:rsid w:val="00527A95"/>
    <w:rsid w:val="00537027"/>
    <w:rsid w:val="00544656"/>
    <w:rsid w:val="005713C7"/>
    <w:rsid w:val="0057278A"/>
    <w:rsid w:val="00574FAC"/>
    <w:rsid w:val="00575E5E"/>
    <w:rsid w:val="0058383A"/>
    <w:rsid w:val="00584DA5"/>
    <w:rsid w:val="00591E9F"/>
    <w:rsid w:val="005921CC"/>
    <w:rsid w:val="00592261"/>
    <w:rsid w:val="005958A6"/>
    <w:rsid w:val="005975B9"/>
    <w:rsid w:val="005B6012"/>
    <w:rsid w:val="005C0AD5"/>
    <w:rsid w:val="005C4414"/>
    <w:rsid w:val="005E2AE0"/>
    <w:rsid w:val="005E69BF"/>
    <w:rsid w:val="005F3690"/>
    <w:rsid w:val="00601A31"/>
    <w:rsid w:val="00602933"/>
    <w:rsid w:val="006045FB"/>
    <w:rsid w:val="00611BC3"/>
    <w:rsid w:val="006122F4"/>
    <w:rsid w:val="00615CA4"/>
    <w:rsid w:val="00635EC0"/>
    <w:rsid w:val="0065490E"/>
    <w:rsid w:val="00676A61"/>
    <w:rsid w:val="006843EF"/>
    <w:rsid w:val="0068726E"/>
    <w:rsid w:val="00694B5D"/>
    <w:rsid w:val="006C33F5"/>
    <w:rsid w:val="006E4A25"/>
    <w:rsid w:val="006E5453"/>
    <w:rsid w:val="006E59B0"/>
    <w:rsid w:val="006E7453"/>
    <w:rsid w:val="00700196"/>
    <w:rsid w:val="00700D7B"/>
    <w:rsid w:val="00702414"/>
    <w:rsid w:val="00704ED0"/>
    <w:rsid w:val="0071410F"/>
    <w:rsid w:val="00726271"/>
    <w:rsid w:val="0073084E"/>
    <w:rsid w:val="007334B5"/>
    <w:rsid w:val="007354F0"/>
    <w:rsid w:val="007365B5"/>
    <w:rsid w:val="00737040"/>
    <w:rsid w:val="00741414"/>
    <w:rsid w:val="007524FB"/>
    <w:rsid w:val="00755610"/>
    <w:rsid w:val="00757F5B"/>
    <w:rsid w:val="00761E6C"/>
    <w:rsid w:val="00762B75"/>
    <w:rsid w:val="007657E7"/>
    <w:rsid w:val="007726FB"/>
    <w:rsid w:val="00790B1D"/>
    <w:rsid w:val="00793F65"/>
    <w:rsid w:val="007A4823"/>
    <w:rsid w:val="007A4B38"/>
    <w:rsid w:val="007A4C53"/>
    <w:rsid w:val="007A76AD"/>
    <w:rsid w:val="007B2714"/>
    <w:rsid w:val="007B4E41"/>
    <w:rsid w:val="007B6B96"/>
    <w:rsid w:val="007C05DF"/>
    <w:rsid w:val="007C05E7"/>
    <w:rsid w:val="007C172C"/>
    <w:rsid w:val="007C6B7A"/>
    <w:rsid w:val="007D07B1"/>
    <w:rsid w:val="007D0CE1"/>
    <w:rsid w:val="007D3698"/>
    <w:rsid w:val="007E7EDB"/>
    <w:rsid w:val="007F2F36"/>
    <w:rsid w:val="007F407E"/>
    <w:rsid w:val="007F56B0"/>
    <w:rsid w:val="007F5CB0"/>
    <w:rsid w:val="00803608"/>
    <w:rsid w:val="00810A1F"/>
    <w:rsid w:val="008156E7"/>
    <w:rsid w:val="0081629C"/>
    <w:rsid w:val="008179CB"/>
    <w:rsid w:val="00821662"/>
    <w:rsid w:val="00824230"/>
    <w:rsid w:val="0083040C"/>
    <w:rsid w:val="008319CA"/>
    <w:rsid w:val="0085551D"/>
    <w:rsid w:val="00860960"/>
    <w:rsid w:val="0086442F"/>
    <w:rsid w:val="00867C6A"/>
    <w:rsid w:val="00871259"/>
    <w:rsid w:val="00872500"/>
    <w:rsid w:val="00872720"/>
    <w:rsid w:val="00873E30"/>
    <w:rsid w:val="0087447C"/>
    <w:rsid w:val="00874A9A"/>
    <w:rsid w:val="008919B2"/>
    <w:rsid w:val="00895285"/>
    <w:rsid w:val="0089786F"/>
    <w:rsid w:val="008B017B"/>
    <w:rsid w:val="008B0EE9"/>
    <w:rsid w:val="008B13F5"/>
    <w:rsid w:val="008B162B"/>
    <w:rsid w:val="008C13BD"/>
    <w:rsid w:val="008D07CB"/>
    <w:rsid w:val="008D4BC1"/>
    <w:rsid w:val="008D5C01"/>
    <w:rsid w:val="008D7BE7"/>
    <w:rsid w:val="008F270A"/>
    <w:rsid w:val="00901BA9"/>
    <w:rsid w:val="00905A3D"/>
    <w:rsid w:val="00907C08"/>
    <w:rsid w:val="00970567"/>
    <w:rsid w:val="00970598"/>
    <w:rsid w:val="00973735"/>
    <w:rsid w:val="00976894"/>
    <w:rsid w:val="00980983"/>
    <w:rsid w:val="0099069F"/>
    <w:rsid w:val="009A140A"/>
    <w:rsid w:val="009B289D"/>
    <w:rsid w:val="009C1EF6"/>
    <w:rsid w:val="009C47C2"/>
    <w:rsid w:val="009C7C2C"/>
    <w:rsid w:val="009D2910"/>
    <w:rsid w:val="009E04DF"/>
    <w:rsid w:val="009E360E"/>
    <w:rsid w:val="009F042A"/>
    <w:rsid w:val="00A12E98"/>
    <w:rsid w:val="00A1648C"/>
    <w:rsid w:val="00A27910"/>
    <w:rsid w:val="00A41F8E"/>
    <w:rsid w:val="00A44DDA"/>
    <w:rsid w:val="00A45171"/>
    <w:rsid w:val="00A46DA1"/>
    <w:rsid w:val="00A64362"/>
    <w:rsid w:val="00A66D3F"/>
    <w:rsid w:val="00A671ED"/>
    <w:rsid w:val="00A83EDB"/>
    <w:rsid w:val="00A85E52"/>
    <w:rsid w:val="00A91361"/>
    <w:rsid w:val="00AA27AC"/>
    <w:rsid w:val="00AA7D57"/>
    <w:rsid w:val="00AC0DA2"/>
    <w:rsid w:val="00AD22BB"/>
    <w:rsid w:val="00AE06A9"/>
    <w:rsid w:val="00AE13F1"/>
    <w:rsid w:val="00AE1401"/>
    <w:rsid w:val="00AE189D"/>
    <w:rsid w:val="00AE6354"/>
    <w:rsid w:val="00AE756C"/>
    <w:rsid w:val="00B0198F"/>
    <w:rsid w:val="00B144C6"/>
    <w:rsid w:val="00B3155E"/>
    <w:rsid w:val="00B3617A"/>
    <w:rsid w:val="00B450DB"/>
    <w:rsid w:val="00B638E5"/>
    <w:rsid w:val="00B64ACD"/>
    <w:rsid w:val="00B74E1F"/>
    <w:rsid w:val="00B75344"/>
    <w:rsid w:val="00B85427"/>
    <w:rsid w:val="00B979A2"/>
    <w:rsid w:val="00BA32AF"/>
    <w:rsid w:val="00BC13BC"/>
    <w:rsid w:val="00BC393B"/>
    <w:rsid w:val="00BC4F96"/>
    <w:rsid w:val="00BC662E"/>
    <w:rsid w:val="00BD5930"/>
    <w:rsid w:val="00BD6DDD"/>
    <w:rsid w:val="00BE6494"/>
    <w:rsid w:val="00C02926"/>
    <w:rsid w:val="00C20926"/>
    <w:rsid w:val="00C34F86"/>
    <w:rsid w:val="00C416DC"/>
    <w:rsid w:val="00C440A3"/>
    <w:rsid w:val="00C532DF"/>
    <w:rsid w:val="00C5507E"/>
    <w:rsid w:val="00C56590"/>
    <w:rsid w:val="00C6247E"/>
    <w:rsid w:val="00C853BB"/>
    <w:rsid w:val="00C86042"/>
    <w:rsid w:val="00C867B0"/>
    <w:rsid w:val="00C86FAC"/>
    <w:rsid w:val="00C87027"/>
    <w:rsid w:val="00C87E60"/>
    <w:rsid w:val="00C92CD1"/>
    <w:rsid w:val="00C96F13"/>
    <w:rsid w:val="00CA4CD6"/>
    <w:rsid w:val="00CA541E"/>
    <w:rsid w:val="00CA7023"/>
    <w:rsid w:val="00CB1E1A"/>
    <w:rsid w:val="00CB4C48"/>
    <w:rsid w:val="00CC7CDD"/>
    <w:rsid w:val="00CD7853"/>
    <w:rsid w:val="00CE0E6E"/>
    <w:rsid w:val="00CF1B62"/>
    <w:rsid w:val="00CF1C6C"/>
    <w:rsid w:val="00CF543D"/>
    <w:rsid w:val="00D16F6F"/>
    <w:rsid w:val="00D1798E"/>
    <w:rsid w:val="00D26DFF"/>
    <w:rsid w:val="00D33EE3"/>
    <w:rsid w:val="00D44900"/>
    <w:rsid w:val="00D473CF"/>
    <w:rsid w:val="00D522FB"/>
    <w:rsid w:val="00D549B2"/>
    <w:rsid w:val="00D61E32"/>
    <w:rsid w:val="00D646C5"/>
    <w:rsid w:val="00D71FA2"/>
    <w:rsid w:val="00D815CA"/>
    <w:rsid w:val="00D8340D"/>
    <w:rsid w:val="00D85541"/>
    <w:rsid w:val="00D86350"/>
    <w:rsid w:val="00D960D9"/>
    <w:rsid w:val="00DA3BC4"/>
    <w:rsid w:val="00DC13BB"/>
    <w:rsid w:val="00DC3A59"/>
    <w:rsid w:val="00DC62EC"/>
    <w:rsid w:val="00DC6BDE"/>
    <w:rsid w:val="00DC7BB8"/>
    <w:rsid w:val="00DD32AC"/>
    <w:rsid w:val="00DD5A81"/>
    <w:rsid w:val="00DD685E"/>
    <w:rsid w:val="00DE2E9C"/>
    <w:rsid w:val="00E02ACD"/>
    <w:rsid w:val="00E0355C"/>
    <w:rsid w:val="00E07CFF"/>
    <w:rsid w:val="00E16D3B"/>
    <w:rsid w:val="00E20FBC"/>
    <w:rsid w:val="00E21FE5"/>
    <w:rsid w:val="00E305C3"/>
    <w:rsid w:val="00E419F7"/>
    <w:rsid w:val="00E44B2E"/>
    <w:rsid w:val="00E66FE2"/>
    <w:rsid w:val="00E70478"/>
    <w:rsid w:val="00E71733"/>
    <w:rsid w:val="00E73AE2"/>
    <w:rsid w:val="00E73CF0"/>
    <w:rsid w:val="00E909C2"/>
    <w:rsid w:val="00E95597"/>
    <w:rsid w:val="00EA019F"/>
    <w:rsid w:val="00EB4E58"/>
    <w:rsid w:val="00EB79C5"/>
    <w:rsid w:val="00EC0ECC"/>
    <w:rsid w:val="00EC277A"/>
    <w:rsid w:val="00ED1A68"/>
    <w:rsid w:val="00ED468F"/>
    <w:rsid w:val="00ED515D"/>
    <w:rsid w:val="00EF4553"/>
    <w:rsid w:val="00EF5E8B"/>
    <w:rsid w:val="00F022B5"/>
    <w:rsid w:val="00F14522"/>
    <w:rsid w:val="00F158F6"/>
    <w:rsid w:val="00F20BB3"/>
    <w:rsid w:val="00F21760"/>
    <w:rsid w:val="00F21D54"/>
    <w:rsid w:val="00F22854"/>
    <w:rsid w:val="00F24F07"/>
    <w:rsid w:val="00F35531"/>
    <w:rsid w:val="00F7406E"/>
    <w:rsid w:val="00F741FF"/>
    <w:rsid w:val="00F841CE"/>
    <w:rsid w:val="00F84553"/>
    <w:rsid w:val="00F936C3"/>
    <w:rsid w:val="00F9417C"/>
    <w:rsid w:val="00FA60DD"/>
    <w:rsid w:val="00FB1115"/>
    <w:rsid w:val="00FB5F82"/>
    <w:rsid w:val="00FB5FB5"/>
    <w:rsid w:val="00FB7D5F"/>
    <w:rsid w:val="00FC61C6"/>
    <w:rsid w:val="00FD381D"/>
    <w:rsid w:val="07D80F98"/>
    <w:rsid w:val="1179435E"/>
    <w:rsid w:val="17A31B54"/>
    <w:rsid w:val="1EB22B9E"/>
    <w:rsid w:val="2098075B"/>
    <w:rsid w:val="31FC350A"/>
    <w:rsid w:val="34676C84"/>
    <w:rsid w:val="36E62DB9"/>
    <w:rsid w:val="3CAC2FC7"/>
    <w:rsid w:val="527C1597"/>
    <w:rsid w:val="5C365468"/>
    <w:rsid w:val="5F955D25"/>
    <w:rsid w:val="7B1A31DE"/>
    <w:rsid w:val="7F577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 w:type="paragraph" w:customStyle="1" w:styleId="1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
    <w:name w:val="列出段落2"/>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A586AD-9763-4C8E-890B-A0B012CF7B28}">
  <ds:schemaRefs/>
</ds:datastoreItem>
</file>

<file path=docProps/app.xml><?xml version="1.0" encoding="utf-8"?>
<Properties xmlns="http://schemas.openxmlformats.org/officeDocument/2006/extended-properties" xmlns:vt="http://schemas.openxmlformats.org/officeDocument/2006/docPropsVTypes">
  <Template>Normal</Template>
  <Company>SMQ</Company>
  <Pages>4</Pages>
  <Words>299</Words>
  <Characters>1708</Characters>
  <Lines>14</Lines>
  <Paragraphs>4</Paragraphs>
  <TotalTime>52</TotalTime>
  <ScaleCrop>false</ScaleCrop>
  <LinksUpToDate>false</LinksUpToDate>
  <CharactersWithSpaces>2003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2019-04-24T13:01:00Z</dcterms:created>
  <dc:creator>test</dc:creator>
  <cp:lastModifiedBy>李俊妮</cp:lastModifiedBy>
  <dcterms:modified xsi:type="dcterms:W3CDTF">2020-02-27T08:11:07Z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