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附件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baseline"/>
        <w:outlineLvl w:val="9"/>
        <w:rPr>
          <w:rFonts w:hint="eastAsia" w:eastAsia="黑体"/>
          <w:spacing w:val="-12"/>
          <w:sz w:val="44"/>
          <w:szCs w:val="44"/>
          <w:lang w:val="en-US" w:eastAsia="zh-CN"/>
        </w:rPr>
      </w:pPr>
      <w:r>
        <w:rPr>
          <w:rFonts w:hint="eastAsia" w:eastAsia="黑体"/>
          <w:spacing w:val="-12"/>
          <w:sz w:val="44"/>
          <w:szCs w:val="44"/>
          <w:lang w:val="en-US" w:eastAsia="zh-CN"/>
        </w:rPr>
        <w:t>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一</w:t>
      </w:r>
      <w:r>
        <w:rPr>
          <w:rFonts w:eastAsia="黑体"/>
          <w:spacing w:val="-12"/>
          <w:sz w:val="32"/>
          <w:szCs w:val="32"/>
        </w:rPr>
        <w:t>、</w:t>
      </w:r>
      <w:r>
        <w:rPr>
          <w:rFonts w:eastAsia="黑体"/>
          <w:kern w:val="0"/>
          <w:sz w:val="32"/>
          <w:szCs w:val="32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大肠菌群是国内外通用的食品污染常用指示菌之一。食品中检出大肠菌群，提示被致病菌（如沙门氏菌、志贺氏菌、致病性大肠杆菌）污染的可能性较大。产品明示企业标准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糊</w:t>
      </w:r>
      <w:r>
        <w:rPr>
          <w:rFonts w:hint="eastAsia" w:ascii="仿宋_GB2312" w:eastAsia="仿宋_GB2312"/>
          <w:sz w:val="32"/>
          <w:szCs w:val="32"/>
        </w:rPr>
        <w:t>类制品》（</w:t>
      </w:r>
      <w:r>
        <w:rPr>
          <w:rFonts w:eastAsia="仿宋_GB2312"/>
          <w:sz w:val="32"/>
          <w:szCs w:val="32"/>
        </w:rPr>
        <w:t>Q/GLGF0003S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）以及《果蔬燕麦》（</w:t>
      </w:r>
      <w:r>
        <w:rPr>
          <w:rFonts w:eastAsia="仿宋_GB2312"/>
          <w:sz w:val="32"/>
          <w:szCs w:val="32"/>
        </w:rPr>
        <w:t>Q/GXYF0006S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）中规定，</w:t>
      </w:r>
      <w:r>
        <w:rPr>
          <w:rFonts w:eastAsia="仿宋_GB2312"/>
          <w:sz w:val="32"/>
          <w:szCs w:val="32"/>
        </w:rPr>
        <w:t>一个</w:t>
      </w:r>
      <w:r>
        <w:rPr>
          <w:rFonts w:hint="eastAsia" w:ascii="仿宋_GB2312" w:eastAsia="仿宋_GB2312"/>
          <w:color w:val="000000"/>
          <w:sz w:val="32"/>
          <w:szCs w:val="32"/>
        </w:rPr>
        <w:t>糊</w:t>
      </w:r>
      <w:r>
        <w:rPr>
          <w:rFonts w:hint="eastAsia" w:ascii="仿宋_GB2312" w:eastAsia="仿宋_GB2312"/>
          <w:sz w:val="32"/>
          <w:szCs w:val="32"/>
        </w:rPr>
        <w:t>类制品或果蔬燕麦</w:t>
      </w:r>
      <w:r>
        <w:rPr>
          <w:rFonts w:eastAsia="仿宋_GB2312"/>
          <w:sz w:val="32"/>
          <w:szCs w:val="32"/>
        </w:rPr>
        <w:t>样品的大肠菌群5次</w:t>
      </w:r>
      <w:r>
        <w:rPr>
          <w:rFonts w:hint="eastAsia" w:eastAsia="仿宋_GB2312"/>
          <w:sz w:val="32"/>
          <w:szCs w:val="32"/>
        </w:rPr>
        <w:t>检测</w:t>
      </w:r>
      <w:r>
        <w:rPr>
          <w:rFonts w:eastAsia="仿宋_GB2312"/>
          <w:sz w:val="32"/>
          <w:szCs w:val="32"/>
        </w:rPr>
        <w:t>结果均不得超过100CFU/g且至少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次检验结果不得超过10CFU/g。《食品安全国家标准 坚果与</w:t>
      </w:r>
      <w:r>
        <w:rPr>
          <w:rFonts w:eastAsia="仿宋_GB2312"/>
          <w:color w:val="000000"/>
          <w:sz w:val="32"/>
          <w:szCs w:val="32"/>
        </w:rPr>
        <w:t>籽</w:t>
      </w:r>
      <w:r>
        <w:rPr>
          <w:rFonts w:eastAsia="仿宋_GB2312"/>
          <w:sz w:val="32"/>
          <w:szCs w:val="32"/>
        </w:rPr>
        <w:t>类食品》（GB 19300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2014）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规定，</w:t>
      </w:r>
      <w:r>
        <w:rPr>
          <w:rFonts w:hint="eastAsia" w:eastAsia="仿宋_GB2312"/>
          <w:sz w:val="32"/>
          <w:szCs w:val="32"/>
        </w:rPr>
        <w:t>一个</w:t>
      </w:r>
      <w:r>
        <w:rPr>
          <w:rFonts w:eastAsia="仿宋_GB2312"/>
          <w:sz w:val="32"/>
          <w:szCs w:val="32"/>
        </w:rPr>
        <w:t>熟制坚果与</w:t>
      </w:r>
      <w:r>
        <w:rPr>
          <w:rFonts w:eastAsia="仿宋_GB2312"/>
          <w:color w:val="000000"/>
          <w:sz w:val="32"/>
          <w:szCs w:val="32"/>
        </w:rPr>
        <w:t>籽</w:t>
      </w:r>
      <w:r>
        <w:rPr>
          <w:rFonts w:eastAsia="仿宋_GB2312"/>
          <w:sz w:val="32"/>
          <w:szCs w:val="32"/>
        </w:rPr>
        <w:t>类食品及直接食用的生</w:t>
      </w:r>
      <w:r>
        <w:rPr>
          <w:rFonts w:eastAsia="仿宋_GB2312"/>
          <w:color w:val="000000"/>
          <w:sz w:val="32"/>
          <w:szCs w:val="32"/>
        </w:rPr>
        <w:t>干</w:t>
      </w:r>
      <w:r>
        <w:rPr>
          <w:rFonts w:eastAsia="仿宋_GB2312"/>
          <w:sz w:val="32"/>
          <w:szCs w:val="32"/>
        </w:rPr>
        <w:t>坚果与</w:t>
      </w:r>
      <w:r>
        <w:rPr>
          <w:rFonts w:eastAsia="仿宋_GB2312"/>
          <w:color w:val="000000"/>
          <w:sz w:val="32"/>
          <w:szCs w:val="32"/>
        </w:rPr>
        <w:t>籽</w:t>
      </w:r>
      <w:r>
        <w:rPr>
          <w:rFonts w:eastAsia="仿宋_GB2312"/>
          <w:sz w:val="32"/>
          <w:szCs w:val="32"/>
        </w:rPr>
        <w:t>类食品样品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大肠菌群5次检测结果均不得超过100 CFU/g且至少3次检测结果不超过10 CFU/g。大肠菌群超标可能由于产品的加工原料、包装材料受污染，或在生产过程中产品受人员、工器具等生产设备、环境的污染、有灭菌工艺的产品灭菌不彻底而导致。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、铜绿假单胞菌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铜绿假单胞菌是一种条件致病菌, 广泛分布于各种水、空气、正常人的皮肤、呼吸道和肠道等，易在潮湿的环境存活，对消毒剂、紫外线等具有较强的抵抗力，对于抵抗力较弱的人群存在健康风险。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铜绿假单胞菌超标可能是源水防护不当，水体受到污染；生产过程中卫生控制不严格，如从业人员未经消毒的手直接与水或容器内壁接触；或者是包装材料清洗消毒有缺陷所致。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毒死蜱是一种具有触杀、胃毒和熏蒸作用的有机磷杀虫剂。《食品安全国家标准 食品中农药最大残留限量》（GB 2763—2016）中规定，芹菜中毒死</w:t>
      </w:r>
      <w:r>
        <w:rPr>
          <w:rFonts w:eastAsia="仿宋_GB2312"/>
          <w:color w:val="000000"/>
          <w:sz w:val="32"/>
          <w:szCs w:val="32"/>
        </w:rPr>
        <w:t>蜱</w:t>
      </w:r>
      <w:r>
        <w:rPr>
          <w:rFonts w:eastAsia="仿宋_GB2312"/>
          <w:sz w:val="32"/>
          <w:szCs w:val="32"/>
        </w:rPr>
        <w:t>残留限量值不得超过0.05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mg/kg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菠菜中毒死</w:t>
      </w:r>
      <w:r>
        <w:rPr>
          <w:rFonts w:eastAsia="仿宋_GB2312"/>
          <w:color w:val="000000"/>
          <w:sz w:val="32"/>
          <w:szCs w:val="32"/>
        </w:rPr>
        <w:t>蜱</w:t>
      </w:r>
      <w:r>
        <w:rPr>
          <w:rFonts w:eastAsia="仿宋_GB2312"/>
          <w:sz w:val="32"/>
          <w:szCs w:val="32"/>
        </w:rPr>
        <w:t>残留限量值不得超过0.1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mg/kg。毒死蜱对鱼类及水生生物毒性较高，在土壤中残留期较长。长期暴露在含有毒死蜱的环境中，可能会</w:t>
      </w:r>
      <w:r>
        <w:rPr>
          <w:rFonts w:hint="eastAsia" w:eastAsia="仿宋_GB2312"/>
          <w:sz w:val="32"/>
          <w:szCs w:val="32"/>
        </w:rPr>
        <w:t>存在</w:t>
      </w:r>
      <w:r>
        <w:rPr>
          <w:rFonts w:eastAsia="仿宋_GB2312"/>
          <w:sz w:val="32"/>
          <w:szCs w:val="32"/>
        </w:rPr>
        <w:t>神经毒性、生殖毒性，并</w:t>
      </w:r>
      <w:r>
        <w:rPr>
          <w:rFonts w:hint="eastAsia" w:eastAsia="仿宋_GB2312"/>
          <w:sz w:val="32"/>
          <w:szCs w:val="32"/>
        </w:rPr>
        <w:t>可能</w:t>
      </w:r>
      <w:r>
        <w:rPr>
          <w:rFonts w:eastAsia="仿宋_GB2312"/>
          <w:sz w:val="32"/>
          <w:szCs w:val="32"/>
        </w:rPr>
        <w:t>会影响胚胎的生长发育。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氟虫腈是一种苯基吡唑类杀虫剂、杀虫谱广，对害虫以胃毒作用为主，兼有触杀和一定的内吸作用。</w:t>
      </w:r>
      <w:r>
        <w:rPr>
          <w:rFonts w:hint="eastAsia" w:eastAsia="仿宋_GB2312"/>
          <w:sz w:val="32"/>
          <w:szCs w:val="32"/>
        </w:rPr>
        <w:t>《食品安全国家标准食品中农药最大残留限量》（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/>
          <w:sz w:val="32"/>
          <w:szCs w:val="32"/>
        </w:rPr>
        <w:t>）中规定，</w:t>
      </w:r>
      <w:r>
        <w:rPr>
          <w:rFonts w:hint="eastAsia" w:ascii="仿宋_GB2312" w:eastAsia="仿宋_GB2312"/>
          <w:sz w:val="32"/>
          <w:szCs w:val="32"/>
        </w:rPr>
        <w:t>氟虫腈在叶菜类蔬菜中的</w:t>
      </w:r>
      <w:r>
        <w:rPr>
          <w:rFonts w:hint="eastAsia" w:eastAsia="仿宋_GB2312"/>
          <w:sz w:val="32"/>
          <w:szCs w:val="32"/>
        </w:rPr>
        <w:t>最大残留限量为</w:t>
      </w:r>
      <w:r>
        <w:rPr>
          <w:rFonts w:eastAsia="仿宋_GB2312"/>
          <w:sz w:val="32"/>
          <w:szCs w:val="32"/>
        </w:rPr>
        <w:t>0.02mg/kg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、地西泮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西泮又名安定，为镇静剂类药物，主要用于焦虑、镇静催眠，还可用于抗癫痫和抗惊厥。《动物性食品中兽药最高残留限量》（农业部公告第235号）中规定，地西泮在动物性食品中不得检出。地西泮可以降低新鲜活鱼对外界的感知能力，降低新陈代谢，保证其经过运输后仍然鲜活，但地西泮在鱼体内残留是永久性的，它可以通过食物链传递给人类。</w:t>
      </w:r>
      <w:r>
        <w:rPr>
          <w:rFonts w:hint="eastAsia" w:ascii="Times New Roman" w:hAnsi="Times New Roman" w:eastAsia="仿宋_GB2312"/>
          <w:sz w:val="32"/>
          <w:szCs w:val="32"/>
        </w:rPr>
        <w:t>地西泮超过一定剂量会引起人体嗜睡疲乏、动作失调、精神混乱等，严重者还将出现心律失常、昏迷等症状。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</w:rPr>
        <w:t>、土霉素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土霉素属于四环素类，是由链霉菌产生的一种广谱抗生素，具有促进生长和治疗疾病的作用，被广泛应用于饲料添加剂，是防治患病禽畜的常用药物。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土霉素在饲料中滥用会使动物组织中土霉素残留超标，直接危害人体健康。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737AE"/>
    <w:rsid w:val="1B8B564F"/>
    <w:rsid w:val="64E9586B"/>
    <w:rsid w:val="72CD6A7D"/>
    <w:rsid w:val="740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韩绍雄</cp:lastModifiedBy>
  <dcterms:modified xsi:type="dcterms:W3CDTF">2020-03-12T09:51:51Z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