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40" w:firstLineChars="200"/>
        <w:rPr>
          <w:rFonts w:ascii="黑体" w:hAnsi="黑体" w:eastAsia="黑体"/>
          <w:sz w:val="32"/>
          <w:szCs w:val="32"/>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ind w:firstLine="832" w:firstLineChars="20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w:t>
      </w:r>
      <w:bookmarkStart w:id="0" w:name="_GoBack"/>
      <w:bookmarkEnd w:id="0"/>
      <w:r>
        <w:rPr>
          <w:rFonts w:hint="eastAsia" w:ascii="方正小标宋简体" w:eastAsia="方正小标宋简体"/>
          <w:spacing w:val="-12"/>
          <w:sz w:val="44"/>
          <w:szCs w:val="44"/>
        </w:rPr>
        <w:t>项目的小知识</w:t>
      </w:r>
    </w:p>
    <w:p>
      <w:pPr>
        <w:spacing w:line="420" w:lineRule="exact"/>
        <w:ind w:firstLine="592" w:firstLineChars="200"/>
        <w:jc w:val="center"/>
        <w:rPr>
          <w:rFonts w:ascii="仿宋" w:hAnsi="仿宋" w:eastAsia="仿宋" w:cs="仿宋"/>
          <w:spacing w:val="-12"/>
          <w:sz w:val="32"/>
          <w:szCs w:val="32"/>
        </w:rPr>
      </w:pPr>
    </w:p>
    <w:p>
      <w:pPr>
        <w:spacing w:line="420" w:lineRule="exact"/>
        <w:ind w:firstLine="640" w:firstLineChars="200"/>
        <w:outlineLvl w:val="0"/>
        <w:rPr>
          <w:rFonts w:ascii="黑体" w:hAnsi="黑体" w:eastAsia="黑体" w:cs="黑体"/>
          <w:sz w:val="32"/>
          <w:szCs w:val="32"/>
        </w:rPr>
      </w:pPr>
      <w:r>
        <w:rPr>
          <w:rFonts w:hint="eastAsia" w:ascii="黑体" w:hAnsi="黑体" w:eastAsia="黑体"/>
          <w:sz w:val="32"/>
          <w:szCs w:val="32"/>
        </w:rPr>
        <w:t>一</w:t>
      </w:r>
      <w:r>
        <w:rPr>
          <w:rFonts w:hint="eastAsia" w:ascii="黑体" w:hAnsi="黑体" w:eastAsia="黑体" w:cs="黑体"/>
          <w:sz w:val="32"/>
          <w:szCs w:val="32"/>
        </w:rPr>
        <w:t>、过氧化值（以脂肪计）</w:t>
      </w:r>
    </w:p>
    <w:p>
      <w:pPr>
        <w:spacing w:line="420" w:lineRule="exact"/>
        <w:ind w:firstLine="640" w:firstLineChars="200"/>
        <w:rPr>
          <w:rFonts w:ascii="Times New Roman" w:hAnsi="Times New Roman" w:eastAsia="仿宋_GB2312"/>
          <w:sz w:val="32"/>
          <w:szCs w:val="32"/>
        </w:rPr>
      </w:pPr>
      <w:r>
        <w:rPr>
          <w:rFonts w:hint="eastAsia" w:ascii="仿宋" w:hAnsi="仿宋" w:eastAsia="仿宋" w:cs="仿宋"/>
          <w:kern w:val="0"/>
          <w:sz w:val="32"/>
          <w:szCs w:val="32"/>
        </w:rPr>
        <w:t>过氧化值主要反映食品中油脂是否氧化变质。随着油脂氧化，过氧化值会逐步升高。食品中过氧化值超标的原因，可能是</w:t>
      </w:r>
      <w:r>
        <w:rPr>
          <w:rFonts w:hint="eastAsia" w:ascii="仿宋" w:hAnsi="仿宋" w:eastAsia="仿宋" w:cs="仿宋"/>
          <w:sz w:val="32"/>
          <w:szCs w:val="32"/>
        </w:rPr>
        <w:t>产品在储运过程中环境条件控制不当，也可能是原料储存不当，未采取有效的抗氧化措施，导致原料中的脂肪氧化，使得终产品油脂氧化。</w:t>
      </w:r>
    </w:p>
    <w:p>
      <w:pPr>
        <w:spacing w:line="42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二、铝的残留量（干样品，以Al计）</w:t>
      </w:r>
    </w:p>
    <w:p>
      <w:pPr>
        <w:spacing w:line="42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spacing w:line="420" w:lineRule="exact"/>
        <w:ind w:firstLine="640" w:firstLineChars="200"/>
        <w:rPr>
          <w:rFonts w:ascii="黑体" w:hAnsi="黑体" w:eastAsia="黑体" w:cs="黑体"/>
          <w:sz w:val="32"/>
          <w:szCs w:val="32"/>
        </w:rPr>
      </w:pPr>
      <w:r>
        <w:rPr>
          <w:rFonts w:hint="eastAsia" w:ascii="黑体" w:hAnsi="黑体" w:eastAsia="黑体"/>
          <w:sz w:val="32"/>
          <w:szCs w:val="32"/>
        </w:rPr>
        <w:t>三、</w:t>
      </w:r>
      <w:r>
        <w:rPr>
          <w:rFonts w:hint="eastAsia" w:ascii="黑体" w:hAnsi="黑体" w:eastAsia="黑体" w:cs="黑体"/>
          <w:sz w:val="32"/>
          <w:szCs w:val="32"/>
        </w:rPr>
        <w:t>菌落总数</w:t>
      </w:r>
    </w:p>
    <w:p>
      <w:pPr>
        <w:spacing w:line="420" w:lineRule="exact"/>
        <w:ind w:firstLine="640" w:firstLineChars="200"/>
        <w:rPr>
          <w:rFonts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spacing w:line="420" w:lineRule="exact"/>
        <w:ind w:firstLine="592" w:firstLineChars="200"/>
        <w:rPr>
          <w:rFonts w:ascii="Times New Roman" w:hAnsi="黑体" w:eastAsia="黑体"/>
          <w:spacing w:val="-12"/>
          <w:sz w:val="32"/>
          <w:szCs w:val="32"/>
        </w:rPr>
      </w:pPr>
      <w:r>
        <w:rPr>
          <w:rFonts w:hint="eastAsia" w:ascii="Times New Roman" w:hAnsi="黑体" w:eastAsia="黑体"/>
          <w:spacing w:val="-12"/>
          <w:sz w:val="32"/>
          <w:szCs w:val="32"/>
        </w:rPr>
        <w:t>四</w:t>
      </w:r>
      <w:r>
        <w:rPr>
          <w:rFonts w:ascii="Times New Roman" w:hAnsi="黑体" w:eastAsia="黑体"/>
          <w:spacing w:val="-12"/>
          <w:sz w:val="32"/>
          <w:szCs w:val="32"/>
        </w:rPr>
        <w:t>、氧氟沙星</w:t>
      </w:r>
    </w:p>
    <w:p>
      <w:pPr>
        <w:spacing w:line="4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氧氟沙星属于氟喹诺酮类药物，因抗菌谱广、抗菌活性强等曾被广泛用于畜禽细菌性疾病的治疗和预防。农业部公告第2292号中规定，</w:t>
      </w:r>
      <w:r>
        <w:rPr>
          <w:rFonts w:hint="eastAsia" w:ascii="仿宋_GB2312" w:hAnsi="Times New Roman" w:eastAsia="仿宋_GB2312"/>
          <w:sz w:val="32"/>
          <w:szCs w:val="32"/>
        </w:rPr>
        <w:t>自2016年12月31日起，</w:t>
      </w:r>
      <w:r>
        <w:rPr>
          <w:rFonts w:hint="eastAsia" w:ascii="仿宋" w:hAnsi="仿宋" w:eastAsia="仿宋" w:cs="仿宋"/>
          <w:kern w:val="0"/>
          <w:sz w:val="32"/>
          <w:szCs w:val="32"/>
        </w:rPr>
        <w:t>在食品动物中停止使用氧氟沙星。氧氟沙星项目不合格</w:t>
      </w:r>
      <w:r>
        <w:rPr>
          <w:rFonts w:hint="eastAsia" w:ascii="仿宋" w:hAnsi="仿宋" w:eastAsia="仿宋" w:cs="仿宋"/>
          <w:sz w:val="32"/>
          <w:szCs w:val="32"/>
        </w:rPr>
        <w:t>的主要原因可能是养殖过程中为控制疾病而违规使用。</w:t>
      </w:r>
    </w:p>
    <w:p>
      <w:pPr>
        <w:spacing w:line="420" w:lineRule="exact"/>
        <w:ind w:firstLine="640" w:firstLineChars="200"/>
        <w:jc w:val="left"/>
        <w:rPr>
          <w:rFonts w:ascii="黑体" w:hAnsi="黑体" w:eastAsia="黑体"/>
          <w:sz w:val="32"/>
          <w:szCs w:val="32"/>
        </w:rPr>
      </w:pPr>
      <w:r>
        <w:rPr>
          <w:rFonts w:hint="eastAsia" w:ascii="黑体" w:hAnsi="黑体" w:eastAsia="黑体"/>
          <w:sz w:val="32"/>
          <w:szCs w:val="32"/>
        </w:rPr>
        <w:t>五、霉菌</w:t>
      </w:r>
    </w:p>
    <w:p>
      <w:pPr>
        <w:spacing w:line="4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霉菌是常见的真菌，在自然界中广泛存在。受霉菌污染后会使产品腐败变质，破坏产品的色、香、味，降低其食用价值。霉菌超标</w:t>
      </w:r>
      <w:r>
        <w:rPr>
          <w:rFonts w:hint="eastAsia" w:ascii="Times New Roman" w:hAnsi="Times New Roman" w:eastAsia="仿宋_GB2312"/>
          <w:sz w:val="32"/>
          <w:szCs w:val="32"/>
        </w:rPr>
        <w:t>的</w:t>
      </w:r>
      <w:r>
        <w:rPr>
          <w:rFonts w:ascii="Times New Roman" w:hAnsi="Times New Roman" w:eastAsia="仿宋_GB2312"/>
          <w:sz w:val="32"/>
          <w:szCs w:val="32"/>
        </w:rPr>
        <w:t>原因，可能是原料或包装材料受到霉菌污染，产品在生产加工过程中卫生条件控制不到位</w:t>
      </w:r>
      <w:r>
        <w:rPr>
          <w:rFonts w:hint="eastAsia" w:ascii="Times New Roman" w:hAnsi="Times New Roman" w:eastAsia="仿宋_GB2312"/>
          <w:sz w:val="32"/>
          <w:szCs w:val="32"/>
        </w:rPr>
        <w:t>；</w:t>
      </w:r>
      <w:r>
        <w:rPr>
          <w:rFonts w:ascii="Times New Roman" w:hAnsi="Times New Roman" w:eastAsia="仿宋_GB2312"/>
          <w:sz w:val="32"/>
          <w:szCs w:val="32"/>
        </w:rPr>
        <w:t>还有可能</w:t>
      </w:r>
      <w:r>
        <w:rPr>
          <w:rFonts w:hint="eastAsia" w:ascii="Times New Roman" w:hAnsi="Times New Roman" w:eastAsia="仿宋_GB2312"/>
          <w:sz w:val="32"/>
          <w:szCs w:val="32"/>
        </w:rPr>
        <w:t>与</w:t>
      </w:r>
      <w:r>
        <w:rPr>
          <w:rFonts w:ascii="Times New Roman" w:hAnsi="Times New Roman" w:eastAsia="仿宋_GB2312"/>
          <w:sz w:val="32"/>
          <w:szCs w:val="32"/>
        </w:rPr>
        <w:t>生产工器具等设备设施清洗消毒不到位或产品储运条件不当</w:t>
      </w:r>
      <w:r>
        <w:rPr>
          <w:rFonts w:hint="eastAsia" w:ascii="Times New Roman" w:hAnsi="Times New Roman" w:eastAsia="仿宋_GB2312"/>
          <w:sz w:val="32"/>
          <w:szCs w:val="32"/>
        </w:rPr>
        <w:t>等有关</w:t>
      </w:r>
      <w:r>
        <w:rPr>
          <w:rFonts w:ascii="Times New Roman" w:hAnsi="Times New Roman" w:eastAsia="仿宋_GB2312"/>
          <w:sz w:val="32"/>
          <w:szCs w:val="32"/>
        </w:rPr>
        <w:t>。</w:t>
      </w:r>
    </w:p>
    <w:p>
      <w:pPr>
        <w:spacing w:line="420" w:lineRule="exact"/>
        <w:ind w:firstLine="640" w:firstLineChars="200"/>
        <w:rPr>
          <w:rFonts w:ascii="黑体" w:hAnsi="黑体" w:eastAsia="黑体" w:cs="黑体"/>
          <w:sz w:val="32"/>
          <w:szCs w:val="32"/>
        </w:rPr>
      </w:pPr>
      <w:r>
        <w:rPr>
          <w:rFonts w:hint="eastAsia" w:ascii="黑体" w:hAnsi="黑体" w:eastAsia="黑体" w:cs="黑体"/>
          <w:sz w:val="32"/>
          <w:szCs w:val="32"/>
        </w:rPr>
        <w:t>六、4-氯苯氧乙酸钠（以4-氯苯氧乙酸计）</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spacing w:line="420" w:lineRule="exact"/>
        <w:ind w:firstLine="640" w:firstLineChars="200"/>
        <w:rPr>
          <w:rFonts w:ascii="黑体" w:hAnsi="黑体" w:eastAsia="黑体"/>
          <w:sz w:val="32"/>
          <w:szCs w:val="32"/>
        </w:rPr>
      </w:pPr>
      <w:r>
        <w:rPr>
          <w:rFonts w:hint="eastAsia" w:ascii="黑体" w:hAnsi="黑体" w:eastAsia="黑体"/>
          <w:sz w:val="32"/>
          <w:szCs w:val="32"/>
        </w:rPr>
        <w:t>七、腐霉利</w:t>
      </w:r>
    </w:p>
    <w:p>
      <w:pPr>
        <w:spacing w:line="4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腐霉利是一种低毒内吸性杀菌剂，具有保护和治疗双重作用，主要用于蔬菜及果树的灰霉病防治。腐霉利超标的主要原因可能是种植过程中为控制病虫害超量使用或不遵循安全间隔期规定。</w:t>
      </w:r>
    </w:p>
    <w:p>
      <w:pPr>
        <w:pStyle w:val="2"/>
        <w:spacing w:after="0" w:line="420" w:lineRule="exact"/>
        <w:ind w:left="0" w:leftChars="0" w:firstLine="640"/>
        <w:rPr>
          <w:rFonts w:hint="eastAsia" w:ascii="黑体" w:hAnsi="黑体" w:eastAsia="黑体" w:cs="黑体"/>
          <w:sz w:val="32"/>
          <w:szCs w:val="32"/>
          <w:shd w:val="clear" w:color="auto" w:fill="FFFFFF" w:themeFill="background1"/>
          <w:vertAlign w:val="subscript"/>
        </w:rPr>
      </w:pPr>
      <w:r>
        <w:rPr>
          <w:rFonts w:hint="eastAsia" w:ascii="黑体" w:hAnsi="黑体" w:eastAsia="黑体"/>
          <w:sz w:val="32"/>
          <w:szCs w:val="32"/>
          <w:shd w:val="clear" w:color="auto" w:fill="FFFFFF" w:themeFill="background1"/>
        </w:rPr>
        <w:t>八</w:t>
      </w:r>
      <w:r>
        <w:rPr>
          <w:rFonts w:hint="eastAsia" w:ascii="黑体" w:hAnsi="黑体" w:eastAsia="黑体" w:cs="黑体"/>
          <w:sz w:val="32"/>
          <w:szCs w:val="32"/>
          <w:shd w:val="clear" w:color="auto" w:fill="FFFFFF" w:themeFill="background1"/>
        </w:rPr>
        <w:t>、黄曲霉毒素B</w:t>
      </w:r>
      <w:r>
        <w:rPr>
          <w:rFonts w:hint="eastAsia" w:ascii="黑体" w:hAnsi="黑体" w:eastAsia="黑体" w:cs="黑体"/>
          <w:sz w:val="32"/>
          <w:szCs w:val="32"/>
          <w:shd w:val="clear" w:color="auto" w:fill="FFFFFF" w:themeFill="background1"/>
          <w:vertAlign w:val="subscript"/>
        </w:rPr>
        <w:t>1</w:t>
      </w:r>
    </w:p>
    <w:p>
      <w:pPr>
        <w:pStyle w:val="2"/>
        <w:spacing w:after="0" w:line="420" w:lineRule="exact"/>
        <w:ind w:left="0" w:leftChars="0" w:firstLine="640"/>
        <w:rPr>
          <w:rFonts w:ascii="Times New Roman" w:hAnsi="Times New Roman" w:eastAsia="仿宋_GB2312"/>
          <w:kern w:val="2"/>
          <w:sz w:val="32"/>
          <w:szCs w:val="32"/>
        </w:rPr>
      </w:pPr>
      <w:r>
        <w:rPr>
          <w:rFonts w:hint="eastAsia" w:ascii="Times New Roman" w:hAnsi="Times New Roman" w:eastAsia="仿宋_GB2312"/>
          <w:kern w:val="2"/>
          <w:sz w:val="32"/>
          <w:szCs w:val="32"/>
        </w:rPr>
        <w:t>黄曲霉毒素B</w:t>
      </w:r>
      <w:r>
        <w:rPr>
          <w:rFonts w:hint="eastAsia" w:ascii="Times New Roman" w:hAnsi="Times New Roman" w:eastAsia="仿宋_GB2312"/>
          <w:kern w:val="2"/>
          <w:sz w:val="32"/>
          <w:szCs w:val="32"/>
          <w:vertAlign w:val="subscript"/>
        </w:rPr>
        <w:t>1</w:t>
      </w:r>
      <w:r>
        <w:rPr>
          <w:rFonts w:hint="eastAsia" w:ascii="Times New Roman" w:hAnsi="Times New Roman" w:eastAsia="仿宋_GB2312"/>
          <w:kern w:val="2"/>
          <w:sz w:val="32"/>
          <w:szCs w:val="32"/>
        </w:rPr>
        <w:t>是一种强致癌性的真菌毒素。黄曲霉毒素B</w:t>
      </w:r>
      <w:r>
        <w:rPr>
          <w:rFonts w:hint="eastAsia" w:ascii="Times New Roman" w:hAnsi="Times New Roman" w:eastAsia="仿宋_GB2312"/>
          <w:kern w:val="2"/>
          <w:sz w:val="32"/>
          <w:szCs w:val="32"/>
          <w:vertAlign w:val="subscript"/>
        </w:rPr>
        <w:t>1</w:t>
      </w:r>
      <w:r>
        <w:rPr>
          <w:rFonts w:hint="eastAsia" w:ascii="Times New Roman" w:hAnsi="Times New Roman" w:eastAsia="仿宋_GB2312"/>
          <w:kern w:val="2"/>
          <w:sz w:val="32"/>
          <w:szCs w:val="32"/>
        </w:rPr>
        <w:t>超标的原因，</w:t>
      </w:r>
      <w:r>
        <w:rPr>
          <w:rFonts w:ascii="Times New Roman" w:hAnsi="Times New Roman" w:eastAsia="仿宋_GB2312"/>
          <w:kern w:val="2"/>
          <w:sz w:val="32"/>
          <w:szCs w:val="32"/>
        </w:rPr>
        <w:t>可能是原料在种植、采收、运输及储存过程中受到黄曲霉污染，</w:t>
      </w:r>
      <w:r>
        <w:rPr>
          <w:rFonts w:hint="eastAsia" w:ascii="Times New Roman" w:hAnsi="Times New Roman" w:eastAsia="仿宋_GB2312"/>
          <w:kern w:val="2"/>
          <w:sz w:val="32"/>
          <w:szCs w:val="32"/>
        </w:rPr>
        <w:t>或者</w:t>
      </w:r>
      <w:r>
        <w:rPr>
          <w:rFonts w:ascii="Times New Roman" w:hAnsi="Times New Roman" w:eastAsia="仿宋_GB2312"/>
          <w:kern w:val="2"/>
          <w:sz w:val="32"/>
          <w:szCs w:val="32"/>
        </w:rPr>
        <w:t>企业在生产时</w:t>
      </w:r>
      <w:r>
        <w:rPr>
          <w:rFonts w:hint="eastAsia" w:ascii="Times New Roman" w:hAnsi="Times New Roman" w:eastAsia="仿宋_GB2312"/>
          <w:kern w:val="2"/>
          <w:sz w:val="32"/>
          <w:szCs w:val="32"/>
        </w:rPr>
        <w:t>把关不严</w:t>
      </w:r>
      <w:r>
        <w:rPr>
          <w:rFonts w:ascii="Times New Roman" w:hAnsi="Times New Roman" w:eastAsia="仿宋_GB2312"/>
          <w:kern w:val="2"/>
          <w:sz w:val="32"/>
          <w:szCs w:val="32"/>
        </w:rPr>
        <w:t>。</w:t>
      </w:r>
    </w:p>
    <w:p>
      <w:pPr>
        <w:spacing w:line="420" w:lineRule="exact"/>
        <w:ind w:firstLine="640" w:firstLineChars="200"/>
        <w:rPr>
          <w:rFonts w:eastAsia="黑体"/>
          <w:sz w:val="32"/>
          <w:szCs w:val="32"/>
        </w:rPr>
      </w:pPr>
      <w:r>
        <w:rPr>
          <w:rFonts w:hint="eastAsia" w:ascii="黑体" w:hAnsi="黑体" w:eastAsia="黑体" w:cs="黑体"/>
          <w:sz w:val="32"/>
          <w:szCs w:val="32"/>
        </w:rPr>
        <w:t>九</w:t>
      </w:r>
      <w:r>
        <w:rPr>
          <w:rFonts w:hint="eastAsia" w:eastAsia="黑体"/>
          <w:sz w:val="32"/>
          <w:szCs w:val="32"/>
        </w:rPr>
        <w:t>、氟苯尼考</w:t>
      </w:r>
    </w:p>
    <w:p>
      <w:pPr>
        <w:autoSpaceDE w:val="0"/>
        <w:autoSpaceDN w:val="0"/>
        <w:adjustRightInd w:val="0"/>
        <w:spacing w:line="4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氟苯尼考又称氟甲砜霉素，是农业部批准使用的动物专用抗菌药，主要用于敏感细菌所致的猪、鸡、鱼的细菌性疾病。《动物性食品中兽药最高残留限量》（农业部公告第</w:t>
      </w:r>
      <w:r>
        <w:rPr>
          <w:rFonts w:ascii="Times New Roman" w:hAnsi="Times New Roman" w:eastAsia="仿宋_GB2312"/>
          <w:sz w:val="32"/>
          <w:szCs w:val="32"/>
        </w:rPr>
        <w:t>235</w:t>
      </w:r>
      <w:r>
        <w:rPr>
          <w:rFonts w:hint="eastAsia" w:ascii="Times New Roman" w:hAnsi="Times New Roman" w:eastAsia="仿宋_GB2312"/>
          <w:sz w:val="32"/>
          <w:szCs w:val="32"/>
        </w:rPr>
        <w:t>号）中规定，氟苯尼考在产蛋鸡中禁用。</w:t>
      </w:r>
    </w:p>
    <w:p>
      <w:pPr>
        <w:pStyle w:val="4"/>
        <w:widowControl/>
        <w:spacing w:beforeAutospacing="0" w:afterAutospacing="0" w:line="420" w:lineRule="exact"/>
        <w:ind w:firstLine="592" w:firstLineChars="200"/>
        <w:rPr>
          <w:rFonts w:ascii="Times New Roman" w:hAnsi="Times New Roman" w:eastAsia="仿宋_GB2312"/>
          <w:kern w:val="2"/>
          <w:sz w:val="32"/>
          <w:szCs w:val="32"/>
        </w:rPr>
      </w:pPr>
      <w:r>
        <w:rPr>
          <w:rFonts w:hint="eastAsia" w:ascii="Times New Roman" w:hAnsi="黑体" w:eastAsia="黑体"/>
          <w:spacing w:val="-12"/>
          <w:sz w:val="32"/>
          <w:szCs w:val="32"/>
        </w:rPr>
        <w:t>十</w:t>
      </w:r>
      <w:r>
        <w:rPr>
          <w:rFonts w:ascii="Times New Roman" w:hAnsi="黑体" w:eastAsia="黑体"/>
          <w:spacing w:val="-12"/>
          <w:sz w:val="32"/>
          <w:szCs w:val="32"/>
        </w:rPr>
        <w:t>、呋喃唑酮代谢物</w:t>
      </w:r>
    </w:p>
    <w:p>
      <w:pPr>
        <w:spacing w:line="4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呋喃唑酮是硝基呋喃类广谱抗生素，曾广泛应用于畜禽及水产养殖业。硝基呋喃类原型药在生物体内代谢迅速，其代谢物因与蛋白质结合而相当稳定，故常利用对其代谢物的检测来反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sz w:val="32"/>
          <w:szCs w:val="32"/>
        </w:rPr>
        <w:t>映</w:t>
      </w:r>
      <w:r>
        <w:rPr>
          <w:rFonts w:ascii="Times New Roman" w:hAnsi="Times New Roman" w:eastAsia="仿宋_GB2312"/>
          <w:sz w:val="32"/>
          <w:szCs w:val="32"/>
        </w:rPr>
        <w:t>硝基呋喃类药物的残留状况。《动物性食品中兽药最高残留限量》（农业部公告第235号）中规定</w:t>
      </w:r>
      <w:r>
        <w:rPr>
          <w:rFonts w:hint="eastAsia" w:ascii="Times New Roman" w:hAnsi="Times New Roman" w:eastAsia="仿宋_GB2312"/>
          <w:sz w:val="32"/>
          <w:szCs w:val="32"/>
        </w:rPr>
        <w:t>，</w:t>
      </w:r>
      <w:r>
        <w:rPr>
          <w:rFonts w:ascii="Times New Roman" w:hAnsi="Times New Roman" w:eastAsia="仿宋_GB2312"/>
          <w:sz w:val="32"/>
          <w:szCs w:val="32"/>
        </w:rPr>
        <w:t>呋喃唑酮为禁止使用的药物，在动物性食品中不得检出。</w:t>
      </w:r>
    </w:p>
    <w:p>
      <w:pPr>
        <w:spacing w:line="420" w:lineRule="exact"/>
        <w:ind w:firstLine="640" w:firstLineChars="200"/>
        <w:rPr>
          <w:rFonts w:ascii="黑体" w:hAnsi="黑体" w:eastAsia="黑体" w:cs="黑体"/>
          <w:sz w:val="32"/>
          <w:szCs w:val="32"/>
        </w:rPr>
      </w:pPr>
      <w:r>
        <w:rPr>
          <w:rFonts w:hint="eastAsia" w:ascii="黑体" w:hAnsi="黑体" w:eastAsia="黑体" w:cs="黑体"/>
          <w:sz w:val="32"/>
          <w:szCs w:val="32"/>
        </w:rPr>
        <w:t>十一、阴离子合成洗涤剂（以十二烷基苯磺酸钠计）</w:t>
      </w:r>
    </w:p>
    <w:p>
      <w:pPr>
        <w:spacing w:line="420" w:lineRule="exact"/>
        <w:ind w:firstLine="640" w:firstLineChars="200"/>
        <w:rPr>
          <w:rFonts w:ascii="仿宋" w:hAnsi="仿宋" w:eastAsia="仿宋" w:cs="仿宋"/>
          <w:sz w:val="32"/>
          <w:szCs w:val="32"/>
        </w:rPr>
      </w:pPr>
      <w:r>
        <w:rPr>
          <w:rFonts w:hint="eastAsia" w:ascii="仿宋" w:hAnsi="仿宋" w:eastAsia="仿宋" w:cs="仿宋"/>
          <w:sz w:val="32"/>
          <w:szCs w:val="32"/>
        </w:rPr>
        <w:t>阴离子合成洗涤剂，即我们日常生活中经常用到的洗洁精、洗衣粉、洗衣液等洗涤剂的主要成分，因其使用方便、易溶解、稳定性好、成本低等优点，在消毒企业中广泛使用。按照国家标准《食品安全国家标准 消毒餐（饮）具》（GB 14934-2016），采用化学消毒法的餐（饮）具</w:t>
      </w:r>
      <w:r>
        <w:rPr>
          <w:rFonts w:ascii="仿宋" w:hAnsi="仿宋" w:eastAsia="仿宋" w:cs="仿宋"/>
          <w:sz w:val="32"/>
          <w:szCs w:val="32"/>
        </w:rPr>
        <w:t>阴离子合成洗涤剂</w:t>
      </w:r>
      <w:r>
        <w:rPr>
          <w:rFonts w:hint="eastAsia" w:ascii="仿宋" w:hAnsi="仿宋" w:eastAsia="仿宋" w:cs="仿宋"/>
          <w:sz w:val="32"/>
          <w:szCs w:val="32"/>
        </w:rPr>
        <w:t>应不得检出。不合格的原因可能是餐（饮）具消毒单位使用的洗涤剂使用量过大或清洗消毒流程控制不当，造成洗涤剂在餐具上的残留。</w:t>
      </w:r>
    </w:p>
    <w:p>
      <w:pPr>
        <w:pStyle w:val="2"/>
        <w:spacing w:after="0" w:line="420" w:lineRule="exact"/>
        <w:ind w:left="0" w:leftChars="0" w:firstLine="640"/>
        <w:rPr>
          <w:rFonts w:ascii="黑体" w:hAnsi="黑体" w:eastAsia="黑体" w:cs="黑体"/>
          <w:kern w:val="2"/>
          <w:sz w:val="32"/>
          <w:szCs w:val="32"/>
        </w:rPr>
      </w:pPr>
      <w:r>
        <w:rPr>
          <w:rFonts w:hint="eastAsia" w:ascii="黑体" w:hAnsi="黑体" w:eastAsia="黑体" w:cs="黑体"/>
          <w:kern w:val="2"/>
          <w:sz w:val="32"/>
          <w:szCs w:val="32"/>
        </w:rPr>
        <w:t>十二、毒死蜱</w:t>
      </w:r>
    </w:p>
    <w:p>
      <w:pPr>
        <w:pStyle w:val="2"/>
        <w:spacing w:after="0" w:line="420" w:lineRule="exact"/>
        <w:ind w:left="0" w:leftChars="0" w:firstLine="640"/>
      </w:pPr>
      <w:r>
        <w:rPr>
          <w:rFonts w:hint="eastAsia" w:ascii="Times New Roman" w:hAnsi="Times New Roman" w:eastAsia="仿宋_GB2312"/>
          <w:kern w:val="2"/>
          <w:sz w:val="32"/>
          <w:szCs w:val="32"/>
        </w:rPr>
        <w:t>毒死蜱是一种有机磷杀虫剂。《食品安全国家标准 食品中农药最大残留限量》（GB 2763-2016）中规定，毒死蜱在菠菜中的最大残留限量值为0.1mg/kg。</w:t>
      </w:r>
    </w:p>
    <w:p>
      <w:pPr>
        <w:spacing w:line="420" w:lineRule="exact"/>
        <w:ind w:firstLine="640" w:firstLineChars="200"/>
        <w:jc w:val="left"/>
        <w:rPr>
          <w:rFonts w:ascii="黑体" w:hAnsi="黑体" w:eastAsia="黑体"/>
          <w:sz w:val="32"/>
          <w:szCs w:val="32"/>
        </w:rPr>
      </w:pPr>
      <w:r>
        <w:rPr>
          <w:rFonts w:hint="eastAsia" w:ascii="黑体" w:hAnsi="黑体" w:eastAsia="黑体" w:cs="黑体"/>
          <w:sz w:val="32"/>
          <w:szCs w:val="32"/>
        </w:rPr>
        <w:t>十三、</w:t>
      </w:r>
      <w:r>
        <w:rPr>
          <w:rFonts w:hint="eastAsia" w:ascii="黑体" w:hAnsi="黑体" w:eastAsia="黑体"/>
          <w:sz w:val="32"/>
          <w:szCs w:val="32"/>
        </w:rPr>
        <w:t>大肠菌群</w:t>
      </w:r>
    </w:p>
    <w:p>
      <w:pPr>
        <w:spacing w:line="4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rPr>
        <w:t>清洗、消毒不彻底，或存放过程中受到污染等</w:t>
      </w:r>
      <w:r>
        <w:rPr>
          <w:rFonts w:ascii="Times New Roman" w:hAnsi="Times New Roman" w:eastAsia="仿宋_GB2312"/>
          <w:sz w:val="32"/>
          <w:szCs w:val="32"/>
        </w:rPr>
        <w:t>。</w:t>
      </w:r>
    </w:p>
    <w:p>
      <w:pPr>
        <w:spacing w:line="420" w:lineRule="exact"/>
        <w:ind w:firstLine="640" w:firstLineChars="200"/>
        <w:jc w:val="left"/>
        <w:rPr>
          <w:rFonts w:ascii="Times New Roman" w:hAnsi="Times New Roman" w:eastAsia="仿宋_GB2312"/>
          <w:sz w:val="32"/>
          <w:szCs w:val="32"/>
        </w:rPr>
      </w:pPr>
      <w:r>
        <w:rPr>
          <w:rFonts w:hint="eastAsia" w:ascii="黑体" w:hAnsi="黑体" w:eastAsia="黑体"/>
          <w:sz w:val="32"/>
          <w:szCs w:val="32"/>
        </w:rPr>
        <w:t>十四、诺氟沙星</w:t>
      </w:r>
    </w:p>
    <w:p>
      <w:pPr>
        <w:spacing w:line="4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诺氟沙星是氟喹诺酮类抗菌药，具有广谱抗菌作用，对革兰氏阳性菌、阴性菌均有较强的抗菌作用。诺氟沙星可通过抑制细菌DNA旋转酶，干扰细菌DNA的复制、转录和修复重组，致使细菌不能正常生长繁殖而死亡。蜂蜜中检出诺氟沙星的原因，可能是诺氟沙星作为蜂药被用于蜜蜂养殖。</w:t>
      </w:r>
    </w:p>
    <w:p>
      <w:pPr>
        <w:spacing w:line="420" w:lineRule="exact"/>
        <w:ind w:firstLine="640" w:firstLineChars="200"/>
        <w:rPr>
          <w:rFonts w:hint="eastAsia" w:ascii="黑体" w:hAnsi="黑体" w:eastAsia="黑体"/>
          <w:sz w:val="32"/>
          <w:szCs w:val="32"/>
        </w:rPr>
      </w:pPr>
      <w:r>
        <w:rPr>
          <w:rFonts w:hint="eastAsia" w:ascii="黑体" w:hAnsi="黑体" w:eastAsia="黑体"/>
          <w:sz w:val="32"/>
          <w:szCs w:val="32"/>
        </w:rPr>
        <w:t>十五、果糖和葡萄糖</w:t>
      </w:r>
    </w:p>
    <w:p>
      <w:pPr>
        <w:pStyle w:val="2"/>
        <w:spacing w:after="0" w:line="420" w:lineRule="exact"/>
        <w:ind w:left="0" w:leftChars="0" w:firstLine="64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果糖和葡萄糖是蜂蜜的主要甜味成分和重要质量特性指标。《食品安全国家标准 蜂蜜》（GB 14963-2011）规定，蜂蜜中果糖和葡萄糖的含量不得低于60%。果糖和葡萄糖的含量指标偏低，有可能是蜂蜜没有充分酿造，也有可能是蜂蜜中掺有其他糖类物质。</w:t>
      </w:r>
    </w:p>
    <w:p>
      <w:pPr>
        <w:pStyle w:val="2"/>
        <w:spacing w:after="0" w:line="420" w:lineRule="exact"/>
        <w:ind w:left="0" w:leftChars="0" w:firstLine="640"/>
        <w:rPr>
          <w:rFonts w:ascii="黑体" w:hAnsi="黑体" w:eastAsia="黑体"/>
          <w:kern w:val="2"/>
          <w:sz w:val="32"/>
          <w:szCs w:val="32"/>
        </w:rPr>
      </w:pPr>
      <w:r>
        <w:rPr>
          <w:rFonts w:hint="eastAsia" w:ascii="黑体" w:hAnsi="黑体" w:eastAsia="黑体"/>
          <w:kern w:val="2"/>
          <w:sz w:val="32"/>
          <w:szCs w:val="32"/>
        </w:rPr>
        <w:t>十六、防腐剂混合使用时各自用量占其最大使用量的比例之和</w:t>
      </w:r>
    </w:p>
    <w:p>
      <w:pPr>
        <w:pStyle w:val="2"/>
        <w:spacing w:after="0" w:line="420" w:lineRule="exact"/>
        <w:ind w:left="0" w:leftChars="0" w:firstLine="640"/>
        <w:rPr>
          <w:rFonts w:ascii="Times New Roman" w:hAnsi="Times New Roman" w:eastAsia="仿宋_GB2312"/>
          <w:sz w:val="32"/>
          <w:szCs w:val="32"/>
        </w:rPr>
      </w:pPr>
      <w:r>
        <w:rPr>
          <w:rFonts w:hint="eastAsia" w:ascii="Times New Roman" w:hAnsi="Times New Roman" w:eastAsia="仿宋_GB2312"/>
          <w:kern w:val="2"/>
          <w:sz w:val="32"/>
          <w:szCs w:val="32"/>
        </w:rPr>
        <w:t>防腐剂是常见的食品添加剂，能抑制微生物的生长繁殖，防止食品腐败变质从而延长保质期。《食品安全国家标准食品添加剂使用标准》（GB 2760-2014）中不仅规定了我国在食品中允许添加的某一添加剂的种类、使用量或残留量，而且规定了同一功能的防腐剂在混合使用时，各自用量占其最大使用量的比例之和不应超过1。糕点中防腐剂混合使用时各自用量占其最大使用量的比例之和超标的原因，可能是生产厂商对国家标准不了解或了解得不够透彻，随意添加多种防腐剂所致。</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350FC"/>
    <w:rsid w:val="00266986"/>
    <w:rsid w:val="00455687"/>
    <w:rsid w:val="00545C2B"/>
    <w:rsid w:val="00592EB5"/>
    <w:rsid w:val="00622681"/>
    <w:rsid w:val="006D0330"/>
    <w:rsid w:val="009A5309"/>
    <w:rsid w:val="00CE222B"/>
    <w:rsid w:val="00CE3F07"/>
    <w:rsid w:val="00DC5194"/>
    <w:rsid w:val="00E75B5B"/>
    <w:rsid w:val="00F533C2"/>
    <w:rsid w:val="00F86539"/>
    <w:rsid w:val="020145AD"/>
    <w:rsid w:val="02461A32"/>
    <w:rsid w:val="049C10E0"/>
    <w:rsid w:val="091E1E8C"/>
    <w:rsid w:val="096176A1"/>
    <w:rsid w:val="098C4AD6"/>
    <w:rsid w:val="09AD3D2D"/>
    <w:rsid w:val="0A8A135D"/>
    <w:rsid w:val="0AAB3302"/>
    <w:rsid w:val="0C1A7DE6"/>
    <w:rsid w:val="0C6647C1"/>
    <w:rsid w:val="0D080EEF"/>
    <w:rsid w:val="109C1D15"/>
    <w:rsid w:val="10AE03F8"/>
    <w:rsid w:val="11540BC8"/>
    <w:rsid w:val="14DD132B"/>
    <w:rsid w:val="15D35D91"/>
    <w:rsid w:val="16293424"/>
    <w:rsid w:val="16A5094C"/>
    <w:rsid w:val="16F16139"/>
    <w:rsid w:val="17844181"/>
    <w:rsid w:val="17D16A01"/>
    <w:rsid w:val="1DC60705"/>
    <w:rsid w:val="1E653698"/>
    <w:rsid w:val="21267DEF"/>
    <w:rsid w:val="214E7B36"/>
    <w:rsid w:val="241F67F7"/>
    <w:rsid w:val="24DF7C17"/>
    <w:rsid w:val="27441CC2"/>
    <w:rsid w:val="27DE4DFA"/>
    <w:rsid w:val="29527064"/>
    <w:rsid w:val="29CB062A"/>
    <w:rsid w:val="2B2479BE"/>
    <w:rsid w:val="2D873E73"/>
    <w:rsid w:val="2DC9409F"/>
    <w:rsid w:val="2E047006"/>
    <w:rsid w:val="2EF84E53"/>
    <w:rsid w:val="30B03B2F"/>
    <w:rsid w:val="311B2AB5"/>
    <w:rsid w:val="32CB30AC"/>
    <w:rsid w:val="37184F83"/>
    <w:rsid w:val="3ABC1FE1"/>
    <w:rsid w:val="3B551BC6"/>
    <w:rsid w:val="3E0B4B63"/>
    <w:rsid w:val="3EA42C16"/>
    <w:rsid w:val="3FF47B42"/>
    <w:rsid w:val="41036A61"/>
    <w:rsid w:val="41E80A47"/>
    <w:rsid w:val="426A6186"/>
    <w:rsid w:val="43CF2673"/>
    <w:rsid w:val="444C3A23"/>
    <w:rsid w:val="456D64FF"/>
    <w:rsid w:val="45801D20"/>
    <w:rsid w:val="47476A52"/>
    <w:rsid w:val="48117E1B"/>
    <w:rsid w:val="492B5D59"/>
    <w:rsid w:val="4B2702ED"/>
    <w:rsid w:val="4C403DD2"/>
    <w:rsid w:val="4F080B75"/>
    <w:rsid w:val="4F2C65C3"/>
    <w:rsid w:val="5017563D"/>
    <w:rsid w:val="513F6002"/>
    <w:rsid w:val="54662E91"/>
    <w:rsid w:val="54DA4CA8"/>
    <w:rsid w:val="55D67DAA"/>
    <w:rsid w:val="560E5994"/>
    <w:rsid w:val="56666818"/>
    <w:rsid w:val="58BA776A"/>
    <w:rsid w:val="5A515E52"/>
    <w:rsid w:val="5BAE373B"/>
    <w:rsid w:val="5BC33DA8"/>
    <w:rsid w:val="5C4821F4"/>
    <w:rsid w:val="5DAD2E62"/>
    <w:rsid w:val="60A26DA1"/>
    <w:rsid w:val="61117A29"/>
    <w:rsid w:val="612175D9"/>
    <w:rsid w:val="61DB1E35"/>
    <w:rsid w:val="61EE24B5"/>
    <w:rsid w:val="645F28A9"/>
    <w:rsid w:val="65031979"/>
    <w:rsid w:val="656B0542"/>
    <w:rsid w:val="662B3639"/>
    <w:rsid w:val="66B21B51"/>
    <w:rsid w:val="697C5C95"/>
    <w:rsid w:val="6B5457C1"/>
    <w:rsid w:val="6EF70921"/>
    <w:rsid w:val="72F102A1"/>
    <w:rsid w:val="73832442"/>
    <w:rsid w:val="74895696"/>
    <w:rsid w:val="75EA0C47"/>
    <w:rsid w:val="77F013EB"/>
    <w:rsid w:val="78676F6E"/>
    <w:rsid w:val="79D028D0"/>
    <w:rsid w:val="7A6E225E"/>
    <w:rsid w:val="7AFB4DF9"/>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kern w:val="0"/>
      <w:szCs w:val="20"/>
    </w:rPr>
  </w:style>
  <w:style w:type="paragraph" w:styleId="4">
    <w:name w:val="Normal (Web)"/>
    <w:basedOn w:val="1"/>
    <w:unhideWhenUsed/>
    <w:qFormat/>
    <w:uiPriority w:val="99"/>
    <w:pPr>
      <w:spacing w:beforeAutospacing="1" w:afterAutospacing="1"/>
      <w:jc w:val="left"/>
    </w:pPr>
    <w:rPr>
      <w:kern w:val="0"/>
      <w:sz w:val="24"/>
    </w:rPr>
  </w:style>
  <w:style w:type="character" w:styleId="7">
    <w:name w:val="Hyperlink"/>
    <w:basedOn w:val="6"/>
    <w:qFormat/>
    <w:uiPriority w:val="0"/>
    <w:rPr>
      <w:color w:val="0000FF"/>
      <w:u w:val="single"/>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2117</Words>
  <Characters>120</Characters>
  <Lines>1</Lines>
  <Paragraphs>4</Paragraphs>
  <TotalTime>41</TotalTime>
  <ScaleCrop>false</ScaleCrop>
  <LinksUpToDate>false</LinksUpToDate>
  <CharactersWithSpaces>2233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2020-03-17T10:17:21Z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