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23" w:rsidRDefault="00035D4C">
      <w:pPr>
        <w:pStyle w:val="affffff0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E70B30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E70B30">
        <w:fldChar w:fldCharType="separate"/>
      </w:r>
      <w:r>
        <w:rPr>
          <w:rFonts w:hint="eastAsia"/>
        </w:rPr>
        <w:t>点击此处添加ICS号</w:t>
      </w:r>
      <w:r w:rsidR="00E70B30">
        <w:fldChar w:fldCharType="end"/>
      </w:r>
      <w:bookmarkEnd w:id="0"/>
    </w:p>
    <w:bookmarkStart w:id="1" w:name="WXFLH"/>
    <w:p w:rsidR="00A11123" w:rsidRDefault="00E70B30">
      <w:pPr>
        <w:pStyle w:val="affffff0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 w:rsidR="00035D4C">
        <w:instrText xml:space="preserve"> FORMTEXT </w:instrText>
      </w:r>
      <w:r>
        <w:fldChar w:fldCharType="separate"/>
      </w:r>
      <w:r w:rsidR="00035D4C"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Style w:val="afff3"/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A11123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23" w:rsidRDefault="00104E1D">
            <w:pPr>
              <w:pStyle w:val="affffff0"/>
              <w:framePr w:wrap="around"/>
            </w:pPr>
            <w:r>
              <w:rPr>
                <w:noProof/>
              </w:rPr>
              <w:pict>
                <v:rect id="BAH" o:spid="_x0000_s1026" style="position:absolute;margin-left:-5.25pt;margin-top:0;width:68.25pt;height:15.6pt;z-index:-25165312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yK4v7NUAAAAHAQAADwAAAAAAAAABACAAAAAi&#10;AAAAZHJzL2Rvd25yZXYueG1sUEsBAhQAFAAAAAgAh07iQFNqfDebAQAAIgMAAA4AAAAAAAAAAQAg&#10;AAAAJAEAAGRycy9lMm9Eb2MueG1sUEsFBgAAAAAGAAYAWQEAADEFAAAAAA==&#10;" stroked="f"/>
              </w:pict>
            </w:r>
            <w:r w:rsidR="00E70B30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="00035D4C">
              <w:instrText xml:space="preserve"> FORMTEXT </w:instrText>
            </w:r>
            <w:r w:rsidR="00E70B30">
              <w:fldChar w:fldCharType="separate"/>
            </w:r>
            <w:r w:rsidR="00035D4C">
              <w:t>     </w:t>
            </w:r>
            <w:r w:rsidR="00E70B30">
              <w:fldChar w:fldCharType="end"/>
            </w:r>
            <w:bookmarkEnd w:id="2"/>
          </w:p>
        </w:tc>
      </w:tr>
    </w:tbl>
    <w:p w:rsidR="00A11123" w:rsidRDefault="00035D4C">
      <w:pPr>
        <w:pStyle w:val="afffff5"/>
        <w:framePr w:wrap="around"/>
      </w:pPr>
      <w:r>
        <w:t>DB</w:t>
      </w:r>
      <w:bookmarkStart w:id="3" w:name="c3"/>
      <w:r w:rsidR="00E70B30"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 w:rsidR="00E70B30">
        <w:fldChar w:fldCharType="separate"/>
      </w:r>
      <w:r>
        <w:rPr>
          <w:rFonts w:hint="eastAsia"/>
        </w:rPr>
        <w:t>36</w:t>
      </w:r>
      <w:r w:rsidR="00E70B30">
        <w:fldChar w:fldCharType="end"/>
      </w:r>
      <w:bookmarkEnd w:id="3"/>
    </w:p>
    <w:bookmarkStart w:id="4" w:name="c4"/>
    <w:p w:rsidR="00A11123" w:rsidRDefault="00E70B30">
      <w:pPr>
        <w:pStyle w:val="afffff6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 w:rsidR="00035D4C">
        <w:instrText xml:space="preserve"> FORMTEXT </w:instrText>
      </w:r>
      <w:r>
        <w:fldChar w:fldCharType="separate"/>
      </w:r>
      <w:r w:rsidR="00035D4C">
        <w:rPr>
          <w:rFonts w:hint="eastAsia"/>
        </w:rPr>
        <w:t>江西省</w:t>
      </w:r>
      <w:r>
        <w:fldChar w:fldCharType="end"/>
      </w:r>
      <w:bookmarkEnd w:id="4"/>
      <w:r w:rsidR="00035D4C">
        <w:rPr>
          <w:rFonts w:hint="eastAsia"/>
        </w:rPr>
        <w:t>地方标准</w:t>
      </w:r>
    </w:p>
    <w:p w:rsidR="00A11123" w:rsidRDefault="00035D4C">
      <w:pPr>
        <w:pStyle w:val="21"/>
        <w:framePr w:wrap="around"/>
      </w:pPr>
      <w:r>
        <w:rPr>
          <w:rFonts w:ascii="Times New Roman"/>
        </w:rPr>
        <w:t xml:space="preserve">DB </w:t>
      </w:r>
      <w:bookmarkStart w:id="5" w:name="StdNo0"/>
      <w:r w:rsidR="00E70B30"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instrText xml:space="preserve"> FORMTEXT </w:instrText>
      </w:r>
      <w:r w:rsidR="00E70B30">
        <w:fldChar w:fldCharType="separate"/>
      </w:r>
      <w:r>
        <w:rPr>
          <w:rFonts w:hint="eastAsia"/>
        </w:rPr>
        <w:t>36</w:t>
      </w:r>
      <w:r w:rsidR="00E70B30">
        <w:fldChar w:fldCharType="end"/>
      </w:r>
      <w:bookmarkEnd w:id="5"/>
      <w:r>
        <w:t xml:space="preserve">/ </w:t>
      </w:r>
      <w:bookmarkStart w:id="6" w:name="StdNo1"/>
      <w:r w:rsidR="00E70B30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 w:rsidR="00E70B30">
        <w:fldChar w:fldCharType="separate"/>
      </w:r>
      <w:r>
        <w:t>T</w:t>
      </w:r>
      <w:r w:rsidR="00E70B30">
        <w:fldChar w:fldCharType="end"/>
      </w:r>
      <w:bookmarkEnd w:id="6"/>
      <w:r>
        <w:t>—</w:t>
      </w:r>
      <w:bookmarkStart w:id="7" w:name="StdNo2"/>
      <w:r w:rsidR="00E70B30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 w:rsidR="00E70B30">
        <w:fldChar w:fldCharType="separate"/>
      </w:r>
      <w:r>
        <w:t>XXXX</w:t>
      </w:r>
      <w:r w:rsidR="00E70B30">
        <w:fldChar w:fldCharType="end"/>
      </w:r>
      <w:bookmarkEnd w:id="7"/>
    </w:p>
    <w:tbl>
      <w:tblPr>
        <w:tblStyle w:val="afff3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11123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8" w:name="DT"/>
          <w:p w:rsidR="00A11123" w:rsidRDefault="00E70B30">
            <w:pPr>
              <w:pStyle w:val="affff3"/>
              <w:framePr w:wrap="around"/>
            </w:pP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="00035D4C">
              <w:instrText xml:space="preserve"> FORMTEXT </w:instrText>
            </w:r>
            <w:r>
              <w:fldChar w:fldCharType="separate"/>
            </w:r>
            <w:r w:rsidR="00035D4C">
              <w:t>     </w:t>
            </w:r>
            <w:r>
              <w:fldChar w:fldCharType="end"/>
            </w:r>
            <w:bookmarkEnd w:id="8"/>
          </w:p>
        </w:tc>
      </w:tr>
    </w:tbl>
    <w:p w:rsidR="00A11123" w:rsidRDefault="00A11123">
      <w:pPr>
        <w:pStyle w:val="21"/>
        <w:framePr w:wrap="around"/>
      </w:pPr>
    </w:p>
    <w:p w:rsidR="00A11123" w:rsidRDefault="00A11123">
      <w:pPr>
        <w:pStyle w:val="21"/>
        <w:framePr w:wrap="around"/>
      </w:pPr>
    </w:p>
    <w:bookmarkStart w:id="9" w:name="StdName"/>
    <w:p w:rsidR="00A11123" w:rsidRDefault="00E70B30">
      <w:pPr>
        <w:pStyle w:val="affff4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035D4C">
        <w:instrText xml:space="preserve"> FORMTEXT </w:instrText>
      </w:r>
      <w:r>
        <w:fldChar w:fldCharType="separate"/>
      </w:r>
      <w:r w:rsidR="00352293" w:rsidRPr="00352293">
        <w:rPr>
          <w:rFonts w:hint="eastAsia"/>
        </w:rPr>
        <w:t>双季稻氮素监测诊断技术规程</w:t>
      </w:r>
      <w:r>
        <w:fldChar w:fldCharType="end"/>
      </w:r>
      <w:bookmarkEnd w:id="9"/>
    </w:p>
    <w:bookmarkStart w:id="10" w:name="StdEnglishName"/>
    <w:p w:rsidR="00A11123" w:rsidRDefault="00E70B30">
      <w:pPr>
        <w:pStyle w:val="affff5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035D4C">
        <w:instrText xml:space="preserve"> FORMTEXT </w:instrText>
      </w:r>
      <w:r>
        <w:fldChar w:fldCharType="separate"/>
      </w:r>
      <w:r w:rsidR="00352293">
        <w:rPr>
          <w:rFonts w:hint="eastAsia"/>
        </w:rPr>
        <w:t>T</w:t>
      </w:r>
      <w:r w:rsidR="00684DF1" w:rsidRPr="00684DF1">
        <w:t>echni</w:t>
      </w:r>
      <w:r w:rsidR="00BD58D3">
        <w:rPr>
          <w:rFonts w:hint="eastAsia"/>
        </w:rPr>
        <w:t>cal</w:t>
      </w:r>
      <w:r w:rsidR="00684DF1" w:rsidRPr="00684DF1">
        <w:t xml:space="preserve"> procedure of </w:t>
      </w:r>
      <w:r w:rsidR="00352293" w:rsidRPr="00352293">
        <w:t xml:space="preserve">nitrogen monitoring and diagnosis </w:t>
      </w:r>
      <w:r w:rsidR="00352293">
        <w:rPr>
          <w:rFonts w:hint="eastAsia"/>
        </w:rPr>
        <w:t>in</w:t>
      </w:r>
      <w:r w:rsidR="00352293" w:rsidRPr="00352293">
        <w:t xml:space="preserve"> double cropping rice</w:t>
      </w:r>
      <w:r>
        <w:fldChar w:fldCharType="end"/>
      </w:r>
      <w:bookmarkEnd w:id="10"/>
    </w:p>
    <w:bookmarkStart w:id="11" w:name="YZBS"/>
    <w:p w:rsidR="00A11123" w:rsidRDefault="00E70B30">
      <w:pPr>
        <w:pStyle w:val="affff6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035D4C">
        <w:instrText xml:space="preserve"> FORMTEXT </w:instrText>
      </w:r>
      <w:r>
        <w:fldChar w:fldCharType="separate"/>
      </w:r>
      <w:r w:rsidR="00352293">
        <w:t> </w:t>
      </w:r>
      <w:r>
        <w:fldChar w:fldCharType="end"/>
      </w:r>
      <w:bookmarkEnd w:id="11"/>
    </w:p>
    <w:tbl>
      <w:tblPr>
        <w:tblStyle w:val="afff3"/>
        <w:tblW w:w="9855" w:type="dxa"/>
        <w:tblLayout w:type="fixed"/>
        <w:tblLook w:val="04A0" w:firstRow="1" w:lastRow="0" w:firstColumn="1" w:lastColumn="0" w:noHBand="0" w:noVBand="1"/>
      </w:tblPr>
      <w:tblGrid>
        <w:gridCol w:w="9855"/>
      </w:tblGrid>
      <w:tr w:rsidR="00A11123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23" w:rsidRDefault="00104E1D">
            <w:pPr>
              <w:pStyle w:val="affff7"/>
              <w:framePr w:wrap="around"/>
            </w:pPr>
            <w:r>
              <w:rPr>
                <w:noProof/>
              </w:rPr>
              <w:pict>
                <v:rect id="RQ" o:spid="_x0000_s1031" style="position:absolute;left:0;text-align:left;margin-left:173.3pt;margin-top:337.15pt;width:150pt;height:20pt;z-index:-251654144" o:gfxdata="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39f34NcAAAALAQAADwAAAAAAAAABACAAAAAiAAAA&#10;ZHJzL2Rvd25yZXYueG1sUEsBAhQAFAAAAAgAh07iQH/vL4OWAQAAIgMAAA4AAAAAAAAAAQAgAAAA&#10;JgEAAGRycy9lMm9Eb2MueG1sUEsFBgAAAAAGAAYAWQEAAC4FAAAAAA==&#10;" stroked="f">
                  <w10:anchorlock/>
                </v:rect>
              </w:pict>
            </w:r>
            <w:r w:rsidR="00E70B30">
              <w:fldChar w:fldCharType="begin">
                <w:ffData>
                  <w:name w:val="LB"/>
                  <w:enabled/>
                  <w:calcOnExit w:val="0"/>
                  <w:ddList>
                    <w:result w:val="4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 w:rsidR="00035D4C">
              <w:instrText xml:space="preserve"> FORMDROPDOWN </w:instrText>
            </w:r>
            <w:r>
              <w:fldChar w:fldCharType="separate"/>
            </w:r>
            <w:r w:rsidR="00E70B30">
              <w:fldChar w:fldCharType="end"/>
            </w:r>
            <w:bookmarkEnd w:id="12"/>
          </w:p>
        </w:tc>
      </w:tr>
      <w:bookmarkStart w:id="13" w:name="WCRQ"/>
      <w:tr w:rsidR="00A11123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23" w:rsidRDefault="00E70B30">
            <w:pPr>
              <w:pStyle w:val="affff8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035D4C">
              <w:instrText xml:space="preserve"> FORMTEXT </w:instrText>
            </w:r>
            <w:r>
              <w:fldChar w:fldCharType="separate"/>
            </w:r>
            <w:r w:rsidR="00035D4C">
              <w:t>     </w:t>
            </w:r>
            <w:r>
              <w:fldChar w:fldCharType="end"/>
            </w:r>
            <w:bookmarkEnd w:id="13"/>
          </w:p>
        </w:tc>
      </w:tr>
    </w:tbl>
    <w:bookmarkStart w:id="14" w:name="FY"/>
    <w:p w:rsidR="00A11123" w:rsidRDefault="00E70B30">
      <w:pPr>
        <w:pStyle w:val="affffff5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 w:rsidR="00035D4C">
        <w:t xml:space="preserve"> </w:t>
      </w:r>
      <w:r w:rsidR="00035D4C">
        <w:rPr>
          <w:rFonts w:ascii="黑体"/>
        </w:rPr>
        <w:t>-</w:t>
      </w:r>
      <w:r w:rsidR="00035D4C"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</w:t>
      </w:r>
      <w:r>
        <w:rPr>
          <w:rFonts w:ascii="黑体"/>
        </w:rPr>
        <w:fldChar w:fldCharType="end"/>
      </w:r>
      <w:r w:rsidR="00035D4C">
        <w:t xml:space="preserve"> </w:t>
      </w:r>
      <w:r w:rsidR="00035D4C">
        <w:rPr>
          <w:rFonts w:ascii="黑体"/>
        </w:rPr>
        <w:t>-</w:t>
      </w:r>
      <w:r w:rsidR="00035D4C"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 w:rsidR="00035D4C">
        <w:rPr>
          <w:rFonts w:hint="eastAsia"/>
        </w:rPr>
        <w:t>发布</w:t>
      </w:r>
      <w:r w:rsidR="00104E1D">
        <w:rPr>
          <w:noProof/>
        </w:rPr>
        <w:pict>
          <v:line id="直线 10" o:spid="_x0000_s1030" style="position:absolute;z-index:251658240;mso-position-horizontal-relative:text;mso-position-vertical-relative:page" from="-.05pt,728.5pt" to="481.85pt,728.5pt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h2s81gAAAAsBAAAPAAAAAAAAAAEAIAAAACIAAABkcnMvZG93bnJldi54&#10;bWxQSwECFAAUAAAACACHTuJAX3HkvsMBAACCAwAADgAAAAAAAAABACAAAAAlAQAAZHJzL2Uyb0Rv&#10;Yy54bWxQSwUGAAAAAAYABgBZAQAAWgUAAAAA&#10;">
            <w10:wrap anchory="page"/>
            <w10:anchorlock/>
          </v:line>
        </w:pict>
      </w:r>
    </w:p>
    <w:bookmarkStart w:id="16" w:name="SY"/>
    <w:p w:rsidR="00A11123" w:rsidRDefault="00E70B30">
      <w:pPr>
        <w:pStyle w:val="affffff6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 w:rsidR="00035D4C">
        <w:t xml:space="preserve"> </w:t>
      </w:r>
      <w:r w:rsidR="00035D4C">
        <w:rPr>
          <w:rFonts w:ascii="黑体"/>
        </w:rPr>
        <w:t>-</w:t>
      </w:r>
      <w:r w:rsidR="00035D4C"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 w:rsidR="00035D4C">
        <w:t xml:space="preserve"> </w:t>
      </w:r>
      <w:r w:rsidR="00035D4C">
        <w:rPr>
          <w:rFonts w:ascii="黑体"/>
        </w:rPr>
        <w:t>-</w:t>
      </w:r>
      <w:r w:rsidR="00035D4C"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035D4C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035D4C"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 w:rsidR="00035D4C">
        <w:rPr>
          <w:rFonts w:hint="eastAsia"/>
        </w:rPr>
        <w:t>实施</w:t>
      </w:r>
    </w:p>
    <w:p w:rsidR="00A11123" w:rsidRDefault="00104E1D">
      <w:pPr>
        <w:pStyle w:val="afffff7"/>
        <w:framePr w:wrap="around"/>
      </w:pPr>
      <w:bookmarkStart w:id="19" w:name="fm"/>
      <w:r>
        <w:rPr>
          <w:noProof/>
          <w:w w:val="100"/>
        </w:rPr>
        <w:pict>
          <v:rect id="LB" o:spid="_x0000_s1029" style="position:absolute;left:0;text-align:left;margin-left:142.55pt;margin-top:-310.45pt;width:100pt;height:24pt;z-index:-251655168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5te7W2QAAAA0BAAAPAAAAAAAAAAEAIAAAACIA&#10;AABkcnMvZG93bnJldi54bWxQSwECFAAUAAAACACHTuJAJ8rUxJYBAAAiAwAADgAAAAAAAAABACAA&#10;AAAoAQAAZHJzL2Uyb0RvYy54bWxQSwUGAAAAAAYABgBZAQAAMAUAAAAA&#10;" stroked="f"/>
        </w:pict>
      </w:r>
      <w:r>
        <w:rPr>
          <w:noProof/>
          <w:w w:val="100"/>
        </w:rPr>
        <w:pict>
          <v:rect id="DT" o:spid="_x0000_s1028" style="position:absolute;left:0;text-align:left;margin-left:347.55pt;margin-top:-585.45pt;width:90pt;height:18pt;z-index:-251656192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38mKEdoAAAAPAQAADwAAAAAAAAABACAAAAAi&#10;AAAAZHJzL2Rvd25yZXYueG1sUEsBAhQAFAAAAAgAh07iQIQBMQKWAQAAIgMAAA4AAAAAAAAAAQAg&#10;AAAAKQEAAGRycy9lMm9Eb2MueG1sUEsFBgAAAAAGAAYAWQEAADEFAAAAAA==&#10;" stroked="f"/>
        </w:pict>
      </w:r>
      <w:r>
        <w:rPr>
          <w:noProof/>
          <w:w w:val="100"/>
        </w:rPr>
        <w:pict>
          <v:line id="直线 11" o:spid="_x0000_s1027" style="position:absolute;left:0;text-align:left;z-index:251659264" from="-36.6pt,-552.85pt" to="445.3pt,-552.85pt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7JZGg2AAAAA8BAAAPAAAAAAAAAAEAIAAAACIAAABkcnMvZG93bnJl&#10;di54bWxQSwECFAAUAAAACACHTuJAnko/H8QBAACCAwAADgAAAAAAAAABACAAAAAnAQAAZHJzL2Uy&#10;b0RvYy54bWxQSwUGAAAAAAYABgBZAQAAXQUAAAAA&#10;"/>
        </w:pict>
      </w:r>
      <w:r w:rsidR="00E70B30">
        <w:fldChar w:fldCharType="begin">
          <w:ffData>
            <w:name w:val="fm"/>
            <w:enabled/>
            <w:calcOnExit w:val="0"/>
            <w:textInput/>
          </w:ffData>
        </w:fldChar>
      </w:r>
      <w:r w:rsidR="00035D4C">
        <w:instrText xml:space="preserve"> FORMTEXT </w:instrText>
      </w:r>
      <w:r w:rsidR="00E70B30">
        <w:fldChar w:fldCharType="separate"/>
      </w:r>
      <w:r w:rsidR="00035D4C">
        <w:rPr>
          <w:rFonts w:hint="eastAsia"/>
        </w:rPr>
        <w:t>江西省质量技术监督局</w:t>
      </w:r>
      <w:r w:rsidR="00E70B30">
        <w:fldChar w:fldCharType="end"/>
      </w:r>
      <w:bookmarkEnd w:id="19"/>
      <w:r w:rsidR="00035D4C">
        <w:t>   </w:t>
      </w:r>
      <w:r w:rsidR="00035D4C">
        <w:rPr>
          <w:rStyle w:val="affffff7"/>
          <w:rFonts w:hint="eastAsia"/>
        </w:rPr>
        <w:t>发布</w:t>
      </w:r>
    </w:p>
    <w:p w:rsidR="00A11123" w:rsidRDefault="00A11123">
      <w:pPr>
        <w:pStyle w:val="affc"/>
        <w:sectPr w:rsidR="00A111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</w:p>
    <w:p w:rsidR="00A11123" w:rsidRDefault="00035D4C">
      <w:pPr>
        <w:pStyle w:val="afff6"/>
      </w:pPr>
      <w:r>
        <w:rPr>
          <w:rFonts w:hint="eastAsia"/>
        </w:rPr>
        <w:lastRenderedPageBreak/>
        <w:t>目</w:t>
      </w:r>
      <w:bookmarkStart w:id="20" w:name="BKML"/>
      <w:r>
        <w:t>  </w:t>
      </w:r>
      <w:r>
        <w:rPr>
          <w:rFonts w:hint="eastAsia"/>
        </w:rPr>
        <w:t>次</w:t>
      </w:r>
      <w:bookmarkEnd w:id="20"/>
    </w:p>
    <w:p w:rsidR="00A11123" w:rsidRPr="00B21F5E" w:rsidRDefault="00E70B30">
      <w:pPr>
        <w:pStyle w:val="1"/>
        <w:spacing w:before="78" w:after="78"/>
        <w:rPr>
          <w:rFonts w:ascii="Times New Roman"/>
          <w:szCs w:val="24"/>
        </w:rPr>
      </w:pPr>
      <w:r w:rsidRPr="00B21F5E">
        <w:rPr>
          <w:rFonts w:ascii="Times New Roman"/>
        </w:rPr>
        <w:fldChar w:fldCharType="begin" w:fldLock="1"/>
      </w:r>
      <w:r w:rsidR="00035D4C" w:rsidRPr="00B21F5E">
        <w:rPr>
          <w:rFonts w:ascii="Times New Roman"/>
        </w:rPr>
        <w:instrText xml:space="preserve"> TOC \h \z \t"</w:instrText>
      </w:r>
      <w:r w:rsidR="00035D4C" w:rsidRPr="00B21F5E">
        <w:rPr>
          <w:rFonts w:ascii="Times New Roman"/>
        </w:rPr>
        <w:instrText>前言、引言标题</w:instrText>
      </w:r>
      <w:r w:rsidR="00035D4C" w:rsidRPr="00B21F5E">
        <w:rPr>
          <w:rFonts w:ascii="Times New Roman"/>
        </w:rPr>
        <w:instrText>,1,</w:instrText>
      </w:r>
      <w:r w:rsidR="00035D4C" w:rsidRPr="00B21F5E">
        <w:rPr>
          <w:rFonts w:ascii="Times New Roman"/>
        </w:rPr>
        <w:instrText>参考文献、索引标题</w:instrText>
      </w:r>
      <w:r w:rsidR="00035D4C" w:rsidRPr="00B21F5E">
        <w:rPr>
          <w:rFonts w:ascii="Times New Roman"/>
        </w:rPr>
        <w:instrText>,1,</w:instrText>
      </w:r>
      <w:r w:rsidR="00035D4C" w:rsidRPr="00B21F5E">
        <w:rPr>
          <w:rFonts w:ascii="Times New Roman"/>
        </w:rPr>
        <w:instrText>章标题</w:instrText>
      </w:r>
      <w:r w:rsidR="00035D4C" w:rsidRPr="00B21F5E">
        <w:rPr>
          <w:rFonts w:ascii="Times New Roman"/>
        </w:rPr>
        <w:instrText>,1,</w:instrText>
      </w:r>
      <w:r w:rsidR="00035D4C" w:rsidRPr="00B21F5E">
        <w:rPr>
          <w:rFonts w:ascii="Times New Roman"/>
        </w:rPr>
        <w:instrText>参考文献</w:instrText>
      </w:r>
      <w:r w:rsidR="00035D4C" w:rsidRPr="00B21F5E">
        <w:rPr>
          <w:rFonts w:ascii="Times New Roman"/>
        </w:rPr>
        <w:instrText>,1,</w:instrText>
      </w:r>
      <w:r w:rsidR="00035D4C" w:rsidRPr="00B21F5E">
        <w:rPr>
          <w:rFonts w:ascii="Times New Roman"/>
        </w:rPr>
        <w:instrText>附录标识</w:instrText>
      </w:r>
      <w:r w:rsidR="00035D4C" w:rsidRPr="00B21F5E">
        <w:rPr>
          <w:rFonts w:ascii="Times New Roman"/>
        </w:rPr>
        <w:instrText xml:space="preserve">,1" \* MERGEFORMAT </w:instrText>
      </w:r>
      <w:r w:rsidRPr="00B21F5E">
        <w:rPr>
          <w:rFonts w:ascii="Times New Roman"/>
        </w:rPr>
        <w:fldChar w:fldCharType="separate"/>
      </w:r>
      <w:hyperlink w:anchor="_Toc478633866" w:history="1">
        <w:r w:rsidR="00035D4C" w:rsidRPr="00B21F5E">
          <w:rPr>
            <w:rStyle w:val="afff1"/>
            <w:rFonts w:ascii="Times New Roman"/>
          </w:rPr>
          <w:t>1</w:t>
        </w:r>
        <w:r w:rsidR="00035D4C" w:rsidRPr="00B21F5E">
          <w:rPr>
            <w:rStyle w:val="afff1"/>
            <w:rFonts w:ascii="Times New Roman"/>
          </w:rPr>
          <w:t xml:space="preserve">　范围</w:t>
        </w:r>
        <w:r w:rsidR="00035D4C" w:rsidRPr="00B21F5E">
          <w:rPr>
            <w:rFonts w:ascii="Times New Roman"/>
          </w:rPr>
          <w:tab/>
        </w:r>
        <w:r w:rsidRPr="00B21F5E">
          <w:rPr>
            <w:rFonts w:ascii="Times New Roman"/>
          </w:rPr>
          <w:fldChar w:fldCharType="begin" w:fldLock="1"/>
        </w:r>
        <w:r w:rsidR="00035D4C" w:rsidRPr="00B21F5E">
          <w:rPr>
            <w:rFonts w:ascii="Times New Roman"/>
          </w:rPr>
          <w:instrText xml:space="preserve"> PAGEREF _Toc478633866 \h </w:instrText>
        </w:r>
        <w:r w:rsidRPr="00B21F5E">
          <w:rPr>
            <w:rFonts w:ascii="Times New Roman"/>
          </w:rPr>
        </w:r>
        <w:r w:rsidRPr="00B21F5E">
          <w:rPr>
            <w:rFonts w:ascii="Times New Roman"/>
          </w:rPr>
          <w:fldChar w:fldCharType="separate"/>
        </w:r>
        <w:r w:rsidR="00035D4C" w:rsidRPr="00B21F5E">
          <w:rPr>
            <w:rFonts w:ascii="Times New Roman"/>
          </w:rPr>
          <w:t>1</w:t>
        </w:r>
        <w:r w:rsidRPr="00B21F5E">
          <w:rPr>
            <w:rFonts w:ascii="Times New Roman"/>
          </w:rPr>
          <w:fldChar w:fldCharType="end"/>
        </w:r>
      </w:hyperlink>
    </w:p>
    <w:p w:rsidR="00A11123" w:rsidRPr="00B21F5E" w:rsidRDefault="00104E1D">
      <w:pPr>
        <w:pStyle w:val="1"/>
        <w:spacing w:before="78" w:after="78"/>
        <w:rPr>
          <w:rFonts w:ascii="Times New Roman"/>
          <w:szCs w:val="24"/>
        </w:rPr>
      </w:pPr>
      <w:hyperlink w:anchor="_Toc478633867" w:history="1">
        <w:r w:rsidR="00035D4C" w:rsidRPr="00B21F5E">
          <w:rPr>
            <w:rStyle w:val="afff1"/>
            <w:rFonts w:ascii="Times New Roman"/>
          </w:rPr>
          <w:t>2</w:t>
        </w:r>
        <w:r w:rsidR="00035D4C" w:rsidRPr="00B21F5E">
          <w:rPr>
            <w:rStyle w:val="afff1"/>
            <w:rFonts w:ascii="Times New Roman"/>
          </w:rPr>
          <w:t xml:space="preserve">　术语和定义</w:t>
        </w:r>
        <w:r w:rsidR="00035D4C" w:rsidRPr="00B21F5E">
          <w:rPr>
            <w:rFonts w:ascii="Times New Roman"/>
          </w:rPr>
          <w:tab/>
        </w:r>
        <w:r w:rsidR="00E70B30" w:rsidRPr="00B21F5E">
          <w:rPr>
            <w:rFonts w:ascii="Times New Roman"/>
          </w:rPr>
          <w:fldChar w:fldCharType="begin" w:fldLock="1"/>
        </w:r>
        <w:r w:rsidR="00035D4C" w:rsidRPr="00B21F5E">
          <w:rPr>
            <w:rFonts w:ascii="Times New Roman"/>
          </w:rPr>
          <w:instrText xml:space="preserve"> PAGEREF _Toc478633867 \h </w:instrText>
        </w:r>
        <w:r w:rsidR="00E70B30" w:rsidRPr="00B21F5E">
          <w:rPr>
            <w:rFonts w:ascii="Times New Roman"/>
          </w:rPr>
        </w:r>
        <w:r w:rsidR="00E70B30" w:rsidRPr="00B21F5E">
          <w:rPr>
            <w:rFonts w:ascii="Times New Roman"/>
          </w:rPr>
          <w:fldChar w:fldCharType="separate"/>
        </w:r>
        <w:r w:rsidR="00035D4C" w:rsidRPr="00B21F5E">
          <w:rPr>
            <w:rFonts w:ascii="Times New Roman"/>
          </w:rPr>
          <w:t>1</w:t>
        </w:r>
        <w:r w:rsidR="00E70B30" w:rsidRPr="00B21F5E">
          <w:rPr>
            <w:rFonts w:ascii="Times New Roman"/>
          </w:rPr>
          <w:fldChar w:fldCharType="end"/>
        </w:r>
      </w:hyperlink>
    </w:p>
    <w:p w:rsidR="00A11123" w:rsidRPr="00B21F5E" w:rsidRDefault="00104E1D" w:rsidP="009B6180">
      <w:pPr>
        <w:pStyle w:val="1"/>
        <w:spacing w:before="78" w:after="78"/>
        <w:outlineLvl w:val="0"/>
        <w:rPr>
          <w:rFonts w:ascii="Times New Roman"/>
          <w:szCs w:val="24"/>
        </w:rPr>
      </w:pPr>
      <w:hyperlink w:anchor="_Toc478633869" w:history="1">
        <w:r w:rsidR="009B6180" w:rsidRPr="00B21F5E">
          <w:rPr>
            <w:rStyle w:val="afff1"/>
            <w:rFonts w:ascii="Times New Roman"/>
          </w:rPr>
          <w:t>3</w:t>
        </w:r>
        <w:r w:rsidR="00035D4C" w:rsidRPr="00B21F5E">
          <w:rPr>
            <w:rStyle w:val="afff1"/>
            <w:rFonts w:ascii="Times New Roman"/>
          </w:rPr>
          <w:t xml:space="preserve">　监测内容</w:t>
        </w:r>
        <w:r w:rsidR="00035D4C" w:rsidRPr="00B21F5E">
          <w:rPr>
            <w:rFonts w:ascii="Times New Roman"/>
          </w:rPr>
          <w:tab/>
        </w:r>
        <w:r w:rsidR="00E70B30" w:rsidRPr="00B21F5E">
          <w:rPr>
            <w:rFonts w:ascii="Times New Roman"/>
          </w:rPr>
          <w:fldChar w:fldCharType="begin" w:fldLock="1"/>
        </w:r>
        <w:r w:rsidR="00035D4C" w:rsidRPr="00B21F5E">
          <w:rPr>
            <w:rFonts w:ascii="Times New Roman"/>
          </w:rPr>
          <w:instrText xml:space="preserve"> PAGEREF _Toc478633869 \h </w:instrText>
        </w:r>
        <w:r w:rsidR="00E70B30" w:rsidRPr="00B21F5E">
          <w:rPr>
            <w:rFonts w:ascii="Times New Roman"/>
          </w:rPr>
        </w:r>
        <w:r w:rsidR="00E70B30" w:rsidRPr="00B21F5E">
          <w:rPr>
            <w:rFonts w:ascii="Times New Roman"/>
          </w:rPr>
          <w:fldChar w:fldCharType="separate"/>
        </w:r>
        <w:r w:rsidR="00035D4C" w:rsidRPr="00B21F5E">
          <w:rPr>
            <w:rFonts w:ascii="Times New Roman"/>
          </w:rPr>
          <w:t>2</w:t>
        </w:r>
        <w:r w:rsidR="00E70B30" w:rsidRPr="00B21F5E">
          <w:rPr>
            <w:rFonts w:ascii="Times New Roman"/>
          </w:rPr>
          <w:fldChar w:fldCharType="end"/>
        </w:r>
      </w:hyperlink>
    </w:p>
    <w:p w:rsidR="00A11123" w:rsidRPr="00B21F5E" w:rsidRDefault="00104E1D">
      <w:pPr>
        <w:pStyle w:val="1"/>
        <w:spacing w:before="78" w:after="78"/>
        <w:rPr>
          <w:rFonts w:ascii="Times New Roman"/>
          <w:szCs w:val="24"/>
        </w:rPr>
      </w:pPr>
      <w:hyperlink w:anchor="_Toc478633870" w:history="1">
        <w:r w:rsidR="009B6180" w:rsidRPr="00B21F5E">
          <w:rPr>
            <w:rStyle w:val="afff1"/>
            <w:rFonts w:ascii="Times New Roman"/>
          </w:rPr>
          <w:t>4</w:t>
        </w:r>
        <w:r w:rsidR="00035D4C" w:rsidRPr="00B21F5E">
          <w:rPr>
            <w:rStyle w:val="afff1"/>
            <w:rFonts w:ascii="Times New Roman"/>
          </w:rPr>
          <w:t xml:space="preserve">　</w:t>
        </w:r>
        <w:r w:rsidR="009B6180" w:rsidRPr="00B21F5E">
          <w:rPr>
            <w:rStyle w:val="afff1"/>
            <w:rFonts w:ascii="Times New Roman"/>
          </w:rPr>
          <w:t>诊断</w:t>
        </w:r>
        <w:r w:rsidR="00035D4C" w:rsidRPr="00B21F5E">
          <w:rPr>
            <w:rStyle w:val="afff1"/>
            <w:rFonts w:ascii="Times New Roman"/>
          </w:rPr>
          <w:t>方法</w:t>
        </w:r>
        <w:r w:rsidR="00035D4C" w:rsidRPr="00B21F5E">
          <w:rPr>
            <w:rFonts w:ascii="Times New Roman"/>
          </w:rPr>
          <w:tab/>
        </w:r>
        <w:r w:rsidR="00E70B30" w:rsidRPr="00B21F5E">
          <w:rPr>
            <w:rFonts w:ascii="Times New Roman"/>
          </w:rPr>
          <w:fldChar w:fldCharType="begin" w:fldLock="1"/>
        </w:r>
        <w:r w:rsidR="00035D4C" w:rsidRPr="00B21F5E">
          <w:rPr>
            <w:rFonts w:ascii="Times New Roman"/>
          </w:rPr>
          <w:instrText xml:space="preserve"> PAGEREF _Toc478633870 \h </w:instrText>
        </w:r>
        <w:r w:rsidR="00E70B30" w:rsidRPr="00B21F5E">
          <w:rPr>
            <w:rFonts w:ascii="Times New Roman"/>
          </w:rPr>
        </w:r>
        <w:r w:rsidR="00E70B30" w:rsidRPr="00B21F5E">
          <w:rPr>
            <w:rFonts w:ascii="Times New Roman"/>
          </w:rPr>
          <w:fldChar w:fldCharType="separate"/>
        </w:r>
        <w:r w:rsidR="00035D4C" w:rsidRPr="00B21F5E">
          <w:rPr>
            <w:rFonts w:ascii="Times New Roman"/>
          </w:rPr>
          <w:t>3</w:t>
        </w:r>
        <w:r w:rsidR="00E70B30" w:rsidRPr="00B21F5E">
          <w:rPr>
            <w:rFonts w:ascii="Times New Roman"/>
          </w:rPr>
          <w:fldChar w:fldCharType="end"/>
        </w:r>
      </w:hyperlink>
    </w:p>
    <w:p w:rsidR="00A11123" w:rsidRDefault="00E70B30">
      <w:pPr>
        <w:pStyle w:val="affc"/>
      </w:pPr>
      <w:r w:rsidRPr="00B21F5E">
        <w:rPr>
          <w:rFonts w:ascii="Times New Roman"/>
        </w:rPr>
        <w:fldChar w:fldCharType="end"/>
      </w:r>
    </w:p>
    <w:p w:rsidR="00A11123" w:rsidRDefault="00035D4C">
      <w:pPr>
        <w:pStyle w:val="afffff8"/>
      </w:pPr>
      <w:r>
        <w:rPr>
          <w:rFonts w:hint="eastAsia"/>
        </w:rPr>
        <w:lastRenderedPageBreak/>
        <w:t>前</w:t>
      </w:r>
      <w:bookmarkStart w:id="21" w:name="BKQY"/>
      <w:r>
        <w:t>  </w:t>
      </w:r>
      <w:r>
        <w:rPr>
          <w:rFonts w:hint="eastAsia"/>
        </w:rPr>
        <w:t>言</w:t>
      </w:r>
      <w:bookmarkEnd w:id="21"/>
    </w:p>
    <w:p w:rsidR="00A11123" w:rsidRDefault="00035D4C">
      <w:pPr>
        <w:pStyle w:val="affc"/>
      </w:pPr>
      <w:r>
        <w:rPr>
          <w:rFonts w:hint="eastAsia"/>
        </w:rPr>
        <w:t>本标准按GB/T 1.1-2009给出的规则起草。</w:t>
      </w:r>
    </w:p>
    <w:p w:rsidR="00A11123" w:rsidRDefault="00035D4C">
      <w:pPr>
        <w:pStyle w:val="affc"/>
      </w:pPr>
      <w:r>
        <w:rPr>
          <w:rFonts w:hint="eastAsia"/>
        </w:rPr>
        <w:t>本标准由江西省农业</w:t>
      </w:r>
      <w:r w:rsidR="003C4E0E">
        <w:rPr>
          <w:rFonts w:hint="eastAsia"/>
        </w:rPr>
        <w:t>农村</w:t>
      </w:r>
      <w:r>
        <w:rPr>
          <w:rFonts w:hint="eastAsia"/>
        </w:rPr>
        <w:t>厅提出并归口。</w:t>
      </w:r>
    </w:p>
    <w:p w:rsidR="00A11123" w:rsidRDefault="00035D4C">
      <w:pPr>
        <w:pStyle w:val="affc"/>
      </w:pPr>
      <w:r>
        <w:rPr>
          <w:rFonts w:hint="eastAsia"/>
        </w:rPr>
        <w:t>本标准起草单位：江西省农业科学院农业工程研究所</w:t>
      </w:r>
      <w:r w:rsidR="00135853">
        <w:rPr>
          <w:rFonts w:hint="eastAsia"/>
        </w:rPr>
        <w:t>。</w:t>
      </w:r>
    </w:p>
    <w:p w:rsidR="00A11123" w:rsidRDefault="00035D4C">
      <w:pPr>
        <w:pStyle w:val="affc"/>
        <w:sectPr w:rsidR="00A11123">
          <w:headerReference w:type="default" r:id="rId15"/>
          <w:footerReference w:type="default" r:id="rId16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  <w:r>
        <w:rPr>
          <w:rFonts w:hint="eastAsia"/>
        </w:rPr>
        <w:t>本标准主要起草人：李艳大、</w:t>
      </w:r>
      <w:r w:rsidR="00B27AED">
        <w:rPr>
          <w:rFonts w:hint="eastAsia"/>
        </w:rPr>
        <w:t>叶春、</w:t>
      </w:r>
      <w:r w:rsidR="00E02F45">
        <w:rPr>
          <w:rFonts w:hint="eastAsia"/>
        </w:rPr>
        <w:t>曹中盛、</w:t>
      </w:r>
      <w:r w:rsidR="00B27AED">
        <w:rPr>
          <w:rFonts w:hint="eastAsia"/>
        </w:rPr>
        <w:t>孙滨峰、</w:t>
      </w:r>
      <w:r w:rsidR="009E1111">
        <w:rPr>
          <w:rFonts w:hint="eastAsia"/>
        </w:rPr>
        <w:t>舒时富、</w:t>
      </w:r>
      <w:r w:rsidR="00E02F45">
        <w:rPr>
          <w:rFonts w:hint="eastAsia"/>
        </w:rPr>
        <w:t>黄俊宝、王康军、</w:t>
      </w:r>
      <w:r w:rsidR="00EA5725">
        <w:rPr>
          <w:rFonts w:hint="eastAsia"/>
        </w:rPr>
        <w:t>陈立才</w:t>
      </w:r>
      <w:r w:rsidR="00942189">
        <w:rPr>
          <w:rFonts w:hint="eastAsia"/>
        </w:rPr>
        <w:t>、秦战强</w:t>
      </w:r>
      <w:r w:rsidR="00735173">
        <w:rPr>
          <w:rFonts w:hint="eastAsia"/>
        </w:rPr>
        <w:t>。</w:t>
      </w:r>
    </w:p>
    <w:p w:rsidR="00A11123" w:rsidRDefault="00835EA4">
      <w:pPr>
        <w:pStyle w:val="afff6"/>
      </w:pPr>
      <w:r w:rsidRPr="00835EA4">
        <w:rPr>
          <w:rFonts w:hint="eastAsia"/>
        </w:rPr>
        <w:lastRenderedPageBreak/>
        <w:t>双季稻氮素监测诊断技术规程</w:t>
      </w:r>
    </w:p>
    <w:p w:rsidR="00A11123" w:rsidRDefault="00035D4C" w:rsidP="00E3217B">
      <w:pPr>
        <w:pStyle w:val="a4"/>
        <w:spacing w:before="312" w:after="312"/>
      </w:pPr>
      <w:bookmarkStart w:id="22" w:name="_Toc478633866"/>
      <w:r>
        <w:rPr>
          <w:rFonts w:hint="eastAsia"/>
        </w:rPr>
        <w:t>范围</w:t>
      </w:r>
      <w:bookmarkEnd w:id="22"/>
    </w:p>
    <w:p w:rsidR="00A11123" w:rsidRDefault="00035D4C" w:rsidP="00A8014A">
      <w:pPr>
        <w:pStyle w:val="affffff2"/>
        <w:numPr>
          <w:ilvl w:val="0"/>
          <w:numId w:val="0"/>
        </w:numPr>
        <w:ind w:firstLineChars="200" w:firstLine="420"/>
        <w:jc w:val="both"/>
      </w:pPr>
      <w:r>
        <w:rPr>
          <w:rFonts w:hint="eastAsia"/>
        </w:rPr>
        <w:t>本标准规定了</w:t>
      </w:r>
      <w:r w:rsidR="008B6E51">
        <w:rPr>
          <w:rFonts w:hint="eastAsia"/>
        </w:rPr>
        <w:t>双季</w:t>
      </w:r>
      <w:r>
        <w:rPr>
          <w:rFonts w:hint="eastAsia"/>
        </w:rPr>
        <w:t>稻</w:t>
      </w:r>
      <w:r w:rsidR="008B6E51">
        <w:rPr>
          <w:rFonts w:hint="eastAsia"/>
        </w:rPr>
        <w:t>氮素监测诊断</w:t>
      </w:r>
      <w:r>
        <w:rPr>
          <w:rFonts w:hint="eastAsia"/>
        </w:rPr>
        <w:t>的</w:t>
      </w:r>
      <w:r w:rsidR="000E577F">
        <w:rPr>
          <w:rFonts w:hint="eastAsia"/>
        </w:rPr>
        <w:t>术语和定义、</w:t>
      </w:r>
      <w:r w:rsidR="00C34CA8">
        <w:rPr>
          <w:rFonts w:hint="eastAsia"/>
        </w:rPr>
        <w:t>监测内容、诊断方法</w:t>
      </w:r>
      <w:r>
        <w:rPr>
          <w:rFonts w:hint="eastAsia"/>
        </w:rPr>
        <w:t>。</w:t>
      </w:r>
    </w:p>
    <w:p w:rsidR="00DF250A" w:rsidRPr="000358E6" w:rsidRDefault="00035D4C" w:rsidP="00A8014A">
      <w:pPr>
        <w:pStyle w:val="affffff2"/>
        <w:numPr>
          <w:ilvl w:val="0"/>
          <w:numId w:val="0"/>
        </w:numPr>
        <w:ind w:firstLineChars="200" w:firstLine="420"/>
        <w:jc w:val="both"/>
      </w:pPr>
      <w:r>
        <w:rPr>
          <w:rFonts w:hint="eastAsia"/>
        </w:rPr>
        <w:t>本标准适用于</w:t>
      </w:r>
      <w:r w:rsidR="00C34CA8">
        <w:rPr>
          <w:rFonts w:hint="eastAsia"/>
        </w:rPr>
        <w:t>双季稻种植区</w:t>
      </w:r>
      <w:r w:rsidR="00BC171D" w:rsidRPr="00BC171D">
        <w:rPr>
          <w:rFonts w:hint="eastAsia"/>
          <w:color w:val="0000FF"/>
        </w:rPr>
        <w:t>分蘖肥</w:t>
      </w:r>
      <w:r w:rsidR="00602783">
        <w:rPr>
          <w:rFonts w:hint="eastAsia"/>
          <w:color w:val="0000FF"/>
        </w:rPr>
        <w:t>和</w:t>
      </w:r>
      <w:r w:rsidR="00BC171D" w:rsidRPr="00BC171D">
        <w:rPr>
          <w:rFonts w:hint="eastAsia"/>
          <w:color w:val="0000FF"/>
        </w:rPr>
        <w:t>穗肥</w:t>
      </w:r>
      <w:r w:rsidR="00602783">
        <w:rPr>
          <w:rFonts w:hint="eastAsia"/>
          <w:color w:val="0000FF"/>
        </w:rPr>
        <w:t>和</w:t>
      </w:r>
      <w:r w:rsidR="00BC171D" w:rsidRPr="00BC171D">
        <w:rPr>
          <w:rFonts w:hint="eastAsia"/>
          <w:color w:val="0000FF"/>
        </w:rPr>
        <w:t>氮肥精确管理</w:t>
      </w:r>
      <w:r w:rsidRPr="000358E6">
        <w:rPr>
          <w:rFonts w:hint="eastAsia"/>
        </w:rPr>
        <w:t>。</w:t>
      </w:r>
    </w:p>
    <w:p w:rsidR="002709DF" w:rsidRPr="000358E6" w:rsidRDefault="002709DF" w:rsidP="002709DF">
      <w:pPr>
        <w:pStyle w:val="a4"/>
        <w:spacing w:before="312" w:after="312"/>
      </w:pPr>
      <w:r w:rsidRPr="000358E6">
        <w:rPr>
          <w:rFonts w:hint="eastAsia"/>
        </w:rPr>
        <w:t>术语和定义</w:t>
      </w:r>
    </w:p>
    <w:p w:rsidR="002117C4" w:rsidRPr="000358E6" w:rsidRDefault="002117C4" w:rsidP="002117C4">
      <w:pPr>
        <w:pStyle w:val="affc"/>
      </w:pPr>
      <w:r w:rsidRPr="000358E6">
        <w:rPr>
          <w:rFonts w:hint="eastAsia"/>
        </w:rPr>
        <w:t>下列术语和定义适用于本文件。</w:t>
      </w:r>
    </w:p>
    <w:p w:rsidR="00A11123" w:rsidRPr="000358E6" w:rsidRDefault="00A56E8A" w:rsidP="00A8014A">
      <w:pPr>
        <w:pStyle w:val="a5"/>
        <w:spacing w:before="156" w:after="156"/>
        <w:jc w:val="both"/>
      </w:pPr>
      <w:proofErr w:type="spellStart"/>
      <w:r w:rsidRPr="00A56E8A">
        <w:rPr>
          <w:rFonts w:hAnsi="黑体" w:hint="eastAsia"/>
        </w:rPr>
        <w:t>GreenSeeker</w:t>
      </w:r>
      <w:proofErr w:type="spellEnd"/>
      <w:r w:rsidRPr="00A56E8A">
        <w:rPr>
          <w:rFonts w:ascii="宋体" w:hAnsi="宋体" w:hint="eastAsia"/>
        </w:rPr>
        <w:t>手持式光谱仪</w:t>
      </w:r>
    </w:p>
    <w:p w:rsidR="00A11123" w:rsidRPr="005D013B" w:rsidRDefault="00035D4C" w:rsidP="005D013B">
      <w:pPr>
        <w:pStyle w:val="affffff2"/>
        <w:numPr>
          <w:ilvl w:val="0"/>
          <w:numId w:val="0"/>
        </w:numPr>
        <w:ind w:firstLineChars="200" w:firstLine="420"/>
        <w:jc w:val="both"/>
        <w:rPr>
          <w:rFonts w:ascii="Times New Roman"/>
        </w:rPr>
      </w:pPr>
      <w:r w:rsidRPr="000358E6">
        <w:rPr>
          <w:rFonts w:hint="eastAsia"/>
        </w:rPr>
        <w:t>一种基于冠层反射光谱的便携式</w:t>
      </w:r>
      <w:r w:rsidR="00A56E8A">
        <w:rPr>
          <w:rFonts w:hint="eastAsia"/>
        </w:rPr>
        <w:t>双</w:t>
      </w:r>
      <w:r w:rsidRPr="000358E6">
        <w:rPr>
          <w:rFonts w:hint="eastAsia"/>
        </w:rPr>
        <w:t>通道作物生长信息无损监测诊断仪，</w:t>
      </w:r>
      <w:r w:rsidR="005C77FE" w:rsidRPr="000358E6">
        <w:rPr>
          <w:rFonts w:hint="eastAsia"/>
        </w:rPr>
        <w:t>该仪器</w:t>
      </w:r>
      <w:r w:rsidR="00F1573C">
        <w:rPr>
          <w:rFonts w:hint="eastAsia"/>
        </w:rPr>
        <w:t>为</w:t>
      </w:r>
      <w:r w:rsidR="005F4C04" w:rsidRPr="000358E6">
        <w:rPr>
          <w:rFonts w:hint="eastAsia"/>
        </w:rPr>
        <w:t>主动</w:t>
      </w:r>
      <w:r w:rsidR="004A0B51" w:rsidRPr="000358E6">
        <w:rPr>
          <w:rFonts w:hint="eastAsia"/>
        </w:rPr>
        <w:t>光</w:t>
      </w:r>
      <w:r w:rsidR="00F1573C">
        <w:rPr>
          <w:rFonts w:hint="eastAsia"/>
        </w:rPr>
        <w:t>谱</w:t>
      </w:r>
      <w:r w:rsidR="004A0B51" w:rsidRPr="000358E6">
        <w:rPr>
          <w:rFonts w:hint="eastAsia"/>
        </w:rPr>
        <w:t>仪</w:t>
      </w:r>
      <w:r w:rsidR="005C77FE" w:rsidRPr="000358E6">
        <w:rPr>
          <w:rFonts w:hint="eastAsia"/>
        </w:rPr>
        <w:t>，</w:t>
      </w:r>
      <w:r w:rsidR="00FB7DD7">
        <w:rPr>
          <w:rFonts w:hint="eastAsia"/>
        </w:rPr>
        <w:t>包括</w:t>
      </w:r>
      <w:r w:rsidR="005C77FE" w:rsidRPr="005D013B">
        <w:rPr>
          <w:rFonts w:ascii="Times New Roman"/>
        </w:rPr>
        <w:t>7</w:t>
      </w:r>
      <w:r w:rsidR="00FB7DD7" w:rsidRPr="005D013B">
        <w:rPr>
          <w:rFonts w:ascii="Times New Roman" w:hint="eastAsia"/>
        </w:rPr>
        <w:t>8</w:t>
      </w:r>
      <w:r w:rsidR="005C77FE" w:rsidRPr="005D013B">
        <w:rPr>
          <w:rFonts w:ascii="Times New Roman"/>
        </w:rPr>
        <w:t>0</w:t>
      </w:r>
      <w:r w:rsidR="004E2EC6" w:rsidRPr="005D013B">
        <w:rPr>
          <w:rFonts w:ascii="Times New Roman" w:hint="eastAsia"/>
        </w:rPr>
        <w:t xml:space="preserve"> </w:t>
      </w:r>
      <w:r w:rsidR="004E2EC6" w:rsidRPr="005D013B">
        <w:rPr>
          <w:rFonts w:ascii="Times New Roman"/>
        </w:rPr>
        <w:t>nm</w:t>
      </w:r>
      <w:r w:rsidR="005C77FE" w:rsidRPr="005D013B">
        <w:rPr>
          <w:rFonts w:ascii="Times New Roman"/>
        </w:rPr>
        <w:t>和</w:t>
      </w:r>
      <w:r w:rsidR="00FB7DD7" w:rsidRPr="005D013B">
        <w:rPr>
          <w:rFonts w:ascii="Times New Roman" w:hint="eastAsia"/>
        </w:rPr>
        <w:t>66</w:t>
      </w:r>
      <w:r w:rsidR="005C77FE" w:rsidRPr="005D013B">
        <w:rPr>
          <w:rFonts w:ascii="Times New Roman"/>
        </w:rPr>
        <w:t>0 nm</w:t>
      </w:r>
      <w:r w:rsidR="005C77FE" w:rsidRPr="005D013B">
        <w:rPr>
          <w:rFonts w:ascii="Times New Roman"/>
        </w:rPr>
        <w:t>两</w:t>
      </w:r>
      <w:r w:rsidR="00FB7DD7" w:rsidRPr="005D013B">
        <w:rPr>
          <w:rFonts w:ascii="Times New Roman" w:hint="eastAsia"/>
        </w:rPr>
        <w:t>个</w:t>
      </w:r>
      <w:r w:rsidR="005C77FE" w:rsidRPr="005D013B">
        <w:rPr>
          <w:rFonts w:ascii="Times New Roman"/>
        </w:rPr>
        <w:t>探测镜头</w:t>
      </w:r>
      <w:r w:rsidR="00FB7DD7" w:rsidRPr="005D013B">
        <w:rPr>
          <w:rFonts w:ascii="Times New Roman"/>
        </w:rPr>
        <w:t>，测定值为归一化植被指数</w:t>
      </w:r>
      <w:r w:rsidR="00FB7DD7" w:rsidRPr="005D013B">
        <w:rPr>
          <w:rFonts w:ascii="Times New Roman" w:hint="eastAsia"/>
        </w:rPr>
        <w:t>NDVI</w:t>
      </w:r>
      <w:r w:rsidR="00D721C9" w:rsidRPr="005D013B">
        <w:rPr>
          <w:rFonts w:ascii="Times New Roman" w:hint="eastAsia"/>
        </w:rPr>
        <w:t>（</w:t>
      </w:r>
      <w:r w:rsidR="005D013B" w:rsidRPr="005D013B">
        <w:rPr>
          <w:rFonts w:ascii="Times New Roman"/>
          <w:color w:val="0000FF"/>
        </w:rPr>
        <w:t>normalized</w:t>
      </w:r>
      <w:r w:rsidR="005D013B" w:rsidRPr="005D013B">
        <w:rPr>
          <w:rFonts w:ascii="Times New Roman" w:hint="eastAsia"/>
          <w:color w:val="0000FF"/>
        </w:rPr>
        <w:t xml:space="preserve"> </w:t>
      </w:r>
      <w:r w:rsidR="005D013B" w:rsidRPr="005D013B">
        <w:rPr>
          <w:rFonts w:ascii="Times New Roman"/>
          <w:color w:val="0000FF"/>
        </w:rPr>
        <w:t>difference vegetation index</w:t>
      </w:r>
      <w:r w:rsidR="00D721C9" w:rsidRPr="005D013B">
        <w:rPr>
          <w:rFonts w:ascii="Times New Roman" w:hint="eastAsia"/>
        </w:rPr>
        <w:t>）</w:t>
      </w:r>
      <w:r w:rsidR="005C77FE" w:rsidRPr="005D013B">
        <w:rPr>
          <w:rFonts w:ascii="Times New Roman"/>
        </w:rPr>
        <w:t>。</w:t>
      </w:r>
      <w:r w:rsidR="00AD686F" w:rsidRPr="005D013B">
        <w:rPr>
          <w:rFonts w:ascii="Times New Roman"/>
        </w:rPr>
        <w:t>按照其使用说明书进行操作。</w:t>
      </w:r>
    </w:p>
    <w:p w:rsidR="00693D23" w:rsidRPr="000358E6" w:rsidRDefault="0046442A" w:rsidP="00A8014A">
      <w:pPr>
        <w:pStyle w:val="a5"/>
        <w:spacing w:before="156" w:after="156"/>
        <w:jc w:val="both"/>
      </w:pPr>
      <w:r w:rsidRPr="0046442A">
        <w:rPr>
          <w:rFonts w:hAnsi="黑体" w:hint="eastAsia"/>
        </w:rPr>
        <w:t>CGMD</w:t>
      </w:r>
      <w:r w:rsidR="00693D23" w:rsidRPr="000358E6">
        <w:rPr>
          <w:rFonts w:ascii="宋体" w:hAnsi="宋体" w:hint="eastAsia"/>
        </w:rPr>
        <w:t>作物生长监测诊断仪</w:t>
      </w:r>
    </w:p>
    <w:p w:rsidR="00A11123" w:rsidRPr="005419D3" w:rsidRDefault="00693D23" w:rsidP="005419D3">
      <w:pPr>
        <w:pStyle w:val="affffff2"/>
        <w:numPr>
          <w:ilvl w:val="0"/>
          <w:numId w:val="0"/>
        </w:numPr>
        <w:ind w:firstLineChars="200" w:firstLine="420"/>
        <w:jc w:val="both"/>
        <w:rPr>
          <w:rFonts w:ascii="Times New Roman"/>
        </w:rPr>
      </w:pPr>
      <w:r w:rsidRPr="000358E6">
        <w:rPr>
          <w:rFonts w:hint="eastAsia"/>
        </w:rPr>
        <w:t>一种基于冠层反射光谱的便携式</w:t>
      </w:r>
      <w:r w:rsidR="00EB566B">
        <w:rPr>
          <w:rFonts w:hint="eastAsia"/>
        </w:rPr>
        <w:t>双</w:t>
      </w:r>
      <w:r w:rsidRPr="000358E6">
        <w:rPr>
          <w:rFonts w:hint="eastAsia"/>
        </w:rPr>
        <w:t>通道作物生长信息无损监测诊断仪，该仪器</w:t>
      </w:r>
      <w:r w:rsidR="00EB566B">
        <w:rPr>
          <w:rFonts w:hint="eastAsia"/>
        </w:rPr>
        <w:t>为</w:t>
      </w:r>
      <w:r w:rsidRPr="000358E6">
        <w:rPr>
          <w:rFonts w:hint="eastAsia"/>
        </w:rPr>
        <w:t>被动光</w:t>
      </w:r>
      <w:r w:rsidR="00EB566B">
        <w:rPr>
          <w:rFonts w:hint="eastAsia"/>
        </w:rPr>
        <w:t>谱</w:t>
      </w:r>
      <w:r w:rsidRPr="000358E6">
        <w:rPr>
          <w:rFonts w:hint="eastAsia"/>
        </w:rPr>
        <w:t>仪，</w:t>
      </w:r>
      <w:r w:rsidR="004E3426">
        <w:rPr>
          <w:rFonts w:hint="eastAsia"/>
        </w:rPr>
        <w:t>包括</w:t>
      </w:r>
      <w:r w:rsidR="004E3426" w:rsidRPr="005419D3">
        <w:rPr>
          <w:rFonts w:ascii="Times New Roman" w:hint="eastAsia"/>
        </w:rPr>
        <w:t>81</w:t>
      </w:r>
      <w:r w:rsidRPr="005419D3">
        <w:rPr>
          <w:rFonts w:ascii="Times New Roman"/>
        </w:rPr>
        <w:t>0</w:t>
      </w:r>
      <w:r w:rsidRPr="005419D3">
        <w:rPr>
          <w:rFonts w:ascii="Times New Roman" w:hint="eastAsia"/>
        </w:rPr>
        <w:t xml:space="preserve"> </w:t>
      </w:r>
      <w:r w:rsidRPr="005419D3">
        <w:rPr>
          <w:rFonts w:ascii="Times New Roman"/>
        </w:rPr>
        <w:t>nm</w:t>
      </w:r>
      <w:r w:rsidRPr="005419D3">
        <w:rPr>
          <w:rFonts w:ascii="Times New Roman"/>
        </w:rPr>
        <w:t>和</w:t>
      </w:r>
      <w:r w:rsidR="004E3426" w:rsidRPr="005419D3">
        <w:rPr>
          <w:rFonts w:ascii="Times New Roman" w:hint="eastAsia"/>
        </w:rPr>
        <w:t>72</w:t>
      </w:r>
      <w:r w:rsidRPr="005419D3">
        <w:rPr>
          <w:rFonts w:ascii="Times New Roman"/>
        </w:rPr>
        <w:t>0 nm</w:t>
      </w:r>
      <w:r w:rsidRPr="005419D3">
        <w:rPr>
          <w:rFonts w:ascii="Times New Roman"/>
        </w:rPr>
        <w:t>两</w:t>
      </w:r>
      <w:r w:rsidR="004E3426" w:rsidRPr="005419D3">
        <w:rPr>
          <w:rFonts w:ascii="Times New Roman" w:hint="eastAsia"/>
        </w:rPr>
        <w:t>个</w:t>
      </w:r>
      <w:r w:rsidRPr="005419D3">
        <w:rPr>
          <w:rFonts w:ascii="Times New Roman"/>
        </w:rPr>
        <w:t>探测镜头，</w:t>
      </w:r>
      <w:r w:rsidR="004E3426" w:rsidRPr="005419D3">
        <w:rPr>
          <w:rFonts w:ascii="Times New Roman" w:hint="eastAsia"/>
        </w:rPr>
        <w:t>测</w:t>
      </w:r>
      <w:r w:rsidR="004E3426" w:rsidRPr="005419D3">
        <w:rPr>
          <w:rFonts w:ascii="Times New Roman"/>
        </w:rPr>
        <w:t>定值为</w:t>
      </w:r>
      <w:r w:rsidR="004E3426" w:rsidRPr="005419D3">
        <w:rPr>
          <w:rFonts w:ascii="Times New Roman" w:hint="eastAsia"/>
        </w:rPr>
        <w:t>差值植被指数</w:t>
      </w:r>
      <w:r w:rsidR="004E3426" w:rsidRPr="005419D3">
        <w:rPr>
          <w:rFonts w:ascii="Times New Roman" w:hint="eastAsia"/>
        </w:rPr>
        <w:t>DVI</w:t>
      </w:r>
      <w:r w:rsidR="005D013B" w:rsidRPr="005419D3">
        <w:rPr>
          <w:rFonts w:ascii="Times New Roman" w:hint="eastAsia"/>
        </w:rPr>
        <w:t>（</w:t>
      </w:r>
      <w:r w:rsidR="005D013B" w:rsidRPr="005419D3">
        <w:rPr>
          <w:rFonts w:ascii="Times New Roman" w:hint="eastAsia"/>
          <w:color w:val="0000FF"/>
        </w:rPr>
        <w:t>differential</w:t>
      </w:r>
      <w:r w:rsidR="005D013B" w:rsidRPr="005419D3">
        <w:rPr>
          <w:rFonts w:ascii="Times New Roman" w:hint="eastAsia"/>
          <w:color w:val="0000FF"/>
        </w:rPr>
        <w:t xml:space="preserve"> </w:t>
      </w:r>
      <w:r w:rsidR="005D013B" w:rsidRPr="005419D3">
        <w:rPr>
          <w:rFonts w:ascii="Times New Roman"/>
          <w:color w:val="0000FF"/>
        </w:rPr>
        <w:t>vegetation index</w:t>
      </w:r>
      <w:r w:rsidR="005D013B" w:rsidRPr="005419D3">
        <w:rPr>
          <w:rFonts w:ascii="Times New Roman" w:hint="eastAsia"/>
        </w:rPr>
        <w:t>）</w:t>
      </w:r>
      <w:r w:rsidR="00543E7D" w:rsidRPr="005419D3">
        <w:rPr>
          <w:rFonts w:ascii="Times New Roman" w:hint="eastAsia"/>
        </w:rPr>
        <w:t>、比值植被指数</w:t>
      </w:r>
      <w:r w:rsidR="00543E7D" w:rsidRPr="005419D3">
        <w:rPr>
          <w:rFonts w:ascii="Times New Roman" w:hint="eastAsia"/>
        </w:rPr>
        <w:t>RVI</w:t>
      </w:r>
      <w:r w:rsidR="005419D3" w:rsidRPr="005419D3">
        <w:rPr>
          <w:rFonts w:ascii="Times New Roman" w:hint="eastAsia"/>
        </w:rPr>
        <w:t>（</w:t>
      </w:r>
      <w:r w:rsidR="005419D3" w:rsidRPr="005419D3">
        <w:rPr>
          <w:rFonts w:ascii="Times New Roman"/>
          <w:color w:val="0000FF"/>
        </w:rPr>
        <w:t>ratio</w:t>
      </w:r>
      <w:r w:rsidR="005419D3" w:rsidRPr="005419D3">
        <w:rPr>
          <w:rFonts w:ascii="Times New Roman" w:hint="eastAsia"/>
          <w:color w:val="0000FF"/>
        </w:rPr>
        <w:t xml:space="preserve"> </w:t>
      </w:r>
      <w:r w:rsidR="005419D3" w:rsidRPr="005419D3">
        <w:rPr>
          <w:rFonts w:ascii="Times New Roman"/>
          <w:color w:val="0000FF"/>
        </w:rPr>
        <w:t>vegetation index</w:t>
      </w:r>
      <w:r w:rsidR="005419D3" w:rsidRPr="005419D3">
        <w:rPr>
          <w:rFonts w:ascii="Times New Roman" w:hint="eastAsia"/>
        </w:rPr>
        <w:t>）</w:t>
      </w:r>
      <w:r w:rsidR="00543E7D" w:rsidRPr="005419D3">
        <w:rPr>
          <w:rFonts w:ascii="Times New Roman" w:hint="eastAsia"/>
        </w:rPr>
        <w:t>和</w:t>
      </w:r>
      <w:r w:rsidR="00543E7D" w:rsidRPr="005419D3">
        <w:rPr>
          <w:rFonts w:ascii="Times New Roman"/>
        </w:rPr>
        <w:t>归一化植被指数</w:t>
      </w:r>
      <w:r w:rsidR="00543E7D" w:rsidRPr="005419D3">
        <w:rPr>
          <w:rFonts w:ascii="Times New Roman" w:hint="eastAsia"/>
        </w:rPr>
        <w:t>NDVI</w:t>
      </w:r>
      <w:bookmarkStart w:id="23" w:name="_GoBack"/>
      <w:r w:rsidR="006270A6" w:rsidRPr="005D013B">
        <w:rPr>
          <w:rFonts w:ascii="Times New Roman" w:hint="eastAsia"/>
        </w:rPr>
        <w:t>（</w:t>
      </w:r>
      <w:r w:rsidR="006270A6" w:rsidRPr="005D013B">
        <w:rPr>
          <w:rFonts w:ascii="Times New Roman"/>
          <w:color w:val="0000FF"/>
        </w:rPr>
        <w:t>normalized</w:t>
      </w:r>
      <w:r w:rsidR="006270A6" w:rsidRPr="005D013B">
        <w:rPr>
          <w:rFonts w:ascii="Times New Roman" w:hint="eastAsia"/>
          <w:color w:val="0000FF"/>
        </w:rPr>
        <w:t xml:space="preserve"> </w:t>
      </w:r>
      <w:r w:rsidR="006270A6" w:rsidRPr="005D013B">
        <w:rPr>
          <w:rFonts w:ascii="Times New Roman"/>
          <w:color w:val="0000FF"/>
        </w:rPr>
        <w:t>difference vegetation index</w:t>
      </w:r>
      <w:r w:rsidR="006270A6" w:rsidRPr="005D013B">
        <w:rPr>
          <w:rFonts w:ascii="Times New Roman" w:hint="eastAsia"/>
        </w:rPr>
        <w:t>）</w:t>
      </w:r>
      <w:bookmarkEnd w:id="23"/>
      <w:r w:rsidRPr="005419D3">
        <w:rPr>
          <w:rFonts w:ascii="Times New Roman"/>
        </w:rPr>
        <w:t>。</w:t>
      </w:r>
      <w:r w:rsidR="007B2EDD" w:rsidRPr="005419D3">
        <w:rPr>
          <w:rFonts w:ascii="Times New Roman" w:hint="eastAsia"/>
          <w:color w:val="0000FF"/>
        </w:rPr>
        <w:t>差值植被指数</w:t>
      </w:r>
      <w:r w:rsidR="007B2EDD" w:rsidRPr="005419D3">
        <w:rPr>
          <w:rFonts w:ascii="Times New Roman" w:hint="eastAsia"/>
          <w:color w:val="0000FF"/>
        </w:rPr>
        <w:t>DVI</w:t>
      </w:r>
      <w:r w:rsidR="007B2EDD" w:rsidRPr="005419D3">
        <w:rPr>
          <w:rFonts w:ascii="Times New Roman" w:hint="eastAsia"/>
          <w:color w:val="0000FF"/>
        </w:rPr>
        <w:t>与双季稻植株氮积累量的相关性最好。</w:t>
      </w:r>
      <w:r w:rsidR="00AD686F" w:rsidRPr="005419D3">
        <w:rPr>
          <w:rFonts w:ascii="Times New Roman"/>
        </w:rPr>
        <w:t>按照其使用说明书进行操作。</w:t>
      </w:r>
    </w:p>
    <w:p w:rsidR="00434384" w:rsidRDefault="00434384" w:rsidP="00A8014A">
      <w:pPr>
        <w:pStyle w:val="a5"/>
        <w:spacing w:before="156" w:after="156"/>
        <w:jc w:val="both"/>
      </w:pPr>
      <w:r>
        <w:rPr>
          <w:rFonts w:hint="eastAsia"/>
        </w:rPr>
        <w:t>分蘖期</w:t>
      </w:r>
    </w:p>
    <w:p w:rsidR="00434384" w:rsidRPr="00434384" w:rsidRDefault="00D87560" w:rsidP="00A8014A">
      <w:pPr>
        <w:pStyle w:val="affc"/>
      </w:pPr>
      <w:r w:rsidRPr="00D87560">
        <w:rPr>
          <w:rFonts w:hint="eastAsia"/>
        </w:rPr>
        <w:t>第一个分蘖</w:t>
      </w:r>
      <w:proofErr w:type="gramStart"/>
      <w:r w:rsidRPr="00D87560">
        <w:rPr>
          <w:rFonts w:hint="eastAsia"/>
        </w:rPr>
        <w:t>芽</w:t>
      </w:r>
      <w:proofErr w:type="gramEnd"/>
      <w:r w:rsidRPr="00D87560">
        <w:rPr>
          <w:rFonts w:hint="eastAsia"/>
        </w:rPr>
        <w:t>萌发，并从基部叶腋内伸出1-2cm</w:t>
      </w:r>
      <w:r w:rsidR="002D4CE8">
        <w:rPr>
          <w:rFonts w:hint="eastAsia"/>
        </w:rPr>
        <w:t>，</w:t>
      </w:r>
      <w:r w:rsidRPr="00D87560">
        <w:rPr>
          <w:rFonts w:hint="eastAsia"/>
        </w:rPr>
        <w:t>全田50%以上植株出现分蘖的日期为全田分蘖期</w:t>
      </w:r>
    </w:p>
    <w:p w:rsidR="00434384" w:rsidRDefault="00434384" w:rsidP="00A8014A">
      <w:pPr>
        <w:pStyle w:val="a5"/>
        <w:spacing w:before="156" w:after="156"/>
        <w:jc w:val="both"/>
        <w:rPr>
          <w:rFonts w:ascii="宋体" w:hAnsi="宋体"/>
        </w:rPr>
      </w:pPr>
      <w:r>
        <w:rPr>
          <w:rFonts w:ascii="宋体" w:hAnsi="宋体" w:hint="eastAsia"/>
        </w:rPr>
        <w:t>拔节期</w:t>
      </w:r>
    </w:p>
    <w:p w:rsidR="00434384" w:rsidRPr="00AA2493" w:rsidRDefault="008E3A4C" w:rsidP="00A8014A">
      <w:pPr>
        <w:pStyle w:val="affc"/>
        <w:rPr>
          <w:color w:val="0000FF"/>
        </w:rPr>
      </w:pPr>
      <w:r w:rsidRPr="00AA2493">
        <w:rPr>
          <w:rFonts w:hint="eastAsia"/>
          <w:color w:val="0000FF"/>
        </w:rPr>
        <w:t>全田</w:t>
      </w:r>
      <w:r w:rsidRPr="00AA2493">
        <w:rPr>
          <w:rFonts w:hint="eastAsia"/>
          <w:color w:val="0000FF"/>
        </w:rPr>
        <w:t>50%植株地上部第</w:t>
      </w:r>
      <w:r w:rsidR="00AA2493" w:rsidRPr="00AA2493">
        <w:rPr>
          <w:rFonts w:hint="eastAsia"/>
          <w:color w:val="0000FF"/>
        </w:rPr>
        <w:t>一</w:t>
      </w:r>
      <w:r w:rsidRPr="00AA2493">
        <w:rPr>
          <w:rFonts w:hint="eastAsia"/>
          <w:color w:val="0000FF"/>
        </w:rPr>
        <w:t>节间伸长，早稻达1cm，晚稻2cm以上的日期</w:t>
      </w:r>
    </w:p>
    <w:p w:rsidR="00A11123" w:rsidRPr="00B117F8" w:rsidRDefault="00035D4C" w:rsidP="00A8014A">
      <w:pPr>
        <w:pStyle w:val="a5"/>
        <w:spacing w:before="156" w:after="156"/>
        <w:jc w:val="both"/>
      </w:pPr>
      <w:r w:rsidRPr="00B117F8">
        <w:rPr>
          <w:rFonts w:ascii="宋体" w:hAnsi="宋体" w:hint="eastAsia"/>
        </w:rPr>
        <w:t>监测</w:t>
      </w:r>
      <w:r w:rsidR="00B117F8">
        <w:rPr>
          <w:rFonts w:ascii="宋体" w:hAnsi="宋体" w:hint="eastAsia"/>
        </w:rPr>
        <w:t>诊断</w:t>
      </w:r>
      <w:r w:rsidR="008966EC" w:rsidRPr="00B117F8">
        <w:rPr>
          <w:rFonts w:ascii="宋体" w:hAnsi="宋体" w:hint="eastAsia"/>
        </w:rPr>
        <w:t>田</w:t>
      </w:r>
      <w:r w:rsidR="00B117F8">
        <w:rPr>
          <w:rFonts w:ascii="宋体" w:hAnsi="宋体" w:hint="eastAsia"/>
        </w:rPr>
        <w:t>块</w:t>
      </w:r>
    </w:p>
    <w:p w:rsidR="00A11123" w:rsidRPr="000358E6" w:rsidRDefault="00035D4C" w:rsidP="00A8014A">
      <w:pPr>
        <w:pStyle w:val="affffff2"/>
        <w:numPr>
          <w:ilvl w:val="0"/>
          <w:numId w:val="0"/>
        </w:numPr>
        <w:ind w:firstLineChars="200" w:firstLine="420"/>
        <w:jc w:val="both"/>
      </w:pPr>
      <w:r w:rsidRPr="000358E6">
        <w:rPr>
          <w:rFonts w:hint="eastAsia"/>
        </w:rPr>
        <w:t>用作采集</w:t>
      </w:r>
      <w:r w:rsidR="00B117F8">
        <w:rPr>
          <w:rFonts w:hint="eastAsia"/>
        </w:rPr>
        <w:t>双季</w:t>
      </w:r>
      <w:r w:rsidRPr="000358E6">
        <w:rPr>
          <w:rFonts w:hint="eastAsia"/>
        </w:rPr>
        <w:t>稻</w:t>
      </w:r>
      <w:r w:rsidR="009D0E56" w:rsidRPr="000358E6">
        <w:rPr>
          <w:rFonts w:hint="eastAsia"/>
        </w:rPr>
        <w:t>冠层光谱</w:t>
      </w:r>
      <w:r w:rsidR="00B117F8">
        <w:rPr>
          <w:rFonts w:hint="eastAsia"/>
        </w:rPr>
        <w:t>植被指数</w:t>
      </w:r>
      <w:r w:rsidR="00256BD2" w:rsidRPr="000358E6">
        <w:rPr>
          <w:rFonts w:hint="eastAsia"/>
        </w:rPr>
        <w:t>，进行</w:t>
      </w:r>
      <w:r w:rsidR="00301AEB">
        <w:rPr>
          <w:rFonts w:hint="eastAsia"/>
        </w:rPr>
        <w:t>分蘖肥和</w:t>
      </w:r>
      <w:r w:rsidR="00301AEB" w:rsidRPr="000358E6">
        <w:rPr>
          <w:rFonts w:hint="eastAsia"/>
        </w:rPr>
        <w:t>穗肥</w:t>
      </w:r>
      <w:r w:rsidR="00301AEB">
        <w:rPr>
          <w:rFonts w:hint="eastAsia"/>
        </w:rPr>
        <w:t>施氮量</w:t>
      </w:r>
      <w:r w:rsidR="00FB7778">
        <w:rPr>
          <w:rFonts w:hint="eastAsia"/>
        </w:rPr>
        <w:t>精确</w:t>
      </w:r>
      <w:r w:rsidR="00256BD2" w:rsidRPr="000358E6">
        <w:rPr>
          <w:rFonts w:hint="eastAsia"/>
        </w:rPr>
        <w:t>调控</w:t>
      </w:r>
      <w:r w:rsidRPr="000358E6">
        <w:rPr>
          <w:rFonts w:hint="eastAsia"/>
        </w:rPr>
        <w:t>的</w:t>
      </w:r>
      <w:r w:rsidR="00CB1F32" w:rsidRPr="000358E6">
        <w:rPr>
          <w:rFonts w:hint="eastAsia"/>
        </w:rPr>
        <w:t>种植</w:t>
      </w:r>
      <w:r w:rsidR="00667D3E" w:rsidRPr="000358E6">
        <w:rPr>
          <w:rFonts w:hint="eastAsia"/>
        </w:rPr>
        <w:t>田块</w:t>
      </w:r>
      <w:r w:rsidRPr="000358E6">
        <w:t>。</w:t>
      </w:r>
    </w:p>
    <w:p w:rsidR="00A11123" w:rsidRDefault="00035D4C" w:rsidP="00A8014A">
      <w:pPr>
        <w:pStyle w:val="a4"/>
        <w:spacing w:before="312" w:after="312"/>
        <w:rPr>
          <w:rFonts w:ascii="Times New Roman"/>
        </w:rPr>
      </w:pPr>
      <w:bookmarkStart w:id="24" w:name="_Toc478633869"/>
      <w:r>
        <w:rPr>
          <w:rFonts w:hint="eastAsia"/>
        </w:rPr>
        <w:lastRenderedPageBreak/>
        <w:t>监测内容</w:t>
      </w:r>
      <w:bookmarkEnd w:id="24"/>
    </w:p>
    <w:p w:rsidR="00A11123" w:rsidRDefault="009B7CC0" w:rsidP="00A8014A">
      <w:pPr>
        <w:pStyle w:val="a5"/>
        <w:spacing w:before="156" w:after="156"/>
        <w:jc w:val="both"/>
      </w:pPr>
      <w:r>
        <w:rPr>
          <w:rFonts w:hint="eastAsia"/>
        </w:rPr>
        <w:t>双季</w:t>
      </w:r>
      <w:r w:rsidR="00035D4C">
        <w:rPr>
          <w:rFonts w:hint="eastAsia"/>
        </w:rPr>
        <w:t>稻</w:t>
      </w:r>
      <w:r w:rsidRPr="009B7CC0">
        <w:rPr>
          <w:rFonts w:hint="eastAsia"/>
        </w:rPr>
        <w:t>冠层光谱植被指数</w:t>
      </w:r>
      <w:r w:rsidR="00104AFD">
        <w:rPr>
          <w:rFonts w:hint="eastAsia"/>
        </w:rPr>
        <w:t>测定</w:t>
      </w:r>
    </w:p>
    <w:p w:rsidR="00385A63" w:rsidRDefault="00310936" w:rsidP="00125664">
      <w:pPr>
        <w:pStyle w:val="affffff2"/>
        <w:numPr>
          <w:ilvl w:val="0"/>
          <w:numId w:val="0"/>
        </w:numPr>
        <w:ind w:firstLineChars="200" w:firstLine="420"/>
        <w:jc w:val="both"/>
      </w:pPr>
      <w:r>
        <w:rPr>
          <w:rFonts w:hint="eastAsia"/>
        </w:rPr>
        <w:t>利用</w:t>
      </w:r>
      <w:proofErr w:type="spellStart"/>
      <w:r w:rsidR="00564309" w:rsidRPr="009E258F">
        <w:rPr>
          <w:rFonts w:ascii="Times New Roman"/>
        </w:rPr>
        <w:t>GreenSeeker</w:t>
      </w:r>
      <w:proofErr w:type="spellEnd"/>
      <w:r w:rsidR="00564309" w:rsidRPr="009E258F">
        <w:rPr>
          <w:rFonts w:ascii="Times New Roman"/>
        </w:rPr>
        <w:t>手持式光谱仪和</w:t>
      </w:r>
      <w:r w:rsidR="00564309" w:rsidRPr="009E258F">
        <w:rPr>
          <w:rFonts w:ascii="Times New Roman"/>
        </w:rPr>
        <w:t>CGMD</w:t>
      </w:r>
      <w:r w:rsidR="00564309" w:rsidRPr="000358E6">
        <w:rPr>
          <w:rFonts w:hAnsi="宋体" w:hint="eastAsia"/>
        </w:rPr>
        <w:t>作物生长监测诊断仪</w:t>
      </w:r>
      <w:r w:rsidR="00AD63E1">
        <w:rPr>
          <w:rFonts w:hAnsi="宋体" w:hint="eastAsia"/>
        </w:rPr>
        <w:t>于早、晚稻分蘖期和拔节期</w:t>
      </w:r>
      <w:r w:rsidR="00733C41">
        <w:rPr>
          <w:rFonts w:hAnsi="宋体" w:hint="eastAsia"/>
        </w:rPr>
        <w:t>分别</w:t>
      </w:r>
      <w:r w:rsidR="00104AFD">
        <w:rPr>
          <w:rFonts w:hAnsi="宋体" w:hint="eastAsia"/>
        </w:rPr>
        <w:t>测定</w:t>
      </w:r>
      <w:r w:rsidR="00FD7A0F" w:rsidRPr="004E3426">
        <w:rPr>
          <w:rFonts w:ascii="Times New Roman" w:hint="eastAsia"/>
        </w:rPr>
        <w:t>归一化植被指数</w:t>
      </w:r>
      <w:r w:rsidR="00FD7A0F" w:rsidRPr="004E3426">
        <w:rPr>
          <w:rFonts w:ascii="Times New Roman" w:hint="eastAsia"/>
        </w:rPr>
        <w:t>NDVI</w:t>
      </w:r>
      <w:r w:rsidR="00733C41">
        <w:rPr>
          <w:rFonts w:ascii="Times New Roman" w:hint="eastAsia"/>
        </w:rPr>
        <w:t>和</w:t>
      </w:r>
      <w:r w:rsidR="00FD7A0F" w:rsidRPr="004E3426">
        <w:rPr>
          <w:rFonts w:ascii="Times New Roman" w:hint="eastAsia"/>
        </w:rPr>
        <w:t>差值植被指数</w:t>
      </w:r>
      <w:r w:rsidR="00FD7A0F" w:rsidRPr="004E3426">
        <w:rPr>
          <w:rFonts w:ascii="Times New Roman" w:hint="eastAsia"/>
        </w:rPr>
        <w:t>DVI</w:t>
      </w:r>
      <w:r w:rsidR="00C57A62">
        <w:rPr>
          <w:rFonts w:ascii="Times New Roman" w:hint="eastAsia"/>
        </w:rPr>
        <w:t>。</w:t>
      </w:r>
      <w:r w:rsidR="007B2EDD" w:rsidRPr="007B2EDD">
        <w:rPr>
          <w:rFonts w:ascii="Times New Roman" w:hint="eastAsia"/>
          <w:color w:val="0000FF"/>
        </w:rPr>
        <w:t>选择晴朗、少云、无风或微风天气，</w:t>
      </w:r>
      <w:r w:rsidR="00C57A62" w:rsidRPr="00C57A62">
        <w:rPr>
          <w:rFonts w:ascii="Times New Roman" w:hint="eastAsia"/>
        </w:rPr>
        <w:t>测定时间</w:t>
      </w:r>
      <w:r w:rsidR="002C5CCC">
        <w:rPr>
          <w:rFonts w:ascii="Times New Roman" w:hint="eastAsia"/>
        </w:rPr>
        <w:t>范围</w:t>
      </w:r>
      <w:r w:rsidR="00C57A62" w:rsidRPr="00C57A62">
        <w:rPr>
          <w:rFonts w:ascii="Times New Roman" w:hint="eastAsia"/>
        </w:rPr>
        <w:t>为</w:t>
      </w:r>
      <w:r w:rsidR="00C57A62" w:rsidRPr="00C57A62">
        <w:rPr>
          <w:rFonts w:ascii="Times New Roman" w:hint="eastAsia"/>
        </w:rPr>
        <w:t>10:00-14:00</w:t>
      </w:r>
      <w:r w:rsidR="00C57A62" w:rsidRPr="00C57A62">
        <w:rPr>
          <w:rFonts w:ascii="Times New Roman" w:hint="eastAsia"/>
        </w:rPr>
        <w:t>，各光谱仪测量时探头均垂直向下，距离冠层</w:t>
      </w:r>
      <w:r w:rsidR="00C57A62" w:rsidRPr="00C57A62">
        <w:rPr>
          <w:rFonts w:ascii="Times New Roman" w:hint="eastAsia"/>
        </w:rPr>
        <w:t>1 m</w:t>
      </w:r>
      <w:r w:rsidR="00C57A62" w:rsidRPr="00C57A62">
        <w:rPr>
          <w:rFonts w:ascii="Times New Roman" w:hint="eastAsia"/>
        </w:rPr>
        <w:t>，</w:t>
      </w:r>
      <w:r w:rsidR="00FD7A0F">
        <w:rPr>
          <w:rFonts w:ascii="Times New Roman" w:hint="eastAsia"/>
        </w:rPr>
        <w:t>每个监测田块随机选取</w:t>
      </w:r>
      <w:r w:rsidR="00FD7A0F">
        <w:rPr>
          <w:rFonts w:ascii="Times New Roman" w:hint="eastAsia"/>
        </w:rPr>
        <w:t>5</w:t>
      </w:r>
      <w:r w:rsidR="00FD7A0F">
        <w:rPr>
          <w:rFonts w:ascii="Times New Roman" w:hint="eastAsia"/>
        </w:rPr>
        <w:t>个点</w:t>
      </w:r>
      <w:r w:rsidR="00385A63">
        <w:rPr>
          <w:rFonts w:ascii="Times New Roman" w:hint="eastAsia"/>
        </w:rPr>
        <w:t>进行测量，</w:t>
      </w:r>
      <w:r w:rsidR="0017230C" w:rsidRPr="00723E77">
        <w:rPr>
          <w:rFonts w:ascii="Times New Roman" w:hint="eastAsia"/>
          <w:color w:val="0000FF"/>
        </w:rPr>
        <w:t>对所采集的数据进行取平均值</w:t>
      </w:r>
      <w:r w:rsidR="00385A63" w:rsidRPr="00723E77">
        <w:rPr>
          <w:rFonts w:ascii="Times New Roman" w:hint="eastAsia"/>
          <w:color w:val="0000FF"/>
        </w:rPr>
        <w:t>作为该</w:t>
      </w:r>
      <w:r w:rsidR="003E5A2F" w:rsidRPr="00723E77">
        <w:rPr>
          <w:rFonts w:ascii="Times New Roman" w:hint="eastAsia"/>
          <w:color w:val="0000FF"/>
        </w:rPr>
        <w:t>监测田</w:t>
      </w:r>
      <w:r w:rsidR="00385A63" w:rsidRPr="00723E77">
        <w:rPr>
          <w:rFonts w:ascii="Times New Roman" w:hint="eastAsia"/>
          <w:color w:val="0000FF"/>
        </w:rPr>
        <w:t>块</w:t>
      </w:r>
      <w:r w:rsidR="0088131D" w:rsidRPr="00723E77">
        <w:rPr>
          <w:rFonts w:ascii="Times New Roman"/>
          <w:color w:val="0000FF"/>
        </w:rPr>
        <w:t>测量值</w:t>
      </w:r>
      <w:r w:rsidR="00385A63">
        <w:rPr>
          <w:rFonts w:ascii="Times New Roman"/>
        </w:rPr>
        <w:t>，</w:t>
      </w:r>
      <w:r w:rsidR="00723E77" w:rsidRPr="00723E77">
        <w:rPr>
          <w:rFonts w:ascii="Times New Roman" w:hint="eastAsia"/>
          <w:color w:val="0000FF"/>
        </w:rPr>
        <w:t>测</w:t>
      </w:r>
      <w:r w:rsidR="00723E77">
        <w:rPr>
          <w:rFonts w:ascii="Times New Roman" w:hint="eastAsia"/>
          <w:color w:val="0000FF"/>
        </w:rPr>
        <w:t>定</w:t>
      </w:r>
      <w:r w:rsidR="00723E77" w:rsidRPr="00723E77">
        <w:rPr>
          <w:rFonts w:ascii="Times New Roman" w:hint="eastAsia"/>
          <w:color w:val="0000FF"/>
        </w:rPr>
        <w:t>者需穿黑色等深色衣服</w:t>
      </w:r>
      <w:r w:rsidR="00723E77">
        <w:rPr>
          <w:rFonts w:ascii="Times New Roman" w:hint="eastAsia"/>
          <w:color w:val="0000FF"/>
        </w:rPr>
        <w:t>采集数据</w:t>
      </w:r>
      <w:r w:rsidR="00723E77" w:rsidRPr="00723E77">
        <w:rPr>
          <w:rFonts w:ascii="Times New Roman" w:hint="eastAsia"/>
          <w:color w:val="0000FF"/>
        </w:rPr>
        <w:t>，</w:t>
      </w:r>
      <w:r w:rsidR="00385A63">
        <w:rPr>
          <w:rFonts w:ascii="Times New Roman"/>
        </w:rPr>
        <w:t>见表</w:t>
      </w:r>
      <w:r w:rsidR="00385A63">
        <w:rPr>
          <w:rFonts w:ascii="Times New Roman" w:hint="eastAsia"/>
        </w:rPr>
        <w:t>1</w:t>
      </w:r>
      <w:r w:rsidR="0088131D" w:rsidRPr="00940EBD">
        <w:rPr>
          <w:rFonts w:ascii="Times New Roman"/>
        </w:rPr>
        <w:t>。</w:t>
      </w:r>
    </w:p>
    <w:p w:rsidR="00385A63" w:rsidRDefault="0080421F" w:rsidP="009B406F">
      <w:pPr>
        <w:pStyle w:val="af7"/>
        <w:spacing w:before="156" w:afterLines="0"/>
      </w:pPr>
      <w:r>
        <w:rPr>
          <w:rFonts w:hint="eastAsia"/>
        </w:rPr>
        <w:t>早、晚</w:t>
      </w:r>
      <w:r w:rsidR="00385A63">
        <w:rPr>
          <w:rFonts w:hint="eastAsia"/>
        </w:rPr>
        <w:t>稻冠层光谱</w:t>
      </w:r>
      <w:r>
        <w:rPr>
          <w:rFonts w:hint="eastAsia"/>
        </w:rPr>
        <w:t>植被指数</w:t>
      </w:r>
      <w:r w:rsidR="00385A63">
        <w:rPr>
          <w:rFonts w:hint="eastAsia"/>
        </w:rPr>
        <w:t>采集记录表</w:t>
      </w:r>
    </w:p>
    <w:tbl>
      <w:tblPr>
        <w:tblW w:w="10649" w:type="dxa"/>
        <w:jc w:val="center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8"/>
        <w:gridCol w:w="850"/>
        <w:gridCol w:w="997"/>
        <w:gridCol w:w="992"/>
        <w:gridCol w:w="992"/>
        <w:gridCol w:w="709"/>
        <w:gridCol w:w="693"/>
        <w:gridCol w:w="1008"/>
        <w:gridCol w:w="992"/>
        <w:gridCol w:w="993"/>
        <w:gridCol w:w="567"/>
        <w:gridCol w:w="708"/>
      </w:tblGrid>
      <w:tr w:rsidR="0037353C" w:rsidRPr="001076F7" w:rsidTr="00BA5A3B">
        <w:trPr>
          <w:trHeight w:val="181"/>
          <w:jc w:val="center"/>
        </w:trPr>
        <w:tc>
          <w:tcPr>
            <w:tcW w:w="1148" w:type="dxa"/>
            <w:vMerge w:val="restart"/>
            <w:vAlign w:val="center"/>
          </w:tcPr>
          <w:p w:rsidR="0037353C" w:rsidRDefault="0037353C" w:rsidP="0037353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光谱仪</w:t>
            </w:r>
          </w:p>
        </w:tc>
        <w:tc>
          <w:tcPr>
            <w:tcW w:w="850" w:type="dxa"/>
            <w:vMerge w:val="restart"/>
            <w:vAlign w:val="center"/>
          </w:tcPr>
          <w:p w:rsidR="0037353C" w:rsidRDefault="0037353C" w:rsidP="0037353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生育期</w:t>
            </w:r>
          </w:p>
        </w:tc>
        <w:tc>
          <w:tcPr>
            <w:tcW w:w="4383" w:type="dxa"/>
            <w:gridSpan w:val="5"/>
            <w:vAlign w:val="center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早稻</w:t>
            </w:r>
          </w:p>
        </w:tc>
        <w:tc>
          <w:tcPr>
            <w:tcW w:w="4268" w:type="dxa"/>
            <w:gridSpan w:val="5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晚稻</w:t>
            </w:r>
          </w:p>
        </w:tc>
      </w:tr>
      <w:tr w:rsidR="00BA5A3B" w:rsidRPr="001076F7" w:rsidTr="00BA5A3B">
        <w:trPr>
          <w:trHeight w:val="90"/>
          <w:jc w:val="center"/>
        </w:trPr>
        <w:tc>
          <w:tcPr>
            <w:tcW w:w="1148" w:type="dxa"/>
            <w:vMerge/>
          </w:tcPr>
          <w:p w:rsidR="0037353C" w:rsidRPr="001076F7" w:rsidRDefault="0037353C" w:rsidP="00CE5B5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</w:tcPr>
          <w:p w:rsidR="0037353C" w:rsidRPr="001076F7" w:rsidRDefault="0037353C" w:rsidP="00CE5B5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品种名称</w:t>
            </w:r>
          </w:p>
        </w:tc>
        <w:tc>
          <w:tcPr>
            <w:tcW w:w="992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田块编号</w:t>
            </w:r>
          </w:p>
        </w:tc>
        <w:tc>
          <w:tcPr>
            <w:tcW w:w="992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植被指数</w:t>
            </w:r>
          </w:p>
        </w:tc>
        <w:tc>
          <w:tcPr>
            <w:tcW w:w="709" w:type="dxa"/>
          </w:tcPr>
          <w:p w:rsidR="0037353C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数值</w:t>
            </w:r>
          </w:p>
        </w:tc>
        <w:tc>
          <w:tcPr>
            <w:tcW w:w="693" w:type="dxa"/>
          </w:tcPr>
          <w:p w:rsidR="0037353C" w:rsidRDefault="0037353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008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品种名称</w:t>
            </w:r>
          </w:p>
        </w:tc>
        <w:tc>
          <w:tcPr>
            <w:tcW w:w="992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田块编号</w:t>
            </w:r>
          </w:p>
        </w:tc>
        <w:tc>
          <w:tcPr>
            <w:tcW w:w="993" w:type="dxa"/>
          </w:tcPr>
          <w:p w:rsidR="0037353C" w:rsidRPr="001076F7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植被指数</w:t>
            </w:r>
          </w:p>
        </w:tc>
        <w:tc>
          <w:tcPr>
            <w:tcW w:w="567" w:type="dxa"/>
          </w:tcPr>
          <w:p w:rsidR="0037353C" w:rsidRDefault="0037353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数值</w:t>
            </w:r>
          </w:p>
        </w:tc>
        <w:tc>
          <w:tcPr>
            <w:tcW w:w="708" w:type="dxa"/>
          </w:tcPr>
          <w:p w:rsidR="0037353C" w:rsidRDefault="0037353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平均值</w:t>
            </w: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 w:val="restart"/>
            <w:vAlign w:val="center"/>
          </w:tcPr>
          <w:p w:rsidR="008C6D7C" w:rsidRPr="001076F7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  <w:proofErr w:type="spellStart"/>
            <w:r w:rsidRPr="0037353C">
              <w:rPr>
                <w:color w:val="000000"/>
                <w:szCs w:val="21"/>
              </w:rPr>
              <w:t>GreenSeeker</w:t>
            </w:r>
            <w:proofErr w:type="spellEnd"/>
            <w:r w:rsidRPr="001C702B">
              <w:rPr>
                <w:rFonts w:hint="eastAsia"/>
                <w:color w:val="000000"/>
                <w:szCs w:val="21"/>
              </w:rPr>
              <w:t>手持式光谱仪</w:t>
            </w:r>
          </w:p>
        </w:tc>
        <w:tc>
          <w:tcPr>
            <w:tcW w:w="850" w:type="dxa"/>
            <w:vMerge w:val="restart"/>
            <w:vAlign w:val="center"/>
          </w:tcPr>
          <w:p w:rsidR="008C6D7C" w:rsidRPr="001076F7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分蘖期</w:t>
            </w:r>
          </w:p>
        </w:tc>
        <w:tc>
          <w:tcPr>
            <w:tcW w:w="997" w:type="dxa"/>
            <w:vMerge w:val="restart"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NDVI</w:t>
            </w: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NDVI</w:t>
            </w: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C6D7C" w:rsidRPr="001076F7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拔节期</w:t>
            </w:r>
          </w:p>
        </w:tc>
        <w:tc>
          <w:tcPr>
            <w:tcW w:w="997" w:type="dxa"/>
            <w:vMerge w:val="restart"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NDVI</w:t>
            </w: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NDVI</w:t>
            </w: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37353C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  <w:vAlign w:val="center"/>
          </w:tcPr>
          <w:p w:rsidR="008C6D7C" w:rsidRPr="001076F7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Pr="001076F7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B27D04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 w:val="restart"/>
            <w:vAlign w:val="center"/>
          </w:tcPr>
          <w:p w:rsidR="008C6D7C" w:rsidRPr="001076F7" w:rsidRDefault="008C6D7C" w:rsidP="002453BA">
            <w:pPr>
              <w:widowControl/>
              <w:jc w:val="center"/>
              <w:rPr>
                <w:color w:val="000000"/>
                <w:szCs w:val="21"/>
              </w:rPr>
            </w:pPr>
            <w:r w:rsidRPr="0037353C">
              <w:rPr>
                <w:color w:val="000000"/>
                <w:szCs w:val="21"/>
              </w:rPr>
              <w:t>CGMD</w:t>
            </w:r>
            <w:r w:rsidRPr="001C702B">
              <w:rPr>
                <w:rFonts w:hint="eastAsia"/>
                <w:color w:val="000000"/>
                <w:szCs w:val="21"/>
              </w:rPr>
              <w:t>作物生长监测诊断仪</w:t>
            </w:r>
          </w:p>
        </w:tc>
        <w:tc>
          <w:tcPr>
            <w:tcW w:w="850" w:type="dxa"/>
            <w:vMerge w:val="restart"/>
            <w:vAlign w:val="center"/>
          </w:tcPr>
          <w:p w:rsidR="008C6D7C" w:rsidRPr="001076F7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分蘖期</w:t>
            </w:r>
          </w:p>
        </w:tc>
        <w:tc>
          <w:tcPr>
            <w:tcW w:w="997" w:type="dxa"/>
            <w:vMerge w:val="restart"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DVI</w:t>
            </w: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DVI</w:t>
            </w: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C6D7C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C80D2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8C6D7C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C6D7C" w:rsidRPr="001076F7" w:rsidRDefault="008C6D7C" w:rsidP="00112242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拔节期</w:t>
            </w:r>
          </w:p>
        </w:tc>
        <w:tc>
          <w:tcPr>
            <w:tcW w:w="997" w:type="dxa"/>
            <w:vMerge w:val="restart"/>
            <w:vAlign w:val="center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C80D2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B27D04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DVI</w:t>
            </w: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DVI</w:t>
            </w:r>
          </w:p>
        </w:tc>
        <w:tc>
          <w:tcPr>
            <w:tcW w:w="567" w:type="dxa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C6D7C" w:rsidRPr="001076F7" w:rsidRDefault="008C6D7C" w:rsidP="008C6D7C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BA5A3B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</w:tcPr>
          <w:p w:rsidR="008C6D7C" w:rsidRDefault="008C6D7C" w:rsidP="00CE5B5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BA5A3B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</w:tcPr>
          <w:p w:rsidR="008C6D7C" w:rsidRDefault="008C6D7C" w:rsidP="00CE5B5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BA5A3B">
        <w:trPr>
          <w:trHeight w:val="90"/>
          <w:jc w:val="center"/>
        </w:trPr>
        <w:tc>
          <w:tcPr>
            <w:tcW w:w="1148" w:type="dxa"/>
            <w:vMerge/>
          </w:tcPr>
          <w:p w:rsidR="008C6D7C" w:rsidRPr="0037353C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</w:tcPr>
          <w:p w:rsidR="008C6D7C" w:rsidRDefault="008C6D7C" w:rsidP="00CE5B5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</w:tr>
      <w:tr w:rsidR="008C6D7C" w:rsidRPr="001076F7" w:rsidTr="00BA5A3B">
        <w:trPr>
          <w:trHeight w:val="90"/>
          <w:jc w:val="center"/>
        </w:trPr>
        <w:tc>
          <w:tcPr>
            <w:tcW w:w="1148" w:type="dxa"/>
            <w:vMerge/>
          </w:tcPr>
          <w:p w:rsidR="008C6D7C" w:rsidRPr="001076F7" w:rsidRDefault="008C6D7C" w:rsidP="00CE5B5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/>
          </w:tcPr>
          <w:p w:rsidR="008C6D7C" w:rsidRPr="001076F7" w:rsidRDefault="008C6D7C" w:rsidP="00EA3DEE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93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08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Merge/>
          </w:tcPr>
          <w:p w:rsidR="008C6D7C" w:rsidRPr="001076F7" w:rsidRDefault="008C6D7C" w:rsidP="00CE5B53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385A63" w:rsidRDefault="00385A63" w:rsidP="00385A63">
      <w:pPr>
        <w:pStyle w:val="affffff2"/>
        <w:numPr>
          <w:ilvl w:val="0"/>
          <w:numId w:val="0"/>
        </w:numPr>
        <w:ind w:firstLineChars="200" w:firstLine="420"/>
        <w:jc w:val="both"/>
        <w:rPr>
          <w:rFonts w:ascii="Times New Roman"/>
        </w:rPr>
      </w:pPr>
    </w:p>
    <w:p w:rsidR="00A11123" w:rsidRDefault="006642F9" w:rsidP="00E3217B">
      <w:pPr>
        <w:pStyle w:val="a4"/>
        <w:spacing w:before="312" w:after="312"/>
      </w:pPr>
      <w:bookmarkStart w:id="25" w:name="_Toc478633870"/>
      <w:r>
        <w:rPr>
          <w:rFonts w:hint="eastAsia"/>
        </w:rPr>
        <w:t>诊断方法</w:t>
      </w:r>
      <w:bookmarkEnd w:id="25"/>
    </w:p>
    <w:p w:rsidR="00A11123" w:rsidRDefault="00B523C0" w:rsidP="00E3217B">
      <w:pPr>
        <w:pStyle w:val="a5"/>
        <w:spacing w:before="156" w:after="156"/>
      </w:pPr>
      <w:r>
        <w:rPr>
          <w:rFonts w:hint="eastAsia"/>
        </w:rPr>
        <w:lastRenderedPageBreak/>
        <w:t>计算依据</w:t>
      </w:r>
    </w:p>
    <w:p w:rsidR="00BC31D6" w:rsidRDefault="008A40CF">
      <w:pPr>
        <w:pStyle w:val="affc"/>
        <w:rPr>
          <w:rFonts w:ascii="Times New Roman"/>
        </w:rPr>
      </w:pPr>
      <w:r w:rsidRPr="008A40CF">
        <w:rPr>
          <w:rFonts w:ascii="Times New Roman" w:hint="eastAsia"/>
        </w:rPr>
        <w:t>基于养分平衡原理，根据早、晚稻目标产量需氮量，在早、晚稻氮肥施用关键期：分蘖期（</w:t>
      </w:r>
      <w:r w:rsidR="007B2EDD" w:rsidRPr="007B2EDD">
        <w:rPr>
          <w:rFonts w:ascii="Times New Roman" w:hint="eastAsia"/>
          <w:color w:val="0000FF"/>
        </w:rPr>
        <w:t>施</w:t>
      </w:r>
      <w:r w:rsidRPr="008A40CF">
        <w:rPr>
          <w:rFonts w:ascii="Times New Roman" w:hint="eastAsia"/>
        </w:rPr>
        <w:t>分蘖肥）和拔节期（</w:t>
      </w:r>
      <w:r w:rsidR="00B56DD7" w:rsidRPr="00B56DD7">
        <w:rPr>
          <w:rFonts w:ascii="Times New Roman" w:hint="eastAsia"/>
          <w:color w:val="0000FF"/>
        </w:rPr>
        <w:t>施</w:t>
      </w:r>
      <w:r w:rsidRPr="00B56DD7">
        <w:rPr>
          <w:rFonts w:ascii="Times New Roman" w:hint="eastAsia"/>
          <w:color w:val="0000FF"/>
        </w:rPr>
        <w:t>穗肥</w:t>
      </w:r>
      <w:r w:rsidRPr="008A40CF">
        <w:rPr>
          <w:rFonts w:ascii="Times New Roman" w:hint="eastAsia"/>
        </w:rPr>
        <w:t>），利用</w:t>
      </w:r>
      <w:proofErr w:type="spellStart"/>
      <w:r w:rsidR="0047575A" w:rsidRPr="006A027B">
        <w:rPr>
          <w:rFonts w:ascii="Times New Roman"/>
        </w:rPr>
        <w:t>GreenSeeker</w:t>
      </w:r>
      <w:proofErr w:type="spellEnd"/>
      <w:r w:rsidR="0047575A" w:rsidRPr="006A027B">
        <w:rPr>
          <w:rFonts w:ascii="Times New Roman"/>
        </w:rPr>
        <w:t>手持式光谱仪和</w:t>
      </w:r>
      <w:r w:rsidR="0047575A" w:rsidRPr="006A027B">
        <w:rPr>
          <w:rFonts w:ascii="Times New Roman"/>
        </w:rPr>
        <w:t>CGMD</w:t>
      </w:r>
      <w:r w:rsidR="0047575A" w:rsidRPr="000358E6">
        <w:rPr>
          <w:rFonts w:hAnsi="宋体" w:hint="eastAsia"/>
        </w:rPr>
        <w:t>作物生长监测诊断仪</w:t>
      </w:r>
      <w:r w:rsidR="0047575A">
        <w:rPr>
          <w:rFonts w:hAnsi="宋体" w:hint="eastAsia"/>
        </w:rPr>
        <w:t>分别测定</w:t>
      </w:r>
      <w:r w:rsidR="0047575A" w:rsidRPr="004E3426">
        <w:rPr>
          <w:rFonts w:ascii="Times New Roman" w:hint="eastAsia"/>
        </w:rPr>
        <w:t>归一化植被指数</w:t>
      </w:r>
      <w:r w:rsidR="0047575A" w:rsidRPr="004E3426">
        <w:rPr>
          <w:rFonts w:ascii="Times New Roman" w:hint="eastAsia"/>
        </w:rPr>
        <w:t>NDVI</w:t>
      </w:r>
      <w:r w:rsidR="0047575A">
        <w:rPr>
          <w:rFonts w:ascii="Times New Roman" w:hint="eastAsia"/>
        </w:rPr>
        <w:t>和</w:t>
      </w:r>
      <w:r w:rsidR="0047575A" w:rsidRPr="004E3426">
        <w:rPr>
          <w:rFonts w:ascii="Times New Roman" w:hint="eastAsia"/>
        </w:rPr>
        <w:t>差值植被指数</w:t>
      </w:r>
      <w:r w:rsidR="0047575A" w:rsidRPr="004E3426">
        <w:rPr>
          <w:rFonts w:ascii="Times New Roman" w:hint="eastAsia"/>
        </w:rPr>
        <w:t>DVI</w:t>
      </w:r>
      <w:r w:rsidR="00515799">
        <w:rPr>
          <w:rFonts w:ascii="Times New Roman" w:hint="eastAsia"/>
        </w:rPr>
        <w:t>，无损估算</w:t>
      </w:r>
      <w:r w:rsidR="00515799" w:rsidRPr="008A40CF">
        <w:rPr>
          <w:rFonts w:ascii="Times New Roman" w:hint="eastAsia"/>
        </w:rPr>
        <w:t>早、晚稻</w:t>
      </w:r>
      <w:r w:rsidR="00515799">
        <w:rPr>
          <w:rFonts w:ascii="Times New Roman" w:hint="eastAsia"/>
        </w:rPr>
        <w:t>植株氮积累量，</w:t>
      </w:r>
      <w:r w:rsidR="0004091B">
        <w:rPr>
          <w:rFonts w:ascii="Times New Roman" w:hint="eastAsia"/>
        </w:rPr>
        <w:t>按照如下</w:t>
      </w:r>
      <w:r w:rsidRPr="008A40CF">
        <w:rPr>
          <w:rFonts w:ascii="Times New Roman" w:hint="eastAsia"/>
        </w:rPr>
        <w:t>计算方法</w:t>
      </w:r>
      <w:r w:rsidR="0004091B">
        <w:rPr>
          <w:rFonts w:ascii="Times New Roman" w:hint="eastAsia"/>
        </w:rPr>
        <w:t>得到</w:t>
      </w:r>
      <w:r w:rsidR="00432CED">
        <w:rPr>
          <w:rFonts w:hint="eastAsia"/>
        </w:rPr>
        <w:t>分蘖肥和</w:t>
      </w:r>
      <w:r w:rsidR="00432CED" w:rsidRPr="000358E6">
        <w:rPr>
          <w:rFonts w:hint="eastAsia"/>
        </w:rPr>
        <w:t>穗肥</w:t>
      </w:r>
      <w:r w:rsidR="00F7590A">
        <w:rPr>
          <w:rFonts w:hint="eastAsia"/>
        </w:rPr>
        <w:t>尿素</w:t>
      </w:r>
      <w:r w:rsidR="00432CED">
        <w:rPr>
          <w:rFonts w:hint="eastAsia"/>
        </w:rPr>
        <w:t>施</w:t>
      </w:r>
      <w:r w:rsidR="00F7590A">
        <w:rPr>
          <w:rFonts w:hint="eastAsia"/>
        </w:rPr>
        <w:t>用</w:t>
      </w:r>
      <w:r w:rsidR="00432CED">
        <w:rPr>
          <w:rFonts w:hint="eastAsia"/>
        </w:rPr>
        <w:t>量</w:t>
      </w:r>
      <w:r w:rsidRPr="008A40CF">
        <w:rPr>
          <w:rFonts w:ascii="Times New Roman" w:hint="eastAsia"/>
        </w:rPr>
        <w:t>。</w:t>
      </w:r>
    </w:p>
    <w:p w:rsidR="00630A21" w:rsidRPr="008C772B" w:rsidRDefault="0047488D" w:rsidP="00630A21">
      <w:pPr>
        <w:wordWrap w:val="0"/>
        <w:spacing w:line="264" w:lineRule="auto"/>
        <w:ind w:firstLine="435"/>
        <w:jc w:val="right"/>
        <w:rPr>
          <w:szCs w:val="21"/>
        </w:rPr>
      </w:pPr>
      <w:proofErr w:type="spellStart"/>
      <w:r>
        <w:rPr>
          <w:rFonts w:hint="eastAsia"/>
          <w:bCs/>
          <w:spacing w:val="-4"/>
          <w:szCs w:val="21"/>
        </w:rPr>
        <w:t>U</w:t>
      </w:r>
      <w:r w:rsidR="00630A21" w:rsidRPr="005D0280">
        <w:rPr>
          <w:bCs/>
          <w:spacing w:val="-4"/>
          <w:szCs w:val="21"/>
        </w:rPr>
        <w:t>N</w:t>
      </w:r>
      <w:r w:rsidR="00630A21" w:rsidRPr="005D0280">
        <w:rPr>
          <w:rFonts w:hint="eastAsia"/>
          <w:bCs/>
          <w:spacing w:val="-4"/>
          <w:szCs w:val="21"/>
        </w:rPr>
        <w:t>Z</w:t>
      </w:r>
      <w:r w:rsidR="00630A21" w:rsidRPr="005D0280">
        <w:rPr>
          <w:rFonts w:hint="eastAsia"/>
          <w:bCs/>
          <w:spacing w:val="-4"/>
          <w:szCs w:val="21"/>
          <w:vertAlign w:val="subscript"/>
        </w:rPr>
        <w:t>t</w:t>
      </w:r>
      <w:proofErr w:type="spellEnd"/>
      <w:r w:rsidR="00630A21" w:rsidRPr="005D0280">
        <w:rPr>
          <w:szCs w:val="21"/>
        </w:rPr>
        <w:t>=</w:t>
      </w:r>
      <w:r w:rsidRPr="0047488D">
        <w:rPr>
          <w:bCs/>
          <w:spacing w:val="-4"/>
          <w:szCs w:val="21"/>
        </w:rPr>
        <w:t xml:space="preserve"> </w:t>
      </w:r>
      <w:proofErr w:type="spellStart"/>
      <w:r w:rsidRPr="005D0280">
        <w:rPr>
          <w:bCs/>
          <w:spacing w:val="-4"/>
          <w:szCs w:val="21"/>
        </w:rPr>
        <w:t>N</w:t>
      </w:r>
      <w:r w:rsidRPr="005D0280">
        <w:rPr>
          <w:rFonts w:hint="eastAsia"/>
          <w:bCs/>
          <w:spacing w:val="-4"/>
          <w:szCs w:val="21"/>
        </w:rPr>
        <w:t>Z</w:t>
      </w:r>
      <w:r w:rsidRPr="005D0280">
        <w:rPr>
          <w:rFonts w:hint="eastAsia"/>
          <w:bCs/>
          <w:spacing w:val="-4"/>
          <w:szCs w:val="21"/>
          <w:vertAlign w:val="subscript"/>
        </w:rPr>
        <w:t>t</w:t>
      </w:r>
      <w:proofErr w:type="spellEnd"/>
      <w:r w:rsidRPr="000358E6">
        <w:rPr>
          <w:rFonts w:hint="eastAsia"/>
        </w:rPr>
        <w:t>/46%</w:t>
      </w:r>
      <w:r w:rsidR="00307094" w:rsidRPr="008C772B">
        <w:rPr>
          <w:szCs w:val="21"/>
        </w:rPr>
        <w:t>…………………………………………………</w:t>
      </w:r>
      <w:r w:rsidR="00630A21" w:rsidRPr="008C772B">
        <w:rPr>
          <w:szCs w:val="21"/>
        </w:rPr>
        <w:t>（</w:t>
      </w:r>
      <w:r w:rsidR="00630A21" w:rsidRPr="008C772B">
        <w:rPr>
          <w:szCs w:val="21"/>
        </w:rPr>
        <w:t>1</w:t>
      </w:r>
      <w:r w:rsidR="00630A21" w:rsidRPr="008C772B">
        <w:rPr>
          <w:szCs w:val="21"/>
        </w:rPr>
        <w:t>）</w:t>
      </w:r>
    </w:p>
    <w:p w:rsidR="00AF653F" w:rsidRPr="008C772B" w:rsidRDefault="00630A21" w:rsidP="003D0589">
      <w:pPr>
        <w:wordWrap w:val="0"/>
        <w:spacing w:line="264" w:lineRule="auto"/>
        <w:ind w:firstLine="480"/>
        <w:jc w:val="right"/>
      </w:pPr>
      <w:r w:rsidRPr="008C772B">
        <w:rPr>
          <w:szCs w:val="21"/>
        </w:rPr>
        <w:t xml:space="preserve">    </w:t>
      </w:r>
      <w:proofErr w:type="spellStart"/>
      <w:r w:rsidR="0047488D" w:rsidRPr="008C772B">
        <w:rPr>
          <w:szCs w:val="21"/>
        </w:rPr>
        <w:t>U</w:t>
      </w:r>
      <w:r w:rsidRPr="008C772B">
        <w:rPr>
          <w:bCs/>
          <w:spacing w:val="-4"/>
          <w:szCs w:val="21"/>
        </w:rPr>
        <w:t>NZ</w:t>
      </w:r>
      <w:r w:rsidRPr="008C772B">
        <w:rPr>
          <w:bCs/>
          <w:spacing w:val="-4"/>
          <w:szCs w:val="21"/>
          <w:vertAlign w:val="subscript"/>
        </w:rPr>
        <w:t>p</w:t>
      </w:r>
      <w:proofErr w:type="spellEnd"/>
      <w:r w:rsidRPr="008C772B">
        <w:rPr>
          <w:szCs w:val="21"/>
        </w:rPr>
        <w:t>=</w:t>
      </w:r>
      <w:r w:rsidR="0047488D" w:rsidRPr="008C772B">
        <w:rPr>
          <w:bCs/>
          <w:spacing w:val="-4"/>
          <w:szCs w:val="21"/>
        </w:rPr>
        <w:t xml:space="preserve"> </w:t>
      </w:r>
      <w:proofErr w:type="spellStart"/>
      <w:r w:rsidR="0047488D" w:rsidRPr="008C772B">
        <w:rPr>
          <w:bCs/>
          <w:spacing w:val="-4"/>
          <w:szCs w:val="21"/>
        </w:rPr>
        <w:t>NZ</w:t>
      </w:r>
      <w:r w:rsidR="0047488D" w:rsidRPr="008C772B">
        <w:rPr>
          <w:bCs/>
          <w:spacing w:val="-4"/>
          <w:szCs w:val="21"/>
          <w:vertAlign w:val="subscript"/>
        </w:rPr>
        <w:t>p</w:t>
      </w:r>
      <w:proofErr w:type="spellEnd"/>
      <w:r w:rsidR="0047488D" w:rsidRPr="008C772B">
        <w:t>/46%</w:t>
      </w:r>
      <w:r w:rsidR="00307094" w:rsidRPr="008C772B">
        <w:rPr>
          <w:szCs w:val="21"/>
        </w:rPr>
        <w:t>…………………………………………………</w:t>
      </w:r>
      <w:r w:rsidRPr="008C772B">
        <w:rPr>
          <w:szCs w:val="21"/>
        </w:rPr>
        <w:t>（</w:t>
      </w:r>
      <w:r w:rsidRPr="008C772B">
        <w:rPr>
          <w:szCs w:val="21"/>
        </w:rPr>
        <w:t>2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35"/>
        <w:jc w:val="right"/>
        <w:rPr>
          <w:szCs w:val="21"/>
        </w:rPr>
      </w:pPr>
      <w:proofErr w:type="spellStart"/>
      <w:r w:rsidRPr="008C772B">
        <w:rPr>
          <w:bCs/>
          <w:spacing w:val="-4"/>
          <w:szCs w:val="21"/>
        </w:rPr>
        <w:t>NZ</w:t>
      </w:r>
      <w:r w:rsidRPr="008C772B">
        <w:rPr>
          <w:bCs/>
          <w:spacing w:val="-4"/>
          <w:szCs w:val="21"/>
          <w:vertAlign w:val="subscript"/>
        </w:rPr>
        <w:t>t</w:t>
      </w:r>
      <w:proofErr w:type="spellEnd"/>
      <w:proofErr w:type="gramStart"/>
      <w:r w:rsidRPr="008C772B">
        <w:rPr>
          <w:szCs w:val="21"/>
        </w:rPr>
        <w:t>=(</w:t>
      </w:r>
      <w:proofErr w:type="spellStart"/>
      <w:proofErr w:type="gramEnd"/>
      <w:r w:rsidRPr="008C772B">
        <w:rPr>
          <w:bCs/>
          <w:szCs w:val="21"/>
        </w:rPr>
        <w:t>NX</w:t>
      </w:r>
      <w:r w:rsidRPr="008C772B">
        <w:rPr>
          <w:bCs/>
          <w:szCs w:val="21"/>
          <w:vertAlign w:val="subscript"/>
        </w:rPr>
        <w:t>t</w:t>
      </w:r>
      <w:proofErr w:type="spellEnd"/>
      <w:r w:rsidRPr="008C772B">
        <w:rPr>
          <w:bCs/>
          <w:szCs w:val="21"/>
        </w:rPr>
        <w:t>–</w:t>
      </w: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t</w:t>
      </w:r>
      <w:proofErr w:type="spellEnd"/>
      <w:r w:rsidRPr="008C772B">
        <w:rPr>
          <w:bCs/>
          <w:szCs w:val="21"/>
        </w:rPr>
        <w:t>–</w:t>
      </w:r>
      <w:proofErr w:type="spellStart"/>
      <w:r w:rsidRPr="008C772B">
        <w:rPr>
          <w:bCs/>
          <w:szCs w:val="21"/>
        </w:rPr>
        <w:t>NS</w:t>
      </w:r>
      <w:r w:rsidRPr="008C772B">
        <w:rPr>
          <w:bCs/>
          <w:szCs w:val="21"/>
          <w:vertAlign w:val="subscript"/>
        </w:rPr>
        <w:t>t</w:t>
      </w:r>
      <w:proofErr w:type="spellEnd"/>
      <w:r w:rsidRPr="008C772B">
        <w:rPr>
          <w:szCs w:val="21"/>
        </w:rPr>
        <w:t>)/</w:t>
      </w:r>
      <w:proofErr w:type="spellStart"/>
      <w:r w:rsidRPr="008C772B">
        <w:rPr>
          <w:szCs w:val="21"/>
        </w:rPr>
        <w:t>NUE</w:t>
      </w:r>
      <w:r w:rsidRPr="008C772B">
        <w:rPr>
          <w:szCs w:val="21"/>
          <w:vertAlign w:val="subscript"/>
        </w:rPr>
        <w:t>t</w:t>
      </w:r>
      <w:proofErr w:type="spellEnd"/>
      <w:r w:rsidR="00307094" w:rsidRPr="008C772B">
        <w:rPr>
          <w:szCs w:val="21"/>
        </w:rPr>
        <w:t>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3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spacing w:line="264" w:lineRule="auto"/>
        <w:ind w:firstLine="480"/>
        <w:jc w:val="right"/>
        <w:rPr>
          <w:szCs w:val="21"/>
        </w:rPr>
      </w:pPr>
      <w:r w:rsidRPr="008C772B">
        <w:rPr>
          <w:szCs w:val="21"/>
        </w:rPr>
        <w:t xml:space="preserve">    </w:t>
      </w:r>
      <w:proofErr w:type="spellStart"/>
      <w:r w:rsidRPr="008C772B">
        <w:rPr>
          <w:bCs/>
          <w:spacing w:val="-4"/>
          <w:szCs w:val="21"/>
        </w:rPr>
        <w:t>NZ</w:t>
      </w:r>
      <w:r w:rsidRPr="008C772B">
        <w:rPr>
          <w:bCs/>
          <w:spacing w:val="-4"/>
          <w:szCs w:val="21"/>
          <w:vertAlign w:val="subscript"/>
        </w:rPr>
        <w:t>p</w:t>
      </w:r>
      <w:proofErr w:type="spellEnd"/>
      <w:proofErr w:type="gramStart"/>
      <w:r w:rsidRPr="008C772B">
        <w:rPr>
          <w:szCs w:val="21"/>
        </w:rPr>
        <w:t>=(</w:t>
      </w:r>
      <w:proofErr w:type="spellStart"/>
      <w:proofErr w:type="gramEnd"/>
      <w:r w:rsidRPr="008C772B">
        <w:rPr>
          <w:bCs/>
          <w:szCs w:val="21"/>
        </w:rPr>
        <w:t>NX</w:t>
      </w:r>
      <w:r w:rsidRPr="008C772B">
        <w:rPr>
          <w:bCs/>
          <w:szCs w:val="21"/>
          <w:vertAlign w:val="subscript"/>
        </w:rPr>
        <w:t>p</w:t>
      </w:r>
      <w:proofErr w:type="spellEnd"/>
      <w:r w:rsidRPr="008C772B">
        <w:rPr>
          <w:bCs/>
          <w:szCs w:val="21"/>
        </w:rPr>
        <w:t>–</w:t>
      </w: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p</w:t>
      </w:r>
      <w:proofErr w:type="spellEnd"/>
      <w:r w:rsidRPr="008C772B">
        <w:rPr>
          <w:bCs/>
          <w:szCs w:val="21"/>
        </w:rPr>
        <w:t>–</w:t>
      </w:r>
      <w:proofErr w:type="spellStart"/>
      <w:r w:rsidRPr="008C772B">
        <w:rPr>
          <w:bCs/>
          <w:szCs w:val="21"/>
        </w:rPr>
        <w:t>NS</w:t>
      </w:r>
      <w:r w:rsidRPr="008C772B">
        <w:rPr>
          <w:bCs/>
          <w:szCs w:val="21"/>
          <w:vertAlign w:val="subscript"/>
        </w:rPr>
        <w:t>p</w:t>
      </w:r>
      <w:proofErr w:type="spellEnd"/>
      <w:r w:rsidRPr="008C772B">
        <w:rPr>
          <w:szCs w:val="21"/>
        </w:rPr>
        <w:t>)/</w:t>
      </w:r>
      <w:proofErr w:type="spellStart"/>
      <w:r w:rsidRPr="008C772B">
        <w:rPr>
          <w:szCs w:val="21"/>
        </w:rPr>
        <w:t>NUE</w:t>
      </w:r>
      <w:r w:rsidRPr="008C772B">
        <w:rPr>
          <w:szCs w:val="21"/>
          <w:vertAlign w:val="subscript"/>
        </w:rPr>
        <w:t>p</w:t>
      </w:r>
      <w:proofErr w:type="spellEnd"/>
      <w:r w:rsidR="00307094" w:rsidRPr="008C772B">
        <w:rPr>
          <w:szCs w:val="21"/>
        </w:rPr>
        <w:t>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4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35"/>
        <w:jc w:val="right"/>
        <w:rPr>
          <w:szCs w:val="21"/>
        </w:rPr>
      </w:pPr>
      <w:proofErr w:type="spellStart"/>
      <w:r w:rsidRPr="008C772B">
        <w:rPr>
          <w:bCs/>
          <w:spacing w:val="-4"/>
          <w:szCs w:val="21"/>
        </w:rPr>
        <w:t>NX</w:t>
      </w:r>
      <w:r w:rsidRPr="008C772B">
        <w:rPr>
          <w:bCs/>
          <w:spacing w:val="-4"/>
          <w:szCs w:val="21"/>
          <w:vertAlign w:val="subscript"/>
        </w:rPr>
        <w:t>t</w:t>
      </w:r>
      <w:proofErr w:type="spellEnd"/>
      <w:r w:rsidRPr="008C772B">
        <w:rPr>
          <w:szCs w:val="21"/>
        </w:rPr>
        <w:t>=</w:t>
      </w:r>
      <w:r w:rsidRPr="008C772B">
        <w:rPr>
          <w:bCs/>
          <w:szCs w:val="21"/>
        </w:rPr>
        <w:t>TNX×</w:t>
      </w:r>
      <w:r w:rsidRPr="008C772B">
        <w:rPr>
          <w:szCs w:val="21"/>
        </w:rPr>
        <w:t>45%</w:t>
      </w:r>
      <w:r w:rsidR="00307094" w:rsidRPr="008C772B">
        <w:rPr>
          <w:szCs w:val="21"/>
        </w:rPr>
        <w:t>…………………………………………………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5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80"/>
        <w:jc w:val="right"/>
        <w:rPr>
          <w:szCs w:val="21"/>
        </w:rPr>
      </w:pPr>
      <w:r w:rsidRPr="008C772B">
        <w:rPr>
          <w:szCs w:val="21"/>
        </w:rPr>
        <w:t xml:space="preserve">    </w:t>
      </w:r>
      <w:proofErr w:type="spellStart"/>
      <w:r w:rsidRPr="008C772B">
        <w:rPr>
          <w:bCs/>
          <w:spacing w:val="-4"/>
          <w:szCs w:val="21"/>
        </w:rPr>
        <w:t>NX</w:t>
      </w:r>
      <w:r w:rsidRPr="008C772B">
        <w:rPr>
          <w:bCs/>
          <w:spacing w:val="-4"/>
          <w:szCs w:val="21"/>
          <w:vertAlign w:val="subscript"/>
        </w:rPr>
        <w:t>p</w:t>
      </w:r>
      <w:proofErr w:type="spellEnd"/>
      <w:r w:rsidRPr="008C772B">
        <w:rPr>
          <w:szCs w:val="21"/>
        </w:rPr>
        <w:t>=</w:t>
      </w:r>
      <w:r w:rsidRPr="008C772B">
        <w:rPr>
          <w:bCs/>
          <w:szCs w:val="21"/>
        </w:rPr>
        <w:t>TNX×</w:t>
      </w:r>
      <w:r w:rsidRPr="008C772B">
        <w:rPr>
          <w:szCs w:val="21"/>
        </w:rPr>
        <w:t>55%</w:t>
      </w:r>
      <w:r w:rsidR="00307094" w:rsidRPr="008C772B">
        <w:rPr>
          <w:szCs w:val="21"/>
        </w:rPr>
        <w:t>…………………………………………………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6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80"/>
        <w:jc w:val="right"/>
        <w:rPr>
          <w:szCs w:val="21"/>
        </w:rPr>
      </w:pP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t</w:t>
      </w:r>
      <w:proofErr w:type="spellEnd"/>
      <w:r w:rsidRPr="008C772B">
        <w:rPr>
          <w:szCs w:val="21"/>
        </w:rPr>
        <w:t>=</w:t>
      </w:r>
      <w:proofErr w:type="spellStart"/>
      <w:r w:rsidRPr="008C772B">
        <w:rPr>
          <w:bCs/>
          <w:i/>
          <w:szCs w:val="21"/>
        </w:rPr>
        <w:t>a</w:t>
      </w:r>
      <w:r w:rsidRPr="008C772B">
        <w:rPr>
          <w:bCs/>
          <w:szCs w:val="21"/>
        </w:rPr>
        <w:t>×</w:t>
      </w:r>
      <w:proofErr w:type="gramStart"/>
      <w:r w:rsidRPr="008C772B">
        <w:rPr>
          <w:bCs/>
          <w:szCs w:val="21"/>
        </w:rPr>
        <w:t>exp</w:t>
      </w:r>
      <w:proofErr w:type="spellEnd"/>
      <w:r w:rsidRPr="008C772B">
        <w:rPr>
          <w:bCs/>
          <w:szCs w:val="21"/>
        </w:rPr>
        <w:t>(</w:t>
      </w:r>
      <w:proofErr w:type="spellStart"/>
      <w:proofErr w:type="gramEnd"/>
      <w:r w:rsidRPr="008C772B">
        <w:rPr>
          <w:bCs/>
          <w:i/>
          <w:szCs w:val="21"/>
        </w:rPr>
        <w:t>b</w:t>
      </w:r>
      <w:r w:rsidRPr="008C772B">
        <w:rPr>
          <w:bCs/>
          <w:szCs w:val="21"/>
        </w:rPr>
        <w:t>×NDVI</w:t>
      </w:r>
      <w:r w:rsidRPr="008C772B">
        <w:rPr>
          <w:bCs/>
          <w:szCs w:val="21"/>
          <w:vertAlign w:val="subscript"/>
        </w:rPr>
        <w:t>Greenseeker</w:t>
      </w:r>
      <w:proofErr w:type="spellEnd"/>
      <w:r w:rsidRPr="008C772B">
        <w:rPr>
          <w:bCs/>
          <w:szCs w:val="21"/>
        </w:rPr>
        <w:t>)</w:t>
      </w:r>
      <w:r w:rsidR="00307094" w:rsidRPr="008C772B">
        <w:rPr>
          <w:szCs w:val="21"/>
        </w:rPr>
        <w:t xml:space="preserve"> 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7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80"/>
        <w:jc w:val="right"/>
        <w:rPr>
          <w:szCs w:val="21"/>
        </w:rPr>
      </w:pPr>
      <w:r w:rsidRPr="008C772B">
        <w:rPr>
          <w:szCs w:val="21"/>
        </w:rPr>
        <w:t xml:space="preserve">   </w:t>
      </w: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p</w:t>
      </w:r>
      <w:proofErr w:type="spellEnd"/>
      <w:r w:rsidRPr="008C772B">
        <w:rPr>
          <w:szCs w:val="21"/>
        </w:rPr>
        <w:t>=</w:t>
      </w:r>
      <w:proofErr w:type="spellStart"/>
      <w:r w:rsidRPr="008C772B">
        <w:rPr>
          <w:bCs/>
          <w:i/>
          <w:szCs w:val="21"/>
        </w:rPr>
        <w:t>c</w:t>
      </w:r>
      <w:r w:rsidRPr="008C772B">
        <w:rPr>
          <w:bCs/>
          <w:szCs w:val="21"/>
        </w:rPr>
        <w:t>×</w:t>
      </w:r>
      <w:proofErr w:type="gramStart"/>
      <w:r w:rsidRPr="008C772B">
        <w:rPr>
          <w:bCs/>
          <w:szCs w:val="21"/>
        </w:rPr>
        <w:t>exp</w:t>
      </w:r>
      <w:proofErr w:type="spellEnd"/>
      <w:r w:rsidRPr="008C772B">
        <w:rPr>
          <w:bCs/>
          <w:szCs w:val="21"/>
        </w:rPr>
        <w:t>(</w:t>
      </w:r>
      <w:proofErr w:type="spellStart"/>
      <w:proofErr w:type="gramEnd"/>
      <w:r w:rsidRPr="008C772B">
        <w:rPr>
          <w:bCs/>
          <w:i/>
          <w:szCs w:val="21"/>
        </w:rPr>
        <w:t>d</w:t>
      </w:r>
      <w:r w:rsidRPr="008C772B">
        <w:rPr>
          <w:bCs/>
          <w:szCs w:val="21"/>
        </w:rPr>
        <w:t>×NDVI</w:t>
      </w:r>
      <w:r w:rsidRPr="008C772B">
        <w:rPr>
          <w:bCs/>
          <w:szCs w:val="21"/>
          <w:vertAlign w:val="subscript"/>
        </w:rPr>
        <w:t>Greenseeker</w:t>
      </w:r>
      <w:proofErr w:type="spellEnd"/>
      <w:r w:rsidRPr="008C772B">
        <w:rPr>
          <w:bCs/>
          <w:szCs w:val="21"/>
        </w:rPr>
        <w:t>)</w:t>
      </w:r>
      <w:r w:rsidR="00307094" w:rsidRPr="008C772B">
        <w:rPr>
          <w:szCs w:val="21"/>
        </w:rPr>
        <w:t xml:space="preserve"> 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8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35"/>
        <w:jc w:val="right"/>
        <w:rPr>
          <w:szCs w:val="21"/>
        </w:rPr>
      </w:pP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t</w:t>
      </w:r>
      <w:proofErr w:type="spellEnd"/>
      <w:r w:rsidRPr="008C772B">
        <w:rPr>
          <w:szCs w:val="21"/>
        </w:rPr>
        <w:t>=</w:t>
      </w:r>
      <w:proofErr w:type="spellStart"/>
      <w:r w:rsidRPr="008C772B">
        <w:rPr>
          <w:bCs/>
          <w:i/>
          <w:szCs w:val="21"/>
        </w:rPr>
        <w:t>e</w:t>
      </w:r>
      <w:r w:rsidRPr="008C772B">
        <w:rPr>
          <w:bCs/>
          <w:szCs w:val="21"/>
        </w:rPr>
        <w:t>×DVI</w:t>
      </w:r>
      <w:r w:rsidRPr="008C772B">
        <w:rPr>
          <w:bCs/>
          <w:szCs w:val="21"/>
          <w:vertAlign w:val="subscript"/>
        </w:rPr>
        <w:t>CGMD</w:t>
      </w:r>
      <w:r w:rsidRPr="008C772B">
        <w:rPr>
          <w:bCs/>
          <w:szCs w:val="21"/>
        </w:rPr>
        <w:t>+</w:t>
      </w:r>
      <w:r w:rsidRPr="008C772B">
        <w:rPr>
          <w:bCs/>
          <w:i/>
          <w:szCs w:val="21"/>
        </w:rPr>
        <w:t>f</w:t>
      </w:r>
      <w:proofErr w:type="spellEnd"/>
      <w:r w:rsidRPr="008C772B">
        <w:rPr>
          <w:szCs w:val="21"/>
        </w:rPr>
        <w:t xml:space="preserve"> </w:t>
      </w:r>
      <w:r w:rsidR="00307094" w:rsidRPr="008C772B">
        <w:rPr>
          <w:szCs w:val="21"/>
        </w:rPr>
        <w:t>……………………………………………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9</w:t>
      </w:r>
      <w:r w:rsidRPr="008C772B">
        <w:rPr>
          <w:szCs w:val="21"/>
        </w:rPr>
        <w:t>）</w:t>
      </w:r>
    </w:p>
    <w:p w:rsidR="00AF653F" w:rsidRPr="008C772B" w:rsidRDefault="00AF653F" w:rsidP="00AF653F">
      <w:pPr>
        <w:wordWrap w:val="0"/>
        <w:spacing w:line="264" w:lineRule="auto"/>
        <w:ind w:firstLine="435"/>
        <w:jc w:val="right"/>
        <w:rPr>
          <w:szCs w:val="21"/>
        </w:rPr>
      </w:pPr>
      <w:proofErr w:type="spellStart"/>
      <w:r w:rsidRPr="008C772B">
        <w:rPr>
          <w:bCs/>
          <w:szCs w:val="21"/>
        </w:rPr>
        <w:t>PNA</w:t>
      </w:r>
      <w:r w:rsidRPr="008C772B">
        <w:rPr>
          <w:bCs/>
          <w:szCs w:val="21"/>
          <w:vertAlign w:val="subscript"/>
        </w:rPr>
        <w:t>p</w:t>
      </w:r>
      <w:proofErr w:type="spellEnd"/>
      <w:r w:rsidRPr="008C772B">
        <w:rPr>
          <w:szCs w:val="21"/>
        </w:rPr>
        <w:t>=</w:t>
      </w:r>
      <w:proofErr w:type="spellStart"/>
      <w:r w:rsidRPr="008C772B">
        <w:rPr>
          <w:bCs/>
          <w:i/>
          <w:szCs w:val="21"/>
        </w:rPr>
        <w:t>g</w:t>
      </w:r>
      <w:r w:rsidRPr="008C772B">
        <w:rPr>
          <w:bCs/>
          <w:szCs w:val="21"/>
        </w:rPr>
        <w:t>×DVI</w:t>
      </w:r>
      <w:r w:rsidRPr="008C772B">
        <w:rPr>
          <w:bCs/>
          <w:szCs w:val="21"/>
          <w:vertAlign w:val="subscript"/>
        </w:rPr>
        <w:t>CGMD</w:t>
      </w:r>
      <w:r w:rsidRPr="008C772B">
        <w:rPr>
          <w:bCs/>
          <w:szCs w:val="21"/>
        </w:rPr>
        <w:t>+</w:t>
      </w:r>
      <w:r w:rsidRPr="008C772B">
        <w:rPr>
          <w:bCs/>
          <w:i/>
          <w:szCs w:val="21"/>
        </w:rPr>
        <w:t>h</w:t>
      </w:r>
      <w:proofErr w:type="spellEnd"/>
      <w:r w:rsidR="00307094" w:rsidRPr="008C772B">
        <w:rPr>
          <w:szCs w:val="21"/>
        </w:rPr>
        <w:t>……………………………………………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10</w:t>
      </w:r>
      <w:r w:rsidRPr="008C772B">
        <w:rPr>
          <w:szCs w:val="21"/>
        </w:rPr>
        <w:t>）</w:t>
      </w:r>
    </w:p>
    <w:p w:rsidR="00AF653F" w:rsidRDefault="00AF653F" w:rsidP="00701044">
      <w:pPr>
        <w:spacing w:line="264" w:lineRule="auto"/>
        <w:ind w:firstLineChars="200" w:firstLine="404"/>
        <w:jc w:val="right"/>
      </w:pPr>
      <w:r w:rsidRPr="008C772B">
        <w:rPr>
          <w:bCs/>
          <w:spacing w:val="-4"/>
          <w:szCs w:val="21"/>
        </w:rPr>
        <w:t>TNX</w:t>
      </w:r>
      <w:r w:rsidRPr="008C772B">
        <w:rPr>
          <w:bCs/>
          <w:szCs w:val="21"/>
        </w:rPr>
        <w:t>=GYT×</w:t>
      </w:r>
      <w:r w:rsidRPr="008C772B">
        <w:rPr>
          <w:bCs/>
          <w:spacing w:val="-4"/>
          <w:szCs w:val="21"/>
        </w:rPr>
        <w:t>N</w:t>
      </w:r>
      <w:r w:rsidRPr="008C772B">
        <w:rPr>
          <w:bCs/>
          <w:szCs w:val="21"/>
        </w:rPr>
        <w:t>G</w:t>
      </w:r>
      <w:r w:rsidRPr="008C772B">
        <w:rPr>
          <w:bCs/>
          <w:spacing w:val="-4"/>
          <w:szCs w:val="21"/>
        </w:rPr>
        <w:t>X</w:t>
      </w:r>
      <w:r w:rsidR="00307094" w:rsidRPr="008C772B">
        <w:rPr>
          <w:szCs w:val="21"/>
        </w:rPr>
        <w:t>………………………………………………</w:t>
      </w:r>
      <w:r w:rsidRPr="008C772B">
        <w:rPr>
          <w:szCs w:val="21"/>
        </w:rPr>
        <w:t>（</w:t>
      </w:r>
      <w:r w:rsidR="00630A21" w:rsidRPr="008C772B">
        <w:rPr>
          <w:szCs w:val="21"/>
        </w:rPr>
        <w:t>1</w:t>
      </w:r>
      <w:r w:rsidR="00630A21">
        <w:rPr>
          <w:rFonts w:hint="eastAsia"/>
          <w:szCs w:val="21"/>
        </w:rPr>
        <w:t>1</w:t>
      </w:r>
      <w:r w:rsidRPr="005D0280">
        <w:rPr>
          <w:szCs w:val="21"/>
        </w:rPr>
        <w:t>）</w:t>
      </w:r>
    </w:p>
    <w:p w:rsidR="00EE0C16" w:rsidRPr="000358E6" w:rsidRDefault="00FE3469" w:rsidP="00EE0C16">
      <w:pPr>
        <w:pStyle w:val="affc"/>
        <w:rPr>
          <w:rFonts w:ascii="Times New Roman"/>
        </w:rPr>
      </w:pPr>
      <w:r w:rsidRPr="000358E6">
        <w:rPr>
          <w:rFonts w:ascii="Times New Roman" w:hint="eastAsia"/>
        </w:rPr>
        <w:t>式（</w:t>
      </w:r>
      <w:r w:rsidRPr="000358E6">
        <w:rPr>
          <w:rFonts w:ascii="Times New Roman" w:hint="eastAsia"/>
        </w:rPr>
        <w:t>1</w:t>
      </w:r>
      <w:r w:rsidRPr="000358E6">
        <w:rPr>
          <w:rFonts w:ascii="Times New Roman" w:hint="eastAsia"/>
        </w:rPr>
        <w:t>）</w:t>
      </w:r>
      <w:r w:rsidR="00701044" w:rsidRPr="00701044">
        <w:rPr>
          <w:rFonts w:ascii="Times New Roman" w:eastAsiaTheme="minorEastAsia"/>
        </w:rPr>
        <w:t>~</w:t>
      </w:r>
      <w:r w:rsidRPr="000358E6">
        <w:rPr>
          <w:rFonts w:ascii="Times New Roman" w:hint="eastAsia"/>
        </w:rPr>
        <w:t>（</w:t>
      </w:r>
      <w:r w:rsidR="00701044">
        <w:rPr>
          <w:rFonts w:ascii="Times New Roman" w:hint="eastAsia"/>
        </w:rPr>
        <w:t>11</w:t>
      </w:r>
      <w:r w:rsidRPr="000358E6">
        <w:rPr>
          <w:rFonts w:ascii="Times New Roman" w:hint="eastAsia"/>
        </w:rPr>
        <w:t>）中</w:t>
      </w:r>
      <w:r w:rsidR="00035D4C" w:rsidRPr="000358E6">
        <w:rPr>
          <w:rFonts w:ascii="Times New Roman"/>
        </w:rPr>
        <w:t>：</w:t>
      </w:r>
    </w:p>
    <w:p w:rsidR="007D291A" w:rsidRDefault="007D291A" w:rsidP="00C90FBF">
      <w:pPr>
        <w:pStyle w:val="affc"/>
        <w:ind w:firstLine="404"/>
        <w:rPr>
          <w:rFonts w:ascii="Times New Roman"/>
          <w:bCs/>
          <w:spacing w:val="-4"/>
          <w:szCs w:val="21"/>
          <w:vertAlign w:val="subscript"/>
        </w:rPr>
      </w:pPr>
      <w:proofErr w:type="spellStart"/>
      <w:r>
        <w:rPr>
          <w:rFonts w:hint="eastAsia"/>
          <w:bCs/>
          <w:spacing w:val="-4"/>
          <w:szCs w:val="21"/>
        </w:rPr>
        <w:t>U</w:t>
      </w:r>
      <w:r w:rsidRPr="005D0280">
        <w:rPr>
          <w:rFonts w:ascii="Times New Roman"/>
          <w:bCs/>
          <w:spacing w:val="-4"/>
          <w:szCs w:val="21"/>
        </w:rPr>
        <w:t>N</w:t>
      </w:r>
      <w:r w:rsidRPr="005D0280">
        <w:rPr>
          <w:rFonts w:ascii="Times New Roman" w:hint="eastAsia"/>
          <w:bCs/>
          <w:spacing w:val="-4"/>
          <w:szCs w:val="21"/>
        </w:rPr>
        <w:t>Z</w:t>
      </w:r>
      <w:r w:rsidRPr="005D0280">
        <w:rPr>
          <w:rFonts w:ascii="Times New Roman" w:hint="eastAsia"/>
          <w:bCs/>
          <w:spacing w:val="-4"/>
          <w:szCs w:val="21"/>
          <w:vertAlign w:val="subscript"/>
        </w:rPr>
        <w:t>t</w:t>
      </w:r>
      <w:proofErr w:type="spellEnd"/>
      <w:r w:rsidR="008814ED">
        <w:rPr>
          <w:rFonts w:ascii="Times New Roman" w:hint="eastAsia"/>
          <w:bCs/>
          <w:spacing w:val="-4"/>
          <w:szCs w:val="21"/>
          <w:vertAlign w:val="subscript"/>
        </w:rPr>
        <w:t xml:space="preserve"> </w:t>
      </w:r>
      <w:r w:rsidR="009F29C7">
        <w:rPr>
          <w:szCs w:val="21"/>
        </w:rPr>
        <w:t>——</w:t>
      </w:r>
      <w:r w:rsidR="00D80735">
        <w:rPr>
          <w:rFonts w:hint="eastAsia"/>
        </w:rPr>
        <w:t>分蘖肥尿素施用量</w:t>
      </w:r>
      <w:r w:rsidR="00D80735" w:rsidRPr="005D0280">
        <w:rPr>
          <w:rFonts w:ascii="Times New Roman" w:hint="eastAsia"/>
          <w:szCs w:val="21"/>
        </w:rPr>
        <w:t>（</w:t>
      </w:r>
      <w:r w:rsidR="00D80735" w:rsidRPr="005D0280">
        <w:rPr>
          <w:rFonts w:ascii="Times New Roman" w:hint="eastAsia"/>
          <w:szCs w:val="21"/>
        </w:rPr>
        <w:t>kg/hm</w:t>
      </w:r>
      <w:r w:rsidR="00D80735" w:rsidRPr="005D0280">
        <w:rPr>
          <w:rFonts w:ascii="Times New Roman" w:hint="eastAsia"/>
          <w:szCs w:val="21"/>
          <w:vertAlign w:val="superscript"/>
        </w:rPr>
        <w:t>2</w:t>
      </w:r>
      <w:r w:rsidR="00D80735" w:rsidRPr="005D0280">
        <w:rPr>
          <w:rFonts w:ascii="Times New Roman" w:hint="eastAsia"/>
          <w:szCs w:val="21"/>
        </w:rPr>
        <w:t>）</w:t>
      </w:r>
      <w:r w:rsidR="00D80735">
        <w:rPr>
          <w:rFonts w:ascii="Times New Roman" w:hint="eastAsia"/>
          <w:szCs w:val="21"/>
        </w:rPr>
        <w:t>，</w:t>
      </w:r>
      <w:r w:rsidR="006B40DB" w:rsidRPr="000358E6">
        <w:rPr>
          <w:rFonts w:ascii="Times New Roman" w:hint="eastAsia"/>
        </w:rPr>
        <w:t>46%</w:t>
      </w:r>
      <w:r w:rsidR="006B40DB">
        <w:rPr>
          <w:rFonts w:ascii="Times New Roman" w:hint="eastAsia"/>
        </w:rPr>
        <w:t>为尿素氮含量；</w:t>
      </w:r>
    </w:p>
    <w:p w:rsidR="007D291A" w:rsidRPr="009F29C7" w:rsidRDefault="007D291A" w:rsidP="007D291A">
      <w:pPr>
        <w:pStyle w:val="affc"/>
        <w:rPr>
          <w:rFonts w:ascii="Times New Roman"/>
          <w:bCs/>
          <w:spacing w:val="-4"/>
          <w:szCs w:val="21"/>
        </w:rPr>
      </w:pPr>
      <w:proofErr w:type="spellStart"/>
      <w:r>
        <w:rPr>
          <w:rFonts w:hint="eastAsia"/>
          <w:szCs w:val="21"/>
        </w:rPr>
        <w:t>U</w:t>
      </w:r>
      <w:r w:rsidRPr="005D0280">
        <w:rPr>
          <w:rFonts w:ascii="Times New Roman"/>
          <w:bCs/>
          <w:spacing w:val="-4"/>
          <w:szCs w:val="21"/>
        </w:rPr>
        <w:t>N</w:t>
      </w:r>
      <w:r w:rsidRPr="005D0280">
        <w:rPr>
          <w:rFonts w:ascii="Times New Roman" w:hint="eastAsia"/>
          <w:bCs/>
          <w:spacing w:val="-4"/>
          <w:szCs w:val="21"/>
        </w:rPr>
        <w:t>Z</w:t>
      </w:r>
      <w:r w:rsidRPr="005D0280">
        <w:rPr>
          <w:rFonts w:ascii="Times New Roman" w:hint="eastAsia"/>
          <w:bCs/>
          <w:spacing w:val="-4"/>
          <w:szCs w:val="21"/>
          <w:vertAlign w:val="subscript"/>
        </w:rPr>
        <w:t>p</w:t>
      </w:r>
      <w:proofErr w:type="spellEnd"/>
      <w:r w:rsidR="008814ED">
        <w:rPr>
          <w:rFonts w:ascii="Times New Roman" w:hint="eastAsia"/>
          <w:bCs/>
          <w:spacing w:val="-4"/>
          <w:szCs w:val="21"/>
          <w:vertAlign w:val="subscript"/>
        </w:rPr>
        <w:t xml:space="preserve"> </w:t>
      </w:r>
      <w:r w:rsidR="009F29C7">
        <w:rPr>
          <w:szCs w:val="21"/>
        </w:rPr>
        <w:t>——</w:t>
      </w:r>
      <w:r w:rsidR="00D80735" w:rsidRPr="000358E6">
        <w:rPr>
          <w:rFonts w:hint="eastAsia"/>
        </w:rPr>
        <w:t>穗肥</w:t>
      </w:r>
      <w:r w:rsidR="00D80735">
        <w:rPr>
          <w:rFonts w:hint="eastAsia"/>
        </w:rPr>
        <w:t>尿素施用量</w:t>
      </w:r>
      <w:r w:rsidR="00891475" w:rsidRPr="005D0280">
        <w:rPr>
          <w:rFonts w:ascii="Times New Roman" w:hint="eastAsia"/>
          <w:szCs w:val="21"/>
        </w:rPr>
        <w:t>（</w:t>
      </w:r>
      <w:r w:rsidR="00891475" w:rsidRPr="005D0280">
        <w:rPr>
          <w:rFonts w:ascii="Times New Roman" w:hint="eastAsia"/>
          <w:szCs w:val="21"/>
        </w:rPr>
        <w:t>kg/hm</w:t>
      </w:r>
      <w:r w:rsidR="00891475" w:rsidRPr="005D0280">
        <w:rPr>
          <w:rFonts w:ascii="Times New Roman" w:hint="eastAsia"/>
          <w:szCs w:val="21"/>
          <w:vertAlign w:val="superscript"/>
        </w:rPr>
        <w:t>2</w:t>
      </w:r>
      <w:r w:rsidR="00891475" w:rsidRPr="005D0280">
        <w:rPr>
          <w:rFonts w:ascii="Times New Roman" w:hint="eastAsia"/>
          <w:szCs w:val="21"/>
        </w:rPr>
        <w:t>）</w:t>
      </w:r>
      <w:r w:rsidR="006B40DB">
        <w:rPr>
          <w:rFonts w:ascii="Times New Roman" w:hint="eastAsia"/>
          <w:szCs w:val="21"/>
        </w:rPr>
        <w:t>；</w:t>
      </w:r>
    </w:p>
    <w:p w:rsidR="00093713" w:rsidRDefault="00C90FBF" w:rsidP="00C90FBF">
      <w:pPr>
        <w:pStyle w:val="affc"/>
        <w:ind w:firstLine="404"/>
        <w:rPr>
          <w:rFonts w:ascii="Times New Roman"/>
          <w:bCs/>
          <w:spacing w:val="-4"/>
          <w:szCs w:val="21"/>
        </w:rPr>
      </w:pPr>
      <w:proofErr w:type="spellStart"/>
      <w:r w:rsidRPr="005D0280">
        <w:rPr>
          <w:rFonts w:ascii="Times New Roman"/>
          <w:bCs/>
          <w:spacing w:val="-4"/>
          <w:szCs w:val="21"/>
        </w:rPr>
        <w:t>N</w:t>
      </w:r>
      <w:r w:rsidRPr="005D0280">
        <w:rPr>
          <w:rFonts w:ascii="Times New Roman" w:hint="eastAsia"/>
          <w:bCs/>
          <w:spacing w:val="-4"/>
          <w:szCs w:val="21"/>
        </w:rPr>
        <w:t>Z</w:t>
      </w:r>
      <w:r w:rsidRPr="005D0280">
        <w:rPr>
          <w:rFonts w:ascii="Times New Roman" w:hint="eastAsia"/>
          <w:bCs/>
          <w:spacing w:val="-4"/>
          <w:szCs w:val="21"/>
          <w:vertAlign w:val="subscript"/>
        </w:rPr>
        <w:t>t</w:t>
      </w:r>
      <w:proofErr w:type="spellEnd"/>
      <w:r w:rsidR="00C7376E">
        <w:rPr>
          <w:rFonts w:ascii="Times New Roman" w:hint="eastAsia"/>
          <w:bCs/>
          <w:spacing w:val="-4"/>
          <w:szCs w:val="21"/>
          <w:vertAlign w:val="subscript"/>
        </w:rPr>
        <w:t xml:space="preserve"> </w:t>
      </w:r>
      <w:r w:rsidR="00C7376E">
        <w:rPr>
          <w:szCs w:val="21"/>
        </w:rPr>
        <w:t>——</w:t>
      </w:r>
      <w:r w:rsidR="006B54AF" w:rsidRPr="005D0280">
        <w:rPr>
          <w:rFonts w:ascii="Times New Roman" w:hint="eastAsia"/>
          <w:szCs w:val="21"/>
        </w:rPr>
        <w:t>分蘖肥施氮量（</w:t>
      </w:r>
      <w:r w:rsidR="006B54AF" w:rsidRPr="005D0280">
        <w:rPr>
          <w:rFonts w:ascii="Times New Roman" w:hint="eastAsia"/>
          <w:szCs w:val="21"/>
        </w:rPr>
        <w:t>kg/hm</w:t>
      </w:r>
      <w:r w:rsidR="006B54AF" w:rsidRPr="005D0280">
        <w:rPr>
          <w:rFonts w:ascii="Times New Roman" w:hint="eastAsia"/>
          <w:szCs w:val="21"/>
          <w:vertAlign w:val="superscript"/>
        </w:rPr>
        <w:t>2</w:t>
      </w:r>
      <w:r w:rsidR="006B54AF" w:rsidRPr="005D0280">
        <w:rPr>
          <w:rFonts w:ascii="Times New Roman" w:hint="eastAsia"/>
          <w:szCs w:val="21"/>
        </w:rPr>
        <w:t>）；</w:t>
      </w:r>
    </w:p>
    <w:p w:rsidR="00093713" w:rsidRDefault="00C90FBF" w:rsidP="00C90FBF">
      <w:pPr>
        <w:pStyle w:val="affc"/>
        <w:ind w:firstLine="404"/>
        <w:rPr>
          <w:rFonts w:ascii="Times New Roman"/>
          <w:szCs w:val="21"/>
        </w:rPr>
      </w:pPr>
      <w:proofErr w:type="spellStart"/>
      <w:r w:rsidRPr="005D0280">
        <w:rPr>
          <w:rFonts w:ascii="Times New Roman"/>
          <w:bCs/>
          <w:spacing w:val="-4"/>
          <w:szCs w:val="21"/>
        </w:rPr>
        <w:t>N</w:t>
      </w:r>
      <w:r w:rsidRPr="005D0280">
        <w:rPr>
          <w:rFonts w:ascii="Times New Roman" w:hint="eastAsia"/>
          <w:bCs/>
          <w:spacing w:val="-4"/>
          <w:szCs w:val="21"/>
        </w:rPr>
        <w:t>Z</w:t>
      </w:r>
      <w:r w:rsidRPr="005D0280">
        <w:rPr>
          <w:rFonts w:ascii="Times New Roman" w:hint="eastAsia"/>
          <w:bCs/>
          <w:spacing w:val="-4"/>
          <w:szCs w:val="21"/>
          <w:vertAlign w:val="subscript"/>
        </w:rPr>
        <w:t>p</w:t>
      </w:r>
      <w:proofErr w:type="spellEnd"/>
      <w:r w:rsidR="00C7376E">
        <w:rPr>
          <w:rFonts w:ascii="Times New Roman" w:hint="eastAsia"/>
          <w:bCs/>
          <w:spacing w:val="-4"/>
          <w:szCs w:val="21"/>
          <w:vertAlign w:val="subscript"/>
        </w:rPr>
        <w:t xml:space="preserve"> </w:t>
      </w:r>
      <w:r w:rsidR="00C7376E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穗肥施氮量（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）；</w:t>
      </w:r>
    </w:p>
    <w:p w:rsidR="00093713" w:rsidRDefault="00C90FBF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NX</w:t>
      </w:r>
      <w:r w:rsidRPr="005D0280">
        <w:rPr>
          <w:rFonts w:ascii="Times New Roman" w:hint="eastAsia"/>
          <w:bCs/>
          <w:szCs w:val="21"/>
          <w:vertAlign w:val="subscript"/>
        </w:rPr>
        <w:t>t</w:t>
      </w:r>
      <w:proofErr w:type="spellEnd"/>
      <w:r w:rsidR="0084255B">
        <w:rPr>
          <w:rFonts w:ascii="Times New Roman" w:hint="eastAsia"/>
          <w:szCs w:val="21"/>
        </w:rPr>
        <w:t xml:space="preserve"> </w:t>
      </w:r>
      <w:r w:rsidR="0084255B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分蘖期到穗分化期的需氮量（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），占总需氮量的</w:t>
      </w:r>
      <w:r w:rsidRPr="005D0280">
        <w:rPr>
          <w:rFonts w:ascii="Times New Roman" w:hint="eastAsia"/>
          <w:szCs w:val="21"/>
        </w:rPr>
        <w:t>45%</w:t>
      </w:r>
      <w:r w:rsidRPr="005D0280">
        <w:rPr>
          <w:rFonts w:ascii="Times New Roman" w:hint="eastAsia"/>
          <w:szCs w:val="21"/>
        </w:rPr>
        <w:t>，</w:t>
      </w:r>
      <w:r w:rsidR="0084255B">
        <w:rPr>
          <w:rFonts w:ascii="Times New Roman" w:hint="eastAsia"/>
          <w:szCs w:val="21"/>
        </w:rPr>
        <w:t>其计算见</w:t>
      </w:r>
      <w:r w:rsidRPr="005D0280">
        <w:rPr>
          <w:rFonts w:ascii="Times New Roman"/>
          <w:szCs w:val="21"/>
        </w:rPr>
        <w:t>公式（</w:t>
      </w:r>
      <w:r w:rsidR="0084255B">
        <w:rPr>
          <w:rFonts w:ascii="Times New Roman" w:hint="eastAsia"/>
          <w:szCs w:val="21"/>
        </w:rPr>
        <w:t>5</w:t>
      </w:r>
      <w:r w:rsidRPr="005D0280">
        <w:rPr>
          <w:rFonts w:ascii="Times New Roman"/>
          <w:szCs w:val="21"/>
        </w:rPr>
        <w:t>）；</w:t>
      </w:r>
    </w:p>
    <w:p w:rsidR="003D256D" w:rsidRDefault="003D256D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NX</w:t>
      </w:r>
      <w:r w:rsidRPr="005D0280">
        <w:rPr>
          <w:rFonts w:ascii="Times New Roman" w:hint="eastAsia"/>
          <w:bCs/>
          <w:szCs w:val="21"/>
          <w:vertAlign w:val="subscript"/>
        </w:rPr>
        <w:t>p</w:t>
      </w:r>
      <w:proofErr w:type="spellEnd"/>
      <w:r w:rsidR="0084255B">
        <w:rPr>
          <w:rFonts w:ascii="Times New Roman" w:hint="eastAsia"/>
          <w:szCs w:val="21"/>
        </w:rPr>
        <w:t xml:space="preserve"> </w:t>
      </w:r>
      <w:r w:rsidR="0084255B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穗分化期以后的需氮量（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），占总需氮量的</w:t>
      </w:r>
      <w:r w:rsidRPr="005D0280">
        <w:rPr>
          <w:rFonts w:ascii="Times New Roman" w:hint="eastAsia"/>
          <w:szCs w:val="21"/>
        </w:rPr>
        <w:t>55%</w:t>
      </w:r>
      <w:r w:rsidRPr="005D0280">
        <w:rPr>
          <w:rFonts w:ascii="Times New Roman" w:hint="eastAsia"/>
          <w:szCs w:val="21"/>
        </w:rPr>
        <w:t>，</w:t>
      </w:r>
      <w:r w:rsidR="00115596">
        <w:rPr>
          <w:rFonts w:ascii="Times New Roman" w:hint="eastAsia"/>
          <w:szCs w:val="21"/>
        </w:rPr>
        <w:t>其计算</w:t>
      </w:r>
      <w:r w:rsidRPr="005D0280">
        <w:rPr>
          <w:rFonts w:ascii="Times New Roman"/>
          <w:szCs w:val="21"/>
        </w:rPr>
        <w:t>公式（</w:t>
      </w:r>
      <w:r w:rsidRPr="005D0280">
        <w:rPr>
          <w:rFonts w:ascii="Times New Roman" w:hint="eastAsia"/>
          <w:szCs w:val="21"/>
        </w:rPr>
        <w:t>6</w:t>
      </w:r>
      <w:r w:rsidRPr="005D0280">
        <w:rPr>
          <w:rFonts w:ascii="Times New Roman"/>
          <w:szCs w:val="21"/>
        </w:rPr>
        <w:t>）；</w:t>
      </w:r>
    </w:p>
    <w:p w:rsidR="00093713" w:rsidRDefault="00C90FBF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PNA</w:t>
      </w:r>
      <w:r w:rsidRPr="005D0280">
        <w:rPr>
          <w:rFonts w:ascii="Times New Roman" w:hint="eastAsia"/>
          <w:bCs/>
          <w:szCs w:val="21"/>
          <w:vertAlign w:val="subscript"/>
        </w:rPr>
        <w:t>t</w:t>
      </w:r>
      <w:proofErr w:type="spellEnd"/>
      <w:r w:rsidR="00B54EDF">
        <w:rPr>
          <w:rFonts w:ascii="Times New Roman" w:hint="eastAsia"/>
          <w:szCs w:val="21"/>
        </w:rPr>
        <w:t xml:space="preserve"> </w:t>
      </w:r>
      <w:r w:rsidR="00B54EDF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施分蘖肥时的植株氮积累量（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</w:t>
      </w:r>
      <w:r w:rsidR="00DC7C04">
        <w:rPr>
          <w:rFonts w:ascii="Times New Roman" w:hint="eastAsia"/>
          <w:szCs w:val="21"/>
        </w:rPr>
        <w:t>其计算见</w:t>
      </w:r>
      <w:r w:rsidRPr="005D0280">
        <w:rPr>
          <w:rFonts w:ascii="Times New Roman"/>
          <w:szCs w:val="21"/>
        </w:rPr>
        <w:t>公式（</w:t>
      </w:r>
      <w:r w:rsidR="008B56F5">
        <w:rPr>
          <w:rFonts w:ascii="Times New Roman" w:hint="eastAsia"/>
          <w:szCs w:val="21"/>
        </w:rPr>
        <w:t>7</w:t>
      </w:r>
      <w:r w:rsidRPr="005D0280">
        <w:rPr>
          <w:rFonts w:ascii="Times New Roman"/>
          <w:szCs w:val="21"/>
        </w:rPr>
        <w:t>）</w:t>
      </w:r>
      <w:r w:rsidR="008B56F5">
        <w:rPr>
          <w:rFonts w:ascii="Times New Roman"/>
          <w:szCs w:val="21"/>
        </w:rPr>
        <w:t>和</w:t>
      </w:r>
      <w:r w:rsidRPr="005D0280">
        <w:rPr>
          <w:rFonts w:ascii="Times New Roman"/>
          <w:szCs w:val="21"/>
        </w:rPr>
        <w:t>公式（</w:t>
      </w:r>
      <w:r w:rsidRPr="005D0280">
        <w:rPr>
          <w:rFonts w:ascii="Times New Roman" w:hint="eastAsia"/>
          <w:szCs w:val="21"/>
        </w:rPr>
        <w:t>9</w:t>
      </w:r>
      <w:r w:rsidRPr="005D0280">
        <w:rPr>
          <w:rFonts w:ascii="Times New Roman"/>
          <w:szCs w:val="21"/>
        </w:rPr>
        <w:t>）；</w:t>
      </w:r>
    </w:p>
    <w:p w:rsidR="00B54EDF" w:rsidRDefault="00B54EDF" w:rsidP="00B54EDF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PNA</w:t>
      </w:r>
      <w:r w:rsidRPr="005D0280">
        <w:rPr>
          <w:rFonts w:ascii="Times New Roman" w:hint="eastAsia"/>
          <w:bCs/>
          <w:szCs w:val="21"/>
          <w:vertAlign w:val="subscript"/>
        </w:rPr>
        <w:t>p</w:t>
      </w:r>
      <w:proofErr w:type="spellEnd"/>
      <w:r>
        <w:rPr>
          <w:rFonts w:ascii="Times New Roman" w:hint="eastAsia"/>
          <w:szCs w:val="21"/>
        </w:rPr>
        <w:t xml:space="preserve"> </w:t>
      </w:r>
      <w:r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施穗肥时的植株氮积累量（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</w:t>
      </w:r>
      <w:r w:rsidR="005F706C">
        <w:rPr>
          <w:rFonts w:ascii="Times New Roman" w:hint="eastAsia"/>
          <w:szCs w:val="21"/>
        </w:rPr>
        <w:t>其计算见</w:t>
      </w:r>
      <w:r w:rsidRPr="005D0280">
        <w:rPr>
          <w:rFonts w:ascii="Times New Roman"/>
          <w:szCs w:val="21"/>
        </w:rPr>
        <w:t>公式（</w:t>
      </w:r>
      <w:r w:rsidRPr="005D0280">
        <w:rPr>
          <w:rFonts w:ascii="Times New Roman" w:hint="eastAsia"/>
          <w:szCs w:val="21"/>
        </w:rPr>
        <w:t>8</w:t>
      </w:r>
      <w:r w:rsidRPr="005D0280">
        <w:rPr>
          <w:rFonts w:ascii="Times New Roman"/>
          <w:szCs w:val="21"/>
        </w:rPr>
        <w:t>）</w:t>
      </w:r>
      <w:r w:rsidR="005F706C">
        <w:rPr>
          <w:rFonts w:ascii="Times New Roman" w:hint="eastAsia"/>
          <w:szCs w:val="21"/>
        </w:rPr>
        <w:t>和</w:t>
      </w:r>
      <w:r w:rsidRPr="005D0280">
        <w:rPr>
          <w:rFonts w:ascii="Times New Roman"/>
          <w:szCs w:val="21"/>
        </w:rPr>
        <w:t>公式（</w:t>
      </w:r>
      <w:r w:rsidRPr="005D0280">
        <w:rPr>
          <w:rFonts w:ascii="Times New Roman" w:hint="eastAsia"/>
          <w:szCs w:val="21"/>
        </w:rPr>
        <w:t>10</w:t>
      </w:r>
      <w:r w:rsidRPr="005D0280">
        <w:rPr>
          <w:rFonts w:ascii="Times New Roman"/>
          <w:szCs w:val="21"/>
        </w:rPr>
        <w:t>）；</w:t>
      </w:r>
    </w:p>
    <w:p w:rsidR="005F706C" w:rsidRDefault="005F706C" w:rsidP="005F706C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NS</w:t>
      </w:r>
      <w:r w:rsidRPr="005D0280">
        <w:rPr>
          <w:rFonts w:ascii="Times New Roman" w:hint="eastAsia"/>
          <w:bCs/>
          <w:szCs w:val="21"/>
          <w:vertAlign w:val="subscript"/>
        </w:rPr>
        <w:t>t</w:t>
      </w:r>
      <w:proofErr w:type="spellEnd"/>
      <w:r w:rsidR="00D33AED">
        <w:rPr>
          <w:rFonts w:ascii="Times New Roman" w:hint="eastAsia"/>
          <w:szCs w:val="21"/>
        </w:rPr>
        <w:t xml:space="preserve"> </w:t>
      </w:r>
      <w:r w:rsidR="005556CC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分蘖期到穗分化期的</w:t>
      </w:r>
      <w:proofErr w:type="gramStart"/>
      <w:r w:rsidRPr="005D0280">
        <w:rPr>
          <w:rFonts w:ascii="Times New Roman" w:hint="eastAsia"/>
          <w:szCs w:val="21"/>
        </w:rPr>
        <w:t>土壤供氮量</w:t>
      </w:r>
      <w:proofErr w:type="gramEnd"/>
      <w:r w:rsidRPr="005D0280">
        <w:rPr>
          <w:rFonts w:ascii="Times New Roman" w:hint="eastAsia"/>
          <w:szCs w:val="21"/>
        </w:rPr>
        <w:t>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</w:t>
      </w:r>
      <w:r w:rsidR="00CE0126" w:rsidRPr="00CE0126">
        <w:rPr>
          <w:rFonts w:ascii="Times New Roman" w:hint="eastAsia"/>
          <w:szCs w:val="21"/>
        </w:rPr>
        <w:t>可通过当地高产条件下的历史数据获得，</w:t>
      </w:r>
      <w:r w:rsidRPr="005D0280">
        <w:rPr>
          <w:rFonts w:ascii="Times New Roman" w:hint="eastAsia"/>
          <w:szCs w:val="21"/>
        </w:rPr>
        <w:t>本文</w:t>
      </w:r>
      <w:r w:rsidR="00E32214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22.0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="00CE0126" w:rsidRPr="005D0280">
        <w:rPr>
          <w:rFonts w:ascii="Times New Roman" w:hint="eastAsia"/>
          <w:szCs w:val="21"/>
        </w:rPr>
        <w:t>，</w:t>
      </w:r>
      <w:r w:rsidRPr="005D0280">
        <w:rPr>
          <w:rFonts w:ascii="Times New Roman"/>
          <w:szCs w:val="21"/>
        </w:rPr>
        <w:t>晚稻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24.5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/>
          <w:szCs w:val="21"/>
        </w:rPr>
        <w:t>；</w:t>
      </w:r>
    </w:p>
    <w:p w:rsidR="00093713" w:rsidRDefault="00C90FBF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NS</w:t>
      </w:r>
      <w:r w:rsidRPr="005D0280">
        <w:rPr>
          <w:rFonts w:ascii="Times New Roman" w:hint="eastAsia"/>
          <w:bCs/>
          <w:szCs w:val="21"/>
          <w:vertAlign w:val="subscript"/>
        </w:rPr>
        <w:t>p</w:t>
      </w:r>
      <w:proofErr w:type="spellEnd"/>
      <w:r w:rsidR="00D33AED">
        <w:rPr>
          <w:rFonts w:ascii="Times New Roman" w:hint="eastAsia"/>
          <w:szCs w:val="21"/>
        </w:rPr>
        <w:t xml:space="preserve"> </w:t>
      </w:r>
      <w:r w:rsidR="005556CC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穗分化期以后的</w:t>
      </w:r>
      <w:proofErr w:type="gramStart"/>
      <w:r w:rsidRPr="005D0280">
        <w:rPr>
          <w:rFonts w:ascii="Times New Roman" w:hint="eastAsia"/>
          <w:szCs w:val="21"/>
        </w:rPr>
        <w:t>土壤供氮量</w:t>
      </w:r>
      <w:proofErr w:type="gramEnd"/>
      <w:r w:rsidRPr="005D0280">
        <w:rPr>
          <w:rFonts w:ascii="Times New Roman" w:hint="eastAsia"/>
          <w:szCs w:val="21"/>
        </w:rPr>
        <w:t>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），</w:t>
      </w:r>
      <w:r w:rsidR="00E32214" w:rsidRPr="00CE0126">
        <w:rPr>
          <w:rFonts w:ascii="Times New Roman" w:hint="eastAsia"/>
          <w:szCs w:val="21"/>
        </w:rPr>
        <w:t>可通过当地高产条件下的历史数据获得，</w:t>
      </w:r>
      <w:r w:rsidRPr="005D0280">
        <w:rPr>
          <w:rFonts w:ascii="Times New Roman" w:hint="eastAsia"/>
          <w:szCs w:val="21"/>
        </w:rPr>
        <w:t>本文</w:t>
      </w:r>
      <w:r w:rsidR="00E32214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22.5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="00E32214" w:rsidRPr="005D0280">
        <w:rPr>
          <w:rFonts w:ascii="Times New Roman" w:hint="eastAsia"/>
          <w:szCs w:val="21"/>
        </w:rPr>
        <w:t>，</w:t>
      </w:r>
      <w:r w:rsidRPr="005D0280">
        <w:rPr>
          <w:rFonts w:ascii="Times New Roman"/>
          <w:szCs w:val="21"/>
        </w:rPr>
        <w:t>晚稻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25.0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/>
          <w:szCs w:val="21"/>
        </w:rPr>
        <w:t>；</w:t>
      </w:r>
    </w:p>
    <w:p w:rsidR="00C90FBF" w:rsidRDefault="00C90FBF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szCs w:val="21"/>
        </w:rPr>
        <w:t>NUE</w:t>
      </w:r>
      <w:r w:rsidRPr="005D0280">
        <w:rPr>
          <w:rFonts w:ascii="Times New Roman" w:hint="eastAsia"/>
          <w:szCs w:val="21"/>
          <w:vertAlign w:val="subscript"/>
        </w:rPr>
        <w:t>t</w:t>
      </w:r>
      <w:proofErr w:type="spellEnd"/>
      <w:r w:rsidR="007D6581">
        <w:rPr>
          <w:rFonts w:ascii="Times New Roman" w:hint="eastAsia"/>
          <w:szCs w:val="21"/>
        </w:rPr>
        <w:t xml:space="preserve"> </w:t>
      </w:r>
      <w:r w:rsidR="000409A9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分蘖期到穗分化期的氮肥表观利用率（</w:t>
      </w:r>
      <w:r w:rsidRPr="005D0280">
        <w:rPr>
          <w:rFonts w:ascii="Times New Roman" w:hint="eastAsia"/>
          <w:szCs w:val="21"/>
        </w:rPr>
        <w:t>%</w:t>
      </w:r>
      <w:r w:rsidRPr="005D0280">
        <w:rPr>
          <w:rFonts w:ascii="Times New Roman" w:hint="eastAsia"/>
          <w:szCs w:val="21"/>
        </w:rPr>
        <w:t>），</w:t>
      </w:r>
      <w:r w:rsidR="004B2C7E" w:rsidRPr="00CE0126">
        <w:rPr>
          <w:rFonts w:ascii="Times New Roman" w:hint="eastAsia"/>
          <w:szCs w:val="21"/>
        </w:rPr>
        <w:t>可通过当地</w:t>
      </w:r>
      <w:r w:rsidR="000C3247" w:rsidRPr="000C3247">
        <w:rPr>
          <w:rFonts w:ascii="Times New Roman" w:hint="eastAsia"/>
          <w:color w:val="0000FF"/>
          <w:szCs w:val="21"/>
        </w:rPr>
        <w:t>不同点位</w:t>
      </w:r>
      <w:r w:rsidR="004B2C7E" w:rsidRPr="00CE0126">
        <w:rPr>
          <w:rFonts w:ascii="Times New Roman" w:hint="eastAsia"/>
          <w:szCs w:val="21"/>
        </w:rPr>
        <w:t>高产条件下的历史数据获得，</w:t>
      </w:r>
      <w:r w:rsidRPr="005D0280">
        <w:rPr>
          <w:rFonts w:ascii="Times New Roman" w:hint="eastAsia"/>
          <w:szCs w:val="21"/>
        </w:rPr>
        <w:t>本文</w:t>
      </w:r>
      <w:r w:rsidR="004B2C7E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早稻</w:t>
      </w:r>
      <w:r w:rsidRPr="005D0280">
        <w:rPr>
          <w:rFonts w:ascii="Times New Roman" w:hint="eastAsia"/>
          <w:szCs w:val="21"/>
        </w:rPr>
        <w:t>取值</w:t>
      </w:r>
      <w:r w:rsidR="00F923A6">
        <w:rPr>
          <w:rFonts w:ascii="Times New Roman" w:hint="eastAsia"/>
          <w:szCs w:val="21"/>
        </w:rPr>
        <w:t>42</w:t>
      </w:r>
      <w:r w:rsidRPr="005D0280">
        <w:rPr>
          <w:rFonts w:ascii="Times New Roman" w:hint="eastAsia"/>
          <w:szCs w:val="21"/>
        </w:rPr>
        <w:t>%</w:t>
      </w:r>
      <w:r w:rsidRPr="005D0280">
        <w:rPr>
          <w:rFonts w:ascii="Times New Roman" w:hint="eastAsia"/>
          <w:szCs w:val="21"/>
        </w:rPr>
        <w:t>，晚</w:t>
      </w:r>
      <w:r w:rsidRPr="005D0280">
        <w:rPr>
          <w:rFonts w:ascii="Times New Roman"/>
          <w:szCs w:val="21"/>
        </w:rPr>
        <w:t>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43%</w:t>
      </w:r>
      <w:r w:rsidR="003E384F">
        <w:rPr>
          <w:rFonts w:ascii="Times New Roman" w:hint="eastAsia"/>
          <w:szCs w:val="21"/>
        </w:rPr>
        <w:t>；</w:t>
      </w:r>
    </w:p>
    <w:p w:rsidR="00290837" w:rsidRDefault="00290837" w:rsidP="00093713">
      <w:pPr>
        <w:pStyle w:val="affc"/>
        <w:rPr>
          <w:rFonts w:ascii="Times New Roman"/>
        </w:rPr>
      </w:pPr>
      <w:proofErr w:type="spellStart"/>
      <w:r w:rsidRPr="005D0280">
        <w:rPr>
          <w:rFonts w:ascii="Times New Roman" w:hint="eastAsia"/>
          <w:szCs w:val="21"/>
        </w:rPr>
        <w:t>NUE</w:t>
      </w:r>
      <w:r w:rsidRPr="005D0280">
        <w:rPr>
          <w:rFonts w:ascii="Times New Roman" w:hint="eastAsia"/>
          <w:szCs w:val="21"/>
          <w:vertAlign w:val="subscript"/>
        </w:rPr>
        <w:t>p</w:t>
      </w:r>
      <w:proofErr w:type="spellEnd"/>
      <w:r w:rsidR="007D6581">
        <w:rPr>
          <w:rFonts w:ascii="Times New Roman" w:hint="eastAsia"/>
          <w:szCs w:val="21"/>
        </w:rPr>
        <w:t xml:space="preserve"> </w:t>
      </w:r>
      <w:r w:rsidR="000409A9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穗分化期以后的氮肥表观利用率（</w:t>
      </w:r>
      <w:r w:rsidRPr="005D0280">
        <w:rPr>
          <w:rFonts w:ascii="Times New Roman" w:hint="eastAsia"/>
          <w:szCs w:val="21"/>
        </w:rPr>
        <w:t>%</w:t>
      </w:r>
      <w:r w:rsidRPr="005D0280">
        <w:rPr>
          <w:rFonts w:ascii="Times New Roman" w:hint="eastAsia"/>
          <w:szCs w:val="21"/>
        </w:rPr>
        <w:t>），</w:t>
      </w:r>
      <w:r w:rsidR="00790357" w:rsidRPr="00CE0126">
        <w:rPr>
          <w:rFonts w:ascii="Times New Roman" w:hint="eastAsia"/>
          <w:szCs w:val="21"/>
        </w:rPr>
        <w:t>可通过当地</w:t>
      </w:r>
      <w:r w:rsidR="000C3247" w:rsidRPr="000C3247">
        <w:rPr>
          <w:rFonts w:ascii="Times New Roman" w:hint="eastAsia"/>
          <w:color w:val="0000FF"/>
          <w:szCs w:val="21"/>
        </w:rPr>
        <w:t>不同点位</w:t>
      </w:r>
      <w:r w:rsidR="00790357" w:rsidRPr="00CE0126">
        <w:rPr>
          <w:rFonts w:ascii="Times New Roman" w:hint="eastAsia"/>
          <w:szCs w:val="21"/>
        </w:rPr>
        <w:t>高产条件下的历史数据获得，</w:t>
      </w:r>
      <w:r w:rsidRPr="005D0280">
        <w:rPr>
          <w:rFonts w:ascii="Times New Roman" w:hint="eastAsia"/>
          <w:szCs w:val="21"/>
        </w:rPr>
        <w:t>本文</w:t>
      </w:r>
      <w:r w:rsidR="00790357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43%</w:t>
      </w:r>
      <w:r w:rsidRPr="005D0280">
        <w:rPr>
          <w:rFonts w:ascii="Times New Roman" w:hint="eastAsia"/>
          <w:szCs w:val="21"/>
        </w:rPr>
        <w:t>，晚</w:t>
      </w:r>
      <w:r w:rsidRPr="005D0280">
        <w:rPr>
          <w:rFonts w:ascii="Times New Roman"/>
          <w:szCs w:val="21"/>
        </w:rPr>
        <w:t>稻</w:t>
      </w:r>
      <w:r w:rsidRPr="005D0280">
        <w:rPr>
          <w:rFonts w:ascii="Times New Roman" w:hint="eastAsia"/>
          <w:szCs w:val="21"/>
        </w:rPr>
        <w:t>取值</w:t>
      </w:r>
      <w:r w:rsidRPr="005D0280">
        <w:rPr>
          <w:rFonts w:ascii="Times New Roman" w:hint="eastAsia"/>
          <w:szCs w:val="21"/>
        </w:rPr>
        <w:t>44%</w:t>
      </w:r>
      <w:r w:rsidR="00B22C0B">
        <w:rPr>
          <w:rFonts w:ascii="Times New Roman" w:hint="eastAsia"/>
          <w:szCs w:val="21"/>
        </w:rPr>
        <w:t>；</w:t>
      </w:r>
    </w:p>
    <w:p w:rsidR="00C90FBF" w:rsidRDefault="00C90FBF" w:rsidP="00EE0C16">
      <w:pPr>
        <w:pStyle w:val="affc"/>
        <w:rPr>
          <w:rFonts w:ascii="Times New Roman"/>
        </w:rPr>
      </w:pPr>
      <w:r w:rsidRPr="005D0280">
        <w:rPr>
          <w:rFonts w:ascii="Times New Roman" w:hint="eastAsia"/>
          <w:szCs w:val="21"/>
        </w:rPr>
        <w:t>T</w:t>
      </w:r>
      <w:r w:rsidRPr="005D0280">
        <w:rPr>
          <w:rFonts w:ascii="Times New Roman" w:hint="eastAsia"/>
          <w:bCs/>
          <w:szCs w:val="21"/>
        </w:rPr>
        <w:t>NX</w:t>
      </w:r>
      <w:r w:rsidR="00B22C0B">
        <w:rPr>
          <w:rFonts w:ascii="Times New Roman" w:hint="eastAsia"/>
          <w:szCs w:val="21"/>
        </w:rPr>
        <w:t xml:space="preserve"> </w:t>
      </w:r>
      <w:r w:rsidR="00B22C0B">
        <w:rPr>
          <w:szCs w:val="21"/>
        </w:rPr>
        <w:t>——</w:t>
      </w:r>
      <w:r w:rsidRPr="005D0280">
        <w:rPr>
          <w:rFonts w:ascii="Times New Roman"/>
          <w:bCs/>
          <w:spacing w:val="-4"/>
          <w:szCs w:val="21"/>
        </w:rPr>
        <w:t>获得目标产量的</w:t>
      </w:r>
      <w:r w:rsidRPr="005D0280">
        <w:rPr>
          <w:rFonts w:ascii="Times New Roman"/>
          <w:szCs w:val="21"/>
        </w:rPr>
        <w:t>总需氮量</w:t>
      </w:r>
      <w:r w:rsidRPr="005D0280">
        <w:rPr>
          <w:rFonts w:ascii="Times New Roman"/>
          <w:bCs/>
          <w:spacing w:val="-4"/>
          <w:szCs w:val="21"/>
        </w:rPr>
        <w:t>（</w:t>
      </w:r>
      <w:r w:rsidRPr="005D0280">
        <w:rPr>
          <w:rFonts w:ascii="Times New Roman" w:hint="eastAsia"/>
          <w:szCs w:val="21"/>
        </w:rPr>
        <w:t>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/>
          <w:bCs/>
          <w:spacing w:val="-4"/>
          <w:szCs w:val="21"/>
        </w:rPr>
        <w:t>）</w:t>
      </w:r>
      <w:r w:rsidRPr="005D0280">
        <w:rPr>
          <w:rFonts w:ascii="Times New Roman"/>
          <w:bCs/>
          <w:szCs w:val="21"/>
        </w:rPr>
        <w:t>，</w:t>
      </w:r>
      <w:r w:rsidR="00B22C0B">
        <w:rPr>
          <w:rFonts w:ascii="Times New Roman" w:hint="eastAsia"/>
          <w:szCs w:val="21"/>
        </w:rPr>
        <w:t>其计算见</w:t>
      </w:r>
      <w:r w:rsidRPr="005D0280">
        <w:rPr>
          <w:rFonts w:ascii="Times New Roman"/>
          <w:szCs w:val="21"/>
        </w:rPr>
        <w:t>公式（</w:t>
      </w:r>
      <w:r w:rsidRPr="005D0280">
        <w:rPr>
          <w:rFonts w:ascii="Times New Roman" w:hint="eastAsia"/>
          <w:szCs w:val="21"/>
        </w:rPr>
        <w:t>1</w:t>
      </w:r>
      <w:r w:rsidR="00B22C0B">
        <w:rPr>
          <w:rFonts w:ascii="Times New Roman" w:hint="eastAsia"/>
          <w:szCs w:val="21"/>
        </w:rPr>
        <w:t>1</w:t>
      </w:r>
      <w:r w:rsidRPr="005D0280">
        <w:rPr>
          <w:rFonts w:ascii="Times New Roman"/>
          <w:szCs w:val="21"/>
        </w:rPr>
        <w:t>）</w:t>
      </w:r>
      <w:r w:rsidR="00B22C0B">
        <w:rPr>
          <w:rFonts w:ascii="Times New Roman"/>
          <w:szCs w:val="21"/>
        </w:rPr>
        <w:t>；</w:t>
      </w:r>
    </w:p>
    <w:p w:rsidR="00093713" w:rsidRDefault="00C90FBF" w:rsidP="00C90FBF">
      <w:pPr>
        <w:pStyle w:val="affc"/>
        <w:ind w:firstLine="404"/>
        <w:rPr>
          <w:rFonts w:ascii="Times New Roman"/>
          <w:bCs/>
          <w:spacing w:val="-4"/>
          <w:szCs w:val="21"/>
        </w:rPr>
      </w:pPr>
      <w:r w:rsidRPr="005D0280">
        <w:rPr>
          <w:rFonts w:ascii="Times New Roman"/>
          <w:bCs/>
          <w:i/>
          <w:spacing w:val="-4"/>
          <w:szCs w:val="21"/>
        </w:rPr>
        <w:t>a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/>
          <w:bCs/>
          <w:i/>
          <w:spacing w:val="-4"/>
          <w:szCs w:val="21"/>
        </w:rPr>
        <w:t>b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c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d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e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f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g</w:t>
      </w:r>
      <w:r w:rsidR="00724E67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h</w:t>
      </w:r>
      <w:r w:rsidR="00724E67">
        <w:rPr>
          <w:rFonts w:ascii="Times New Roman" w:hint="eastAsia"/>
          <w:bCs/>
          <w:spacing w:val="-4"/>
          <w:szCs w:val="21"/>
        </w:rPr>
        <w:t xml:space="preserve"> </w:t>
      </w:r>
      <w:r w:rsidR="00724E67">
        <w:rPr>
          <w:szCs w:val="21"/>
        </w:rPr>
        <w:t>——</w:t>
      </w:r>
      <w:r w:rsidRPr="005D0280">
        <w:rPr>
          <w:rFonts w:ascii="Times New Roman"/>
          <w:bCs/>
          <w:spacing w:val="-4"/>
          <w:szCs w:val="21"/>
        </w:rPr>
        <w:t>方程系数，早稻</w:t>
      </w:r>
      <w:r w:rsidRPr="005D0280">
        <w:rPr>
          <w:rFonts w:ascii="Times New Roman"/>
          <w:bCs/>
          <w:i/>
          <w:spacing w:val="-4"/>
          <w:szCs w:val="21"/>
        </w:rPr>
        <w:t>a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/>
          <w:bCs/>
          <w:i/>
          <w:spacing w:val="-4"/>
          <w:szCs w:val="21"/>
        </w:rPr>
        <w:t>b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c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d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e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f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g</w:t>
      </w:r>
      <w:r w:rsidR="007D36A9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h</w:t>
      </w:r>
      <w:r w:rsidRPr="005D0280">
        <w:rPr>
          <w:rFonts w:ascii="Times New Roman"/>
          <w:bCs/>
          <w:spacing w:val="-4"/>
          <w:szCs w:val="21"/>
        </w:rPr>
        <w:t>值分别为</w:t>
      </w:r>
      <w:r w:rsidRPr="005D0280">
        <w:rPr>
          <w:rFonts w:ascii="Times New Roman" w:hint="eastAsia"/>
          <w:bCs/>
          <w:spacing w:val="-4"/>
          <w:szCs w:val="21"/>
        </w:rPr>
        <w:t>5.7881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5.1064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5.8953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3.2239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224.64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14.861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201.4</w:t>
      </w:r>
      <w:r w:rsidR="007D36A9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15.318</w:t>
      </w:r>
      <w:r w:rsidRPr="005D0280">
        <w:rPr>
          <w:rFonts w:ascii="Times New Roman"/>
          <w:bCs/>
          <w:spacing w:val="-4"/>
          <w:szCs w:val="21"/>
        </w:rPr>
        <w:t>，晚稻</w:t>
      </w:r>
      <w:r w:rsidRPr="005D0280">
        <w:rPr>
          <w:rFonts w:ascii="Times New Roman"/>
          <w:bCs/>
          <w:i/>
          <w:spacing w:val="-4"/>
          <w:szCs w:val="21"/>
        </w:rPr>
        <w:t>a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/>
          <w:bCs/>
          <w:i/>
          <w:spacing w:val="-4"/>
          <w:szCs w:val="21"/>
        </w:rPr>
        <w:t>b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c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d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e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f</w:t>
      </w:r>
      <w:r w:rsidRPr="005D0280">
        <w:rPr>
          <w:rFonts w:ascii="Times New Roman" w:hint="eastAsia"/>
          <w:bCs/>
          <w:i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g</w:t>
      </w:r>
      <w:r w:rsidR="007D36A9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i/>
          <w:spacing w:val="-4"/>
          <w:szCs w:val="21"/>
        </w:rPr>
        <w:t>h</w:t>
      </w:r>
      <w:r w:rsidRPr="005D0280">
        <w:rPr>
          <w:rFonts w:ascii="Times New Roman"/>
          <w:bCs/>
          <w:spacing w:val="-4"/>
          <w:szCs w:val="21"/>
        </w:rPr>
        <w:t>值分别为</w:t>
      </w:r>
      <w:r w:rsidRPr="005D0280">
        <w:rPr>
          <w:rFonts w:ascii="Times New Roman" w:hint="eastAsia"/>
          <w:bCs/>
          <w:spacing w:val="-4"/>
          <w:szCs w:val="21"/>
        </w:rPr>
        <w:t>6.3588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4.231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7.6779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2.8339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216.79</w:t>
      </w:r>
      <w:r w:rsidRPr="005D0280">
        <w:rPr>
          <w:rFonts w:ascii="Times New Roman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15.367</w:t>
      </w:r>
      <w:r w:rsidRPr="005D0280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201.57</w:t>
      </w:r>
      <w:r w:rsidR="007D36A9">
        <w:rPr>
          <w:rFonts w:ascii="Times New Roman" w:hint="eastAsia"/>
          <w:bCs/>
          <w:spacing w:val="-4"/>
          <w:szCs w:val="21"/>
        </w:rPr>
        <w:t>、</w:t>
      </w:r>
      <w:r w:rsidRPr="005D0280">
        <w:rPr>
          <w:rFonts w:ascii="Times New Roman" w:hint="eastAsia"/>
          <w:bCs/>
          <w:spacing w:val="-4"/>
          <w:szCs w:val="21"/>
        </w:rPr>
        <w:t>18.313</w:t>
      </w:r>
      <w:r w:rsidRPr="005D0280">
        <w:rPr>
          <w:rFonts w:ascii="Times New Roman"/>
          <w:bCs/>
          <w:spacing w:val="-4"/>
          <w:szCs w:val="21"/>
        </w:rPr>
        <w:t>；</w:t>
      </w:r>
    </w:p>
    <w:p w:rsidR="00093713" w:rsidRDefault="00C90FBF" w:rsidP="00093713">
      <w:pPr>
        <w:pStyle w:val="affc"/>
        <w:rPr>
          <w:rFonts w:ascii="Times New Roman"/>
          <w:szCs w:val="21"/>
        </w:rPr>
      </w:pPr>
      <w:proofErr w:type="spellStart"/>
      <w:r w:rsidRPr="005D0280">
        <w:rPr>
          <w:rFonts w:ascii="Times New Roman" w:hint="eastAsia"/>
          <w:bCs/>
          <w:szCs w:val="21"/>
        </w:rPr>
        <w:t>N</w:t>
      </w:r>
      <w:r w:rsidRPr="005D0280">
        <w:rPr>
          <w:rFonts w:ascii="Times New Roman"/>
          <w:bCs/>
          <w:szCs w:val="21"/>
        </w:rPr>
        <w:t>DVI</w:t>
      </w:r>
      <w:r w:rsidRPr="005D0280">
        <w:rPr>
          <w:rFonts w:ascii="Times New Roman"/>
          <w:bCs/>
          <w:szCs w:val="21"/>
          <w:vertAlign w:val="subscript"/>
        </w:rPr>
        <w:t>Greenseeker</w:t>
      </w:r>
      <w:proofErr w:type="spellEnd"/>
      <w:r w:rsidR="001465EE">
        <w:rPr>
          <w:rFonts w:ascii="Times New Roman" w:hint="eastAsia"/>
          <w:szCs w:val="21"/>
        </w:rPr>
        <w:t xml:space="preserve"> </w:t>
      </w:r>
      <w:r w:rsidR="001465EE">
        <w:rPr>
          <w:szCs w:val="21"/>
        </w:rPr>
        <w:t>——</w:t>
      </w:r>
      <w:proofErr w:type="spellStart"/>
      <w:r w:rsidRPr="005D0280">
        <w:rPr>
          <w:rFonts w:ascii="Times New Roman" w:hint="eastAsia"/>
          <w:szCs w:val="21"/>
        </w:rPr>
        <w:t>GreenSeeker</w:t>
      </w:r>
      <w:proofErr w:type="spellEnd"/>
      <w:r w:rsidR="001069A7" w:rsidRPr="001069A7">
        <w:rPr>
          <w:rFonts w:ascii="Times New Roman" w:hint="eastAsia"/>
          <w:szCs w:val="21"/>
        </w:rPr>
        <w:t>手持式光谱仪</w:t>
      </w:r>
      <w:r w:rsidRPr="005D0280">
        <w:rPr>
          <w:rFonts w:ascii="Times New Roman" w:hint="eastAsia"/>
          <w:szCs w:val="21"/>
        </w:rPr>
        <w:t>测得的归一化</w:t>
      </w:r>
      <w:r w:rsidRPr="005D0280">
        <w:rPr>
          <w:rFonts w:ascii="Times New Roman"/>
          <w:szCs w:val="21"/>
        </w:rPr>
        <w:t>植被指数</w:t>
      </w:r>
      <w:r w:rsidR="00134EF7">
        <w:rPr>
          <w:rFonts w:ascii="Times New Roman" w:hint="eastAsia"/>
          <w:szCs w:val="21"/>
        </w:rPr>
        <w:t>NDVI</w:t>
      </w:r>
      <w:r w:rsidR="00134EF7">
        <w:rPr>
          <w:rFonts w:ascii="Times New Roman" w:hint="eastAsia"/>
          <w:szCs w:val="21"/>
        </w:rPr>
        <w:t>值</w:t>
      </w:r>
      <w:r w:rsidRPr="005D0280">
        <w:rPr>
          <w:rFonts w:ascii="Times New Roman" w:hint="eastAsia"/>
          <w:szCs w:val="21"/>
        </w:rPr>
        <w:t>；</w:t>
      </w:r>
    </w:p>
    <w:p w:rsidR="00C90FBF" w:rsidRDefault="00C90FBF" w:rsidP="00093713">
      <w:pPr>
        <w:pStyle w:val="affc"/>
        <w:rPr>
          <w:rFonts w:ascii="Times New Roman"/>
          <w:szCs w:val="21"/>
        </w:rPr>
      </w:pPr>
      <w:r w:rsidRPr="005D0280">
        <w:rPr>
          <w:rFonts w:ascii="Times New Roman"/>
          <w:bCs/>
          <w:szCs w:val="21"/>
        </w:rPr>
        <w:t>DVI</w:t>
      </w:r>
      <w:r w:rsidRPr="005D0280">
        <w:rPr>
          <w:rFonts w:ascii="Times New Roman" w:hint="eastAsia"/>
          <w:bCs/>
          <w:szCs w:val="21"/>
          <w:vertAlign w:val="subscript"/>
        </w:rPr>
        <w:t>CGMD</w:t>
      </w:r>
      <w:r w:rsidR="00134EF7">
        <w:rPr>
          <w:rFonts w:ascii="Times New Roman" w:hint="eastAsia"/>
          <w:szCs w:val="21"/>
        </w:rPr>
        <w:t xml:space="preserve"> </w:t>
      </w:r>
      <w:r w:rsidR="00134EF7">
        <w:rPr>
          <w:szCs w:val="21"/>
        </w:rPr>
        <w:t>——</w:t>
      </w:r>
      <w:r w:rsidR="00134EF7" w:rsidRPr="00134EF7">
        <w:rPr>
          <w:rFonts w:ascii="Times New Roman" w:hint="eastAsia"/>
          <w:szCs w:val="21"/>
        </w:rPr>
        <w:t>CGMD</w:t>
      </w:r>
      <w:r w:rsidRPr="005D0280">
        <w:rPr>
          <w:rFonts w:ascii="Times New Roman" w:hint="eastAsia"/>
          <w:szCs w:val="21"/>
        </w:rPr>
        <w:t>作物生长监测诊断仪测得的</w:t>
      </w:r>
      <w:r w:rsidRPr="005D0280">
        <w:rPr>
          <w:rFonts w:ascii="Times New Roman"/>
          <w:szCs w:val="21"/>
        </w:rPr>
        <w:t>差值植被指数</w:t>
      </w:r>
      <w:r w:rsidR="00134EF7">
        <w:rPr>
          <w:rFonts w:ascii="Times New Roman" w:hint="eastAsia"/>
          <w:szCs w:val="21"/>
        </w:rPr>
        <w:t>DVI</w:t>
      </w:r>
      <w:r w:rsidR="00134EF7">
        <w:rPr>
          <w:rFonts w:ascii="Times New Roman" w:hint="eastAsia"/>
          <w:szCs w:val="21"/>
        </w:rPr>
        <w:t>值；</w:t>
      </w:r>
    </w:p>
    <w:p w:rsidR="00093713" w:rsidRDefault="00C90FBF" w:rsidP="00C90FBF">
      <w:pPr>
        <w:pStyle w:val="affc"/>
        <w:rPr>
          <w:rFonts w:ascii="Times New Roman"/>
          <w:szCs w:val="21"/>
        </w:rPr>
      </w:pPr>
      <w:r w:rsidRPr="005D0280">
        <w:rPr>
          <w:rFonts w:ascii="Times New Roman" w:hint="eastAsia"/>
          <w:szCs w:val="21"/>
        </w:rPr>
        <w:lastRenderedPageBreak/>
        <w:t>GYT</w:t>
      </w:r>
      <w:r w:rsidR="00B86E2B">
        <w:rPr>
          <w:rFonts w:ascii="Times New Roman" w:hint="eastAsia"/>
          <w:szCs w:val="21"/>
        </w:rPr>
        <w:t xml:space="preserve"> </w:t>
      </w:r>
      <w:r w:rsidR="0089542C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目标产量</w:t>
      </w:r>
      <w:r w:rsidR="000B256C" w:rsidRPr="005D0280">
        <w:rPr>
          <w:rFonts w:ascii="Times New Roman" w:hint="eastAsia"/>
          <w:szCs w:val="21"/>
        </w:rPr>
        <w:t>（</w:t>
      </w:r>
      <w:r w:rsidR="000B256C" w:rsidRPr="005D0280">
        <w:rPr>
          <w:rFonts w:ascii="Times New Roman" w:hint="eastAsia"/>
          <w:szCs w:val="21"/>
        </w:rPr>
        <w:t>kg/hm</w:t>
      </w:r>
      <w:r w:rsidR="000B256C" w:rsidRPr="005D0280">
        <w:rPr>
          <w:rFonts w:ascii="Times New Roman" w:hint="eastAsia"/>
          <w:szCs w:val="21"/>
          <w:vertAlign w:val="superscript"/>
        </w:rPr>
        <w:t>2</w:t>
      </w:r>
      <w:r w:rsidR="000B256C" w:rsidRPr="005D0280">
        <w:rPr>
          <w:rFonts w:ascii="Times New Roman" w:hint="eastAsia"/>
          <w:szCs w:val="21"/>
        </w:rPr>
        <w:t>）</w:t>
      </w:r>
      <w:r w:rsidRPr="005D0280">
        <w:rPr>
          <w:rFonts w:ascii="Times New Roman" w:hint="eastAsia"/>
          <w:szCs w:val="21"/>
        </w:rPr>
        <w:t>，</w:t>
      </w:r>
      <w:r w:rsidRPr="005D0280">
        <w:rPr>
          <w:rFonts w:ascii="Times New Roman"/>
          <w:bCs/>
          <w:szCs w:val="21"/>
        </w:rPr>
        <w:t>可</w:t>
      </w:r>
      <w:r w:rsidRPr="005D0280">
        <w:rPr>
          <w:rFonts w:ascii="Times New Roman"/>
          <w:szCs w:val="21"/>
        </w:rPr>
        <w:t>通过当地高产条件下的历史数据获得，</w:t>
      </w:r>
      <w:r w:rsidRPr="005D0280">
        <w:rPr>
          <w:rFonts w:ascii="Times New Roman" w:hint="eastAsia"/>
          <w:szCs w:val="21"/>
        </w:rPr>
        <w:t>本文</w:t>
      </w:r>
      <w:r w:rsidR="00264A32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</w:t>
      </w:r>
      <w:r w:rsidRPr="005D0280">
        <w:rPr>
          <w:rFonts w:ascii="Times New Roman" w:hint="eastAsia"/>
          <w:szCs w:val="21"/>
        </w:rPr>
        <w:t>、</w:t>
      </w:r>
      <w:r w:rsidRPr="005D0280">
        <w:rPr>
          <w:rFonts w:ascii="Times New Roman"/>
          <w:szCs w:val="21"/>
        </w:rPr>
        <w:t>晚稻</w:t>
      </w:r>
      <w:r w:rsidRPr="005D0280">
        <w:rPr>
          <w:rFonts w:ascii="Times New Roman" w:hint="eastAsia"/>
          <w:szCs w:val="21"/>
        </w:rPr>
        <w:t>GYT</w:t>
      </w:r>
      <w:r w:rsidRPr="005D0280">
        <w:rPr>
          <w:rFonts w:ascii="Times New Roman"/>
          <w:szCs w:val="21"/>
        </w:rPr>
        <w:t>分别取值</w:t>
      </w:r>
      <w:r w:rsidRPr="005D0280">
        <w:rPr>
          <w:rFonts w:ascii="Times New Roman" w:hint="eastAsia"/>
          <w:szCs w:val="21"/>
        </w:rPr>
        <w:t>7500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和</w:t>
      </w:r>
      <w:r w:rsidRPr="005D0280">
        <w:rPr>
          <w:rFonts w:ascii="Times New Roman" w:hint="eastAsia"/>
          <w:szCs w:val="21"/>
        </w:rPr>
        <w:t>9000 kg/hm</w:t>
      </w:r>
      <w:r w:rsidRPr="005D0280">
        <w:rPr>
          <w:rFonts w:ascii="Times New Roman" w:hint="eastAsia"/>
          <w:szCs w:val="21"/>
          <w:vertAlign w:val="superscript"/>
        </w:rPr>
        <w:t>2</w:t>
      </w:r>
      <w:r w:rsidRPr="005D0280">
        <w:rPr>
          <w:rFonts w:ascii="Times New Roman" w:hint="eastAsia"/>
          <w:szCs w:val="21"/>
        </w:rPr>
        <w:t>；</w:t>
      </w:r>
    </w:p>
    <w:p w:rsidR="00C90FBF" w:rsidRDefault="00C90FBF" w:rsidP="00C90FBF">
      <w:pPr>
        <w:pStyle w:val="affc"/>
        <w:rPr>
          <w:rFonts w:ascii="Times New Roman"/>
          <w:szCs w:val="21"/>
        </w:rPr>
      </w:pPr>
      <w:r w:rsidRPr="005D0280">
        <w:rPr>
          <w:rFonts w:ascii="Times New Roman" w:hint="eastAsia"/>
          <w:szCs w:val="21"/>
        </w:rPr>
        <w:t xml:space="preserve"> N</w:t>
      </w:r>
      <w:r w:rsidRPr="005D0280">
        <w:rPr>
          <w:rFonts w:ascii="Times New Roman" w:hint="eastAsia"/>
          <w:bCs/>
          <w:szCs w:val="21"/>
        </w:rPr>
        <w:t>G</w:t>
      </w:r>
      <w:r w:rsidRPr="005D0280">
        <w:rPr>
          <w:rFonts w:ascii="Times New Roman" w:hint="eastAsia"/>
          <w:szCs w:val="21"/>
        </w:rPr>
        <w:t>X</w:t>
      </w:r>
      <w:r w:rsidR="00264A32">
        <w:rPr>
          <w:rFonts w:ascii="Times New Roman" w:hint="eastAsia"/>
          <w:szCs w:val="21"/>
        </w:rPr>
        <w:t xml:space="preserve"> </w:t>
      </w:r>
      <w:r w:rsidR="00264A32">
        <w:rPr>
          <w:szCs w:val="21"/>
        </w:rPr>
        <w:t>——</w:t>
      </w:r>
      <w:r w:rsidRPr="005D0280">
        <w:rPr>
          <w:rFonts w:ascii="Times New Roman" w:hint="eastAsia"/>
          <w:szCs w:val="21"/>
        </w:rPr>
        <w:t>单位</w:t>
      </w:r>
      <w:proofErr w:type="gramStart"/>
      <w:r w:rsidRPr="005D0280">
        <w:rPr>
          <w:rFonts w:ascii="Times New Roman" w:hint="eastAsia"/>
          <w:szCs w:val="21"/>
        </w:rPr>
        <w:t>籽粒吸氮量</w:t>
      </w:r>
      <w:proofErr w:type="gramEnd"/>
      <w:r w:rsidRPr="005D0280">
        <w:rPr>
          <w:rFonts w:ascii="Times New Roman" w:hint="eastAsia"/>
          <w:szCs w:val="21"/>
        </w:rPr>
        <w:t>（</w:t>
      </w:r>
      <w:r w:rsidRPr="005D0280">
        <w:rPr>
          <w:rFonts w:ascii="Times New Roman" w:hint="eastAsia"/>
          <w:szCs w:val="21"/>
        </w:rPr>
        <w:t>kg</w:t>
      </w:r>
      <w:r w:rsidRPr="005D0280">
        <w:rPr>
          <w:rFonts w:ascii="Times New Roman" w:hint="eastAsia"/>
          <w:spacing w:val="-4"/>
          <w:szCs w:val="21"/>
        </w:rPr>
        <w:t>/</w:t>
      </w:r>
      <w:r w:rsidRPr="005D0280">
        <w:rPr>
          <w:rFonts w:ascii="Times New Roman" w:hint="eastAsia"/>
          <w:szCs w:val="21"/>
        </w:rPr>
        <w:t>kg</w:t>
      </w:r>
      <w:r w:rsidRPr="005D0280">
        <w:rPr>
          <w:rFonts w:ascii="Times New Roman" w:hint="eastAsia"/>
          <w:szCs w:val="21"/>
        </w:rPr>
        <w:t>），本文</w:t>
      </w:r>
      <w:r w:rsidR="00E537B3">
        <w:rPr>
          <w:rFonts w:ascii="Times New Roman" w:hint="eastAsia"/>
          <w:szCs w:val="21"/>
        </w:rPr>
        <w:t>件</w:t>
      </w:r>
      <w:r w:rsidRPr="005D0280">
        <w:rPr>
          <w:rFonts w:ascii="Times New Roman"/>
          <w:szCs w:val="21"/>
        </w:rPr>
        <w:t>早</w:t>
      </w:r>
      <w:r w:rsidRPr="005D0280">
        <w:rPr>
          <w:rFonts w:ascii="Times New Roman" w:hint="eastAsia"/>
          <w:szCs w:val="21"/>
        </w:rPr>
        <w:t>、</w:t>
      </w:r>
      <w:r w:rsidRPr="005D0280">
        <w:rPr>
          <w:rFonts w:ascii="Times New Roman"/>
          <w:szCs w:val="21"/>
        </w:rPr>
        <w:t>晚稻</w:t>
      </w:r>
      <w:r w:rsidRPr="005D0280">
        <w:rPr>
          <w:rFonts w:ascii="Times New Roman" w:hint="eastAsia"/>
          <w:szCs w:val="21"/>
        </w:rPr>
        <w:t>N</w:t>
      </w:r>
      <w:r w:rsidRPr="005D0280">
        <w:rPr>
          <w:rFonts w:ascii="Times New Roman" w:hint="eastAsia"/>
          <w:bCs/>
          <w:szCs w:val="21"/>
        </w:rPr>
        <w:t>G</w:t>
      </w:r>
      <w:r w:rsidRPr="005D0280">
        <w:rPr>
          <w:rFonts w:ascii="Times New Roman" w:hint="eastAsia"/>
          <w:szCs w:val="21"/>
        </w:rPr>
        <w:t>X</w:t>
      </w:r>
      <w:r w:rsidRPr="005D0280">
        <w:rPr>
          <w:rFonts w:ascii="Times New Roman" w:hint="eastAsia"/>
          <w:szCs w:val="21"/>
        </w:rPr>
        <w:t>均</w:t>
      </w:r>
      <w:r w:rsidRPr="005D0280">
        <w:rPr>
          <w:rFonts w:ascii="Times New Roman"/>
          <w:szCs w:val="21"/>
        </w:rPr>
        <w:t>取值</w:t>
      </w:r>
      <w:r w:rsidRPr="005D0280">
        <w:rPr>
          <w:rFonts w:ascii="Times New Roman" w:hint="eastAsia"/>
          <w:szCs w:val="21"/>
        </w:rPr>
        <w:t>0.02 kg</w:t>
      </w:r>
      <w:r w:rsidRPr="005D0280">
        <w:rPr>
          <w:rFonts w:ascii="Times New Roman" w:hint="eastAsia"/>
          <w:spacing w:val="-4"/>
          <w:szCs w:val="21"/>
        </w:rPr>
        <w:t>/</w:t>
      </w:r>
      <w:r w:rsidRPr="005D0280">
        <w:rPr>
          <w:rFonts w:ascii="Times New Roman" w:hint="eastAsia"/>
          <w:szCs w:val="21"/>
        </w:rPr>
        <w:t>kg</w:t>
      </w:r>
      <w:r w:rsidRPr="005D0280">
        <w:rPr>
          <w:rFonts w:ascii="Times New Roman" w:hint="eastAsia"/>
          <w:szCs w:val="21"/>
        </w:rPr>
        <w:t>。</w:t>
      </w:r>
    </w:p>
    <w:p w:rsidR="00A11123" w:rsidRDefault="004666A6" w:rsidP="00E3217B">
      <w:pPr>
        <w:pStyle w:val="a5"/>
        <w:spacing w:before="156" w:after="156"/>
      </w:pPr>
      <w:r>
        <w:rPr>
          <w:rFonts w:ascii="宋体" w:hAnsi="宋体" w:hint="eastAsia"/>
        </w:rPr>
        <w:t>使用方法</w:t>
      </w:r>
    </w:p>
    <w:p w:rsidR="00A11123" w:rsidRDefault="001F77D7" w:rsidP="001F77D7">
      <w:pPr>
        <w:pStyle w:val="afff8"/>
        <w:numPr>
          <w:ilvl w:val="0"/>
          <w:numId w:val="0"/>
        </w:numPr>
        <w:ind w:firstLineChars="200" w:firstLine="420"/>
      </w:pPr>
      <w:r>
        <w:rPr>
          <w:rFonts w:hint="eastAsia"/>
        </w:rPr>
        <w:t>用户只需要采集到</w:t>
      </w:r>
      <w:r w:rsidR="00967B68" w:rsidRPr="005D0280">
        <w:rPr>
          <w:rFonts w:ascii="Times New Roman" w:hint="eastAsia"/>
        </w:rPr>
        <w:t>归一化</w:t>
      </w:r>
      <w:r w:rsidR="00967B68" w:rsidRPr="005D0280">
        <w:rPr>
          <w:rFonts w:ascii="Times New Roman"/>
        </w:rPr>
        <w:t>植被指数</w:t>
      </w:r>
      <w:r w:rsidRPr="001F77D7">
        <w:rPr>
          <w:rFonts w:ascii="Times New Roman"/>
        </w:rPr>
        <w:t>NDVI</w:t>
      </w:r>
      <w:r w:rsidR="00967B68">
        <w:rPr>
          <w:rFonts w:ascii="Times New Roman"/>
        </w:rPr>
        <w:t>值</w:t>
      </w:r>
      <w:r w:rsidR="00602783" w:rsidRPr="00602783">
        <w:rPr>
          <w:rFonts w:ascii="Times New Roman" w:hint="eastAsia"/>
          <w:color w:val="0000FF"/>
        </w:rPr>
        <w:t>或</w:t>
      </w:r>
      <w:r w:rsidR="00967B68" w:rsidRPr="005D0280">
        <w:rPr>
          <w:rFonts w:ascii="Times New Roman"/>
        </w:rPr>
        <w:t>差值植被指数</w:t>
      </w:r>
      <w:r w:rsidRPr="001F77D7">
        <w:rPr>
          <w:rFonts w:ascii="Times New Roman"/>
        </w:rPr>
        <w:t>D</w:t>
      </w:r>
      <w:r w:rsidR="00967B68" w:rsidRPr="001F77D7">
        <w:rPr>
          <w:rFonts w:ascii="Times New Roman"/>
        </w:rPr>
        <w:t>V</w:t>
      </w:r>
      <w:r w:rsidRPr="001F77D7">
        <w:rPr>
          <w:rFonts w:ascii="Times New Roman"/>
        </w:rPr>
        <w:t>I</w:t>
      </w:r>
      <w:r w:rsidR="00967B68">
        <w:rPr>
          <w:rFonts w:ascii="Times New Roman"/>
        </w:rPr>
        <w:t>值，采用</w:t>
      </w:r>
      <w:r w:rsidR="00967B68">
        <w:rPr>
          <w:rFonts w:ascii="Times New Roman" w:hint="eastAsia"/>
        </w:rPr>
        <w:t>Android</w:t>
      </w:r>
      <w:r w:rsidR="00967B68">
        <w:rPr>
          <w:rFonts w:ascii="Times New Roman" w:hint="eastAsia"/>
        </w:rPr>
        <w:t>版</w:t>
      </w:r>
      <w:proofErr w:type="gramStart"/>
      <w:r w:rsidR="00967B68">
        <w:rPr>
          <w:rFonts w:ascii="Times New Roman" w:hint="eastAsia"/>
        </w:rPr>
        <w:t>双季稻追氮计算器</w:t>
      </w:r>
      <w:proofErr w:type="gramEnd"/>
      <w:r w:rsidR="00967B68">
        <w:rPr>
          <w:rFonts w:ascii="Times New Roman" w:hint="eastAsia"/>
        </w:rPr>
        <w:t>APP</w:t>
      </w:r>
      <w:r w:rsidR="00967B68">
        <w:rPr>
          <w:rFonts w:ascii="Times New Roman" w:hint="eastAsia"/>
        </w:rPr>
        <w:t>即可进行双季稻分蘖肥和穗肥施氮量精确计算</w:t>
      </w:r>
      <w:r w:rsidR="00035D4C">
        <w:rPr>
          <w:rFonts w:hint="eastAsia"/>
        </w:rPr>
        <w:t>。</w:t>
      </w:r>
    </w:p>
    <w:p w:rsidR="00967B68" w:rsidRDefault="00967B68" w:rsidP="00967B68">
      <w:pPr>
        <w:pStyle w:val="a5"/>
        <w:spacing w:before="156" w:after="156"/>
      </w:pPr>
      <w:r>
        <w:rPr>
          <w:rFonts w:ascii="宋体" w:hAnsi="宋体" w:hint="eastAsia"/>
        </w:rPr>
        <w:t>数据档案</w:t>
      </w:r>
    </w:p>
    <w:p w:rsidR="00A11123" w:rsidRDefault="00967B68" w:rsidP="00967B68">
      <w:pPr>
        <w:pStyle w:val="afff8"/>
        <w:numPr>
          <w:ilvl w:val="0"/>
          <w:numId w:val="0"/>
        </w:numPr>
        <w:ind w:firstLineChars="200" w:firstLine="420"/>
      </w:pPr>
      <w:r>
        <w:rPr>
          <w:rFonts w:hint="eastAsia"/>
        </w:rPr>
        <w:t>所有数据记载表整理存档，以便年际间对照分析。</w:t>
      </w:r>
    </w:p>
    <w:sectPr w:rsidR="00A11123" w:rsidSect="00335D60">
      <w:pgSz w:w="11906" w:h="16838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1D" w:rsidRDefault="00104E1D">
      <w:r>
        <w:separator/>
      </w:r>
    </w:p>
  </w:endnote>
  <w:endnote w:type="continuationSeparator" w:id="0">
    <w:p w:rsidR="00104E1D" w:rsidRDefault="0010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E70B30">
    <w:pPr>
      <w:pStyle w:val="afff4"/>
    </w:pPr>
    <w:r>
      <w:fldChar w:fldCharType="begin"/>
    </w:r>
    <w:r w:rsidR="00CE5B53">
      <w:instrText xml:space="preserve"> PAGE  \* MERGEFORMAT </w:instrText>
    </w:r>
    <w:r>
      <w:fldChar w:fldCharType="separate"/>
    </w:r>
    <w:r w:rsidR="006270A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1D" w:rsidRDefault="00104E1D">
      <w:r>
        <w:separator/>
      </w:r>
    </w:p>
  </w:footnote>
  <w:footnote w:type="continuationSeparator" w:id="0">
    <w:p w:rsidR="00104E1D" w:rsidRDefault="00104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53" w:rsidRDefault="00CE5B53">
    <w:pPr>
      <w:pStyle w:val="afff5"/>
    </w:pPr>
    <w:r>
      <w:t>DB36/ T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5D0ACFFA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212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0" w:hash="AxGirxXsTjH/L0PSjFXZhXLaeG0=" w:salt="B52jjLEBnO60JWEZeHbo8A==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3276E61"/>
    <w:rsid w:val="00000244"/>
    <w:rsid w:val="0000185F"/>
    <w:rsid w:val="0000586F"/>
    <w:rsid w:val="00006397"/>
    <w:rsid w:val="00013D86"/>
    <w:rsid w:val="00013E02"/>
    <w:rsid w:val="0002143C"/>
    <w:rsid w:val="00024D71"/>
    <w:rsid w:val="00025A65"/>
    <w:rsid w:val="00026C31"/>
    <w:rsid w:val="00027280"/>
    <w:rsid w:val="00027A72"/>
    <w:rsid w:val="000320A7"/>
    <w:rsid w:val="000358E6"/>
    <w:rsid w:val="00035925"/>
    <w:rsid w:val="00035D4C"/>
    <w:rsid w:val="000364A7"/>
    <w:rsid w:val="0004091B"/>
    <w:rsid w:val="000409A9"/>
    <w:rsid w:val="00045E24"/>
    <w:rsid w:val="00045EB8"/>
    <w:rsid w:val="000471CE"/>
    <w:rsid w:val="00047EBE"/>
    <w:rsid w:val="00051E9D"/>
    <w:rsid w:val="000565AC"/>
    <w:rsid w:val="00062B0D"/>
    <w:rsid w:val="0006361D"/>
    <w:rsid w:val="00067CDF"/>
    <w:rsid w:val="00074FBE"/>
    <w:rsid w:val="00077349"/>
    <w:rsid w:val="00082EB0"/>
    <w:rsid w:val="00083A09"/>
    <w:rsid w:val="000848FA"/>
    <w:rsid w:val="0009005E"/>
    <w:rsid w:val="000900AB"/>
    <w:rsid w:val="00092857"/>
    <w:rsid w:val="00093713"/>
    <w:rsid w:val="000946F9"/>
    <w:rsid w:val="000A20A9"/>
    <w:rsid w:val="000A48B1"/>
    <w:rsid w:val="000A7A35"/>
    <w:rsid w:val="000B256C"/>
    <w:rsid w:val="000B3143"/>
    <w:rsid w:val="000C3247"/>
    <w:rsid w:val="000C6B05"/>
    <w:rsid w:val="000C6DD6"/>
    <w:rsid w:val="000C70E1"/>
    <w:rsid w:val="000C73D4"/>
    <w:rsid w:val="000D099F"/>
    <w:rsid w:val="000D0D10"/>
    <w:rsid w:val="000D3D4C"/>
    <w:rsid w:val="000D4F51"/>
    <w:rsid w:val="000D718B"/>
    <w:rsid w:val="000E0C46"/>
    <w:rsid w:val="000E1DEC"/>
    <w:rsid w:val="000E50E0"/>
    <w:rsid w:val="000E577F"/>
    <w:rsid w:val="000E6661"/>
    <w:rsid w:val="000F030C"/>
    <w:rsid w:val="000F129C"/>
    <w:rsid w:val="001001C9"/>
    <w:rsid w:val="001003D5"/>
    <w:rsid w:val="001010A7"/>
    <w:rsid w:val="00103539"/>
    <w:rsid w:val="00104AFD"/>
    <w:rsid w:val="00104E1D"/>
    <w:rsid w:val="001056DE"/>
    <w:rsid w:val="00105FD8"/>
    <w:rsid w:val="001069A7"/>
    <w:rsid w:val="001076F7"/>
    <w:rsid w:val="00110861"/>
    <w:rsid w:val="00112242"/>
    <w:rsid w:val="001124C0"/>
    <w:rsid w:val="0011380C"/>
    <w:rsid w:val="00115596"/>
    <w:rsid w:val="00117CA9"/>
    <w:rsid w:val="00125664"/>
    <w:rsid w:val="00130C4E"/>
    <w:rsid w:val="0013175F"/>
    <w:rsid w:val="00134EF7"/>
    <w:rsid w:val="00135853"/>
    <w:rsid w:val="001370B3"/>
    <w:rsid w:val="001465EE"/>
    <w:rsid w:val="00146E78"/>
    <w:rsid w:val="001512B4"/>
    <w:rsid w:val="0015640F"/>
    <w:rsid w:val="0016201A"/>
    <w:rsid w:val="001620A5"/>
    <w:rsid w:val="001641A4"/>
    <w:rsid w:val="00164E53"/>
    <w:rsid w:val="0016699D"/>
    <w:rsid w:val="001677AE"/>
    <w:rsid w:val="0017230C"/>
    <w:rsid w:val="00175159"/>
    <w:rsid w:val="00176208"/>
    <w:rsid w:val="001770BB"/>
    <w:rsid w:val="0018211B"/>
    <w:rsid w:val="001840D3"/>
    <w:rsid w:val="001900F8"/>
    <w:rsid w:val="001901E6"/>
    <w:rsid w:val="00191258"/>
    <w:rsid w:val="00192680"/>
    <w:rsid w:val="0019273B"/>
    <w:rsid w:val="00193037"/>
    <w:rsid w:val="00193A2C"/>
    <w:rsid w:val="001A288E"/>
    <w:rsid w:val="001B2B95"/>
    <w:rsid w:val="001B6DC2"/>
    <w:rsid w:val="001C0C46"/>
    <w:rsid w:val="001C149C"/>
    <w:rsid w:val="001C21AC"/>
    <w:rsid w:val="001C372C"/>
    <w:rsid w:val="001C47BA"/>
    <w:rsid w:val="001C59EA"/>
    <w:rsid w:val="001C6DAD"/>
    <w:rsid w:val="001C702B"/>
    <w:rsid w:val="001D406C"/>
    <w:rsid w:val="001D4169"/>
    <w:rsid w:val="001D41EE"/>
    <w:rsid w:val="001E0380"/>
    <w:rsid w:val="001E13B1"/>
    <w:rsid w:val="001E657F"/>
    <w:rsid w:val="001E7704"/>
    <w:rsid w:val="001F3A19"/>
    <w:rsid w:val="001F6A6E"/>
    <w:rsid w:val="001F77D7"/>
    <w:rsid w:val="002045E8"/>
    <w:rsid w:val="00205125"/>
    <w:rsid w:val="00207DDB"/>
    <w:rsid w:val="002117C4"/>
    <w:rsid w:val="00216DBB"/>
    <w:rsid w:val="0021721A"/>
    <w:rsid w:val="00220D56"/>
    <w:rsid w:val="002211D8"/>
    <w:rsid w:val="00234467"/>
    <w:rsid w:val="00237D8D"/>
    <w:rsid w:val="00241DA2"/>
    <w:rsid w:val="002453BA"/>
    <w:rsid w:val="002470F1"/>
    <w:rsid w:val="00247FEE"/>
    <w:rsid w:val="00250E7D"/>
    <w:rsid w:val="002565D5"/>
    <w:rsid w:val="00256BD2"/>
    <w:rsid w:val="002622C0"/>
    <w:rsid w:val="00263935"/>
    <w:rsid w:val="00264A32"/>
    <w:rsid w:val="002709DF"/>
    <w:rsid w:val="00271BEA"/>
    <w:rsid w:val="002778AE"/>
    <w:rsid w:val="0028269A"/>
    <w:rsid w:val="00283590"/>
    <w:rsid w:val="00284484"/>
    <w:rsid w:val="00286973"/>
    <w:rsid w:val="00290837"/>
    <w:rsid w:val="00294A74"/>
    <w:rsid w:val="00294E70"/>
    <w:rsid w:val="002A1924"/>
    <w:rsid w:val="002A5BCF"/>
    <w:rsid w:val="002A7420"/>
    <w:rsid w:val="002B0F12"/>
    <w:rsid w:val="002B1308"/>
    <w:rsid w:val="002B25E6"/>
    <w:rsid w:val="002B4554"/>
    <w:rsid w:val="002B74C3"/>
    <w:rsid w:val="002C5CCC"/>
    <w:rsid w:val="002C72D8"/>
    <w:rsid w:val="002D11FA"/>
    <w:rsid w:val="002D4CE8"/>
    <w:rsid w:val="002E0DDF"/>
    <w:rsid w:val="002E2906"/>
    <w:rsid w:val="002E5635"/>
    <w:rsid w:val="002E64C3"/>
    <w:rsid w:val="002E6A2C"/>
    <w:rsid w:val="002F1D8C"/>
    <w:rsid w:val="002F21DA"/>
    <w:rsid w:val="002F2887"/>
    <w:rsid w:val="00301AEB"/>
    <w:rsid w:val="00301F39"/>
    <w:rsid w:val="00307094"/>
    <w:rsid w:val="00307E87"/>
    <w:rsid w:val="00310936"/>
    <w:rsid w:val="003224F0"/>
    <w:rsid w:val="00325926"/>
    <w:rsid w:val="00327A8A"/>
    <w:rsid w:val="00335D60"/>
    <w:rsid w:val="00336610"/>
    <w:rsid w:val="00343F73"/>
    <w:rsid w:val="00345060"/>
    <w:rsid w:val="00352293"/>
    <w:rsid w:val="0035323B"/>
    <w:rsid w:val="003574BB"/>
    <w:rsid w:val="003609D2"/>
    <w:rsid w:val="00363F22"/>
    <w:rsid w:val="0037353C"/>
    <w:rsid w:val="00374EF0"/>
    <w:rsid w:val="00375564"/>
    <w:rsid w:val="00383191"/>
    <w:rsid w:val="00385A63"/>
    <w:rsid w:val="00386DED"/>
    <w:rsid w:val="00390DB8"/>
    <w:rsid w:val="003912E7"/>
    <w:rsid w:val="00393947"/>
    <w:rsid w:val="003946FD"/>
    <w:rsid w:val="003A2275"/>
    <w:rsid w:val="003A32EC"/>
    <w:rsid w:val="003A5786"/>
    <w:rsid w:val="003A655C"/>
    <w:rsid w:val="003A6A4F"/>
    <w:rsid w:val="003A7088"/>
    <w:rsid w:val="003B00DF"/>
    <w:rsid w:val="003B1275"/>
    <w:rsid w:val="003B1568"/>
    <w:rsid w:val="003B1778"/>
    <w:rsid w:val="003B4C50"/>
    <w:rsid w:val="003C11CB"/>
    <w:rsid w:val="003C11CD"/>
    <w:rsid w:val="003C1703"/>
    <w:rsid w:val="003C4E0E"/>
    <w:rsid w:val="003C6FEA"/>
    <w:rsid w:val="003C7486"/>
    <w:rsid w:val="003C75F3"/>
    <w:rsid w:val="003C78A3"/>
    <w:rsid w:val="003D0589"/>
    <w:rsid w:val="003D256D"/>
    <w:rsid w:val="003E1867"/>
    <w:rsid w:val="003E2FAF"/>
    <w:rsid w:val="003E384F"/>
    <w:rsid w:val="003E5729"/>
    <w:rsid w:val="003E5A2F"/>
    <w:rsid w:val="003F0F6E"/>
    <w:rsid w:val="003F4EE0"/>
    <w:rsid w:val="00402153"/>
    <w:rsid w:val="00402FC1"/>
    <w:rsid w:val="00413B26"/>
    <w:rsid w:val="0041708B"/>
    <w:rsid w:val="0042221C"/>
    <w:rsid w:val="00425082"/>
    <w:rsid w:val="00431DEB"/>
    <w:rsid w:val="00432CED"/>
    <w:rsid w:val="00434384"/>
    <w:rsid w:val="00440054"/>
    <w:rsid w:val="00446B29"/>
    <w:rsid w:val="00453F9A"/>
    <w:rsid w:val="00457691"/>
    <w:rsid w:val="00457F34"/>
    <w:rsid w:val="0046340C"/>
    <w:rsid w:val="0046442A"/>
    <w:rsid w:val="004666A6"/>
    <w:rsid w:val="00466F16"/>
    <w:rsid w:val="0046754A"/>
    <w:rsid w:val="0047097F"/>
    <w:rsid w:val="00471E91"/>
    <w:rsid w:val="00474675"/>
    <w:rsid w:val="0047470C"/>
    <w:rsid w:val="0047488D"/>
    <w:rsid w:val="0047575A"/>
    <w:rsid w:val="00480C02"/>
    <w:rsid w:val="004A0B51"/>
    <w:rsid w:val="004A35F9"/>
    <w:rsid w:val="004A6EC5"/>
    <w:rsid w:val="004B24C1"/>
    <w:rsid w:val="004B2C7E"/>
    <w:rsid w:val="004C292F"/>
    <w:rsid w:val="004D5D3C"/>
    <w:rsid w:val="004D5EBB"/>
    <w:rsid w:val="004E2EC6"/>
    <w:rsid w:val="004E3426"/>
    <w:rsid w:val="004E7630"/>
    <w:rsid w:val="004F0271"/>
    <w:rsid w:val="004F4B67"/>
    <w:rsid w:val="00510280"/>
    <w:rsid w:val="00513D73"/>
    <w:rsid w:val="00514A43"/>
    <w:rsid w:val="00514E97"/>
    <w:rsid w:val="00515799"/>
    <w:rsid w:val="005174E5"/>
    <w:rsid w:val="00517817"/>
    <w:rsid w:val="00520339"/>
    <w:rsid w:val="00522393"/>
    <w:rsid w:val="00522620"/>
    <w:rsid w:val="00525656"/>
    <w:rsid w:val="00530314"/>
    <w:rsid w:val="00530852"/>
    <w:rsid w:val="00534C02"/>
    <w:rsid w:val="0053504F"/>
    <w:rsid w:val="00535859"/>
    <w:rsid w:val="00536C59"/>
    <w:rsid w:val="005419D3"/>
    <w:rsid w:val="0054264B"/>
    <w:rsid w:val="00543786"/>
    <w:rsid w:val="00543E7D"/>
    <w:rsid w:val="005533D7"/>
    <w:rsid w:val="005556CC"/>
    <w:rsid w:val="0056191B"/>
    <w:rsid w:val="00564309"/>
    <w:rsid w:val="00567CEF"/>
    <w:rsid w:val="005703DE"/>
    <w:rsid w:val="0057271B"/>
    <w:rsid w:val="005843A0"/>
    <w:rsid w:val="0058464E"/>
    <w:rsid w:val="005932F7"/>
    <w:rsid w:val="00595473"/>
    <w:rsid w:val="00597099"/>
    <w:rsid w:val="005A01CB"/>
    <w:rsid w:val="005A4932"/>
    <w:rsid w:val="005A58FF"/>
    <w:rsid w:val="005A5EAF"/>
    <w:rsid w:val="005A64C0"/>
    <w:rsid w:val="005B3C11"/>
    <w:rsid w:val="005B3F3E"/>
    <w:rsid w:val="005B7E12"/>
    <w:rsid w:val="005C1C28"/>
    <w:rsid w:val="005C6DB5"/>
    <w:rsid w:val="005C735A"/>
    <w:rsid w:val="005C77FE"/>
    <w:rsid w:val="005D013B"/>
    <w:rsid w:val="005E19E7"/>
    <w:rsid w:val="005E26B2"/>
    <w:rsid w:val="005F14A2"/>
    <w:rsid w:val="005F4C04"/>
    <w:rsid w:val="005F706C"/>
    <w:rsid w:val="00602783"/>
    <w:rsid w:val="00606F8D"/>
    <w:rsid w:val="006144F3"/>
    <w:rsid w:val="00614596"/>
    <w:rsid w:val="0061716C"/>
    <w:rsid w:val="00620788"/>
    <w:rsid w:val="00620FC7"/>
    <w:rsid w:val="00623E34"/>
    <w:rsid w:val="006243A1"/>
    <w:rsid w:val="006270A6"/>
    <w:rsid w:val="0062726F"/>
    <w:rsid w:val="00630A21"/>
    <w:rsid w:val="00632E56"/>
    <w:rsid w:val="00635CBA"/>
    <w:rsid w:val="00641A48"/>
    <w:rsid w:val="00642992"/>
    <w:rsid w:val="0064338B"/>
    <w:rsid w:val="0064515B"/>
    <w:rsid w:val="00646542"/>
    <w:rsid w:val="006504F4"/>
    <w:rsid w:val="00654BC9"/>
    <w:rsid w:val="006552FD"/>
    <w:rsid w:val="00663AB1"/>
    <w:rsid w:val="00663AF3"/>
    <w:rsid w:val="006642F9"/>
    <w:rsid w:val="00666B6C"/>
    <w:rsid w:val="00667D3E"/>
    <w:rsid w:val="006712D1"/>
    <w:rsid w:val="00680F34"/>
    <w:rsid w:val="006819B0"/>
    <w:rsid w:val="00682682"/>
    <w:rsid w:val="00682702"/>
    <w:rsid w:val="00684DF1"/>
    <w:rsid w:val="00692368"/>
    <w:rsid w:val="00693D23"/>
    <w:rsid w:val="006A027B"/>
    <w:rsid w:val="006A290F"/>
    <w:rsid w:val="006A2EBC"/>
    <w:rsid w:val="006A5EA0"/>
    <w:rsid w:val="006A783B"/>
    <w:rsid w:val="006A7B33"/>
    <w:rsid w:val="006B04EB"/>
    <w:rsid w:val="006B40DB"/>
    <w:rsid w:val="006B4184"/>
    <w:rsid w:val="006B4E13"/>
    <w:rsid w:val="006B54AF"/>
    <w:rsid w:val="006B75DD"/>
    <w:rsid w:val="006C19CC"/>
    <w:rsid w:val="006C42F7"/>
    <w:rsid w:val="006C4B1A"/>
    <w:rsid w:val="006C67E0"/>
    <w:rsid w:val="006C7ABA"/>
    <w:rsid w:val="006D0D60"/>
    <w:rsid w:val="006D1122"/>
    <w:rsid w:val="006D2D67"/>
    <w:rsid w:val="006D3C00"/>
    <w:rsid w:val="006D6B0F"/>
    <w:rsid w:val="006E1F75"/>
    <w:rsid w:val="006E3675"/>
    <w:rsid w:val="006E4A7F"/>
    <w:rsid w:val="006E575D"/>
    <w:rsid w:val="006F78DA"/>
    <w:rsid w:val="00701044"/>
    <w:rsid w:val="00704DF6"/>
    <w:rsid w:val="0070651C"/>
    <w:rsid w:val="007132A3"/>
    <w:rsid w:val="0071578A"/>
    <w:rsid w:val="00716421"/>
    <w:rsid w:val="00723E77"/>
    <w:rsid w:val="00724E67"/>
    <w:rsid w:val="00724EFB"/>
    <w:rsid w:val="00733C41"/>
    <w:rsid w:val="00735173"/>
    <w:rsid w:val="007419C3"/>
    <w:rsid w:val="00745544"/>
    <w:rsid w:val="00745D57"/>
    <w:rsid w:val="007467A7"/>
    <w:rsid w:val="007469DD"/>
    <w:rsid w:val="00746B93"/>
    <w:rsid w:val="0074741B"/>
    <w:rsid w:val="0074759E"/>
    <w:rsid w:val="007478EA"/>
    <w:rsid w:val="00752225"/>
    <w:rsid w:val="00753D98"/>
    <w:rsid w:val="0075415C"/>
    <w:rsid w:val="00762641"/>
    <w:rsid w:val="00763502"/>
    <w:rsid w:val="0076502B"/>
    <w:rsid w:val="00766E67"/>
    <w:rsid w:val="0077267D"/>
    <w:rsid w:val="00786E65"/>
    <w:rsid w:val="00790357"/>
    <w:rsid w:val="00790C16"/>
    <w:rsid w:val="007913AB"/>
    <w:rsid w:val="007914F7"/>
    <w:rsid w:val="0079765A"/>
    <w:rsid w:val="007B1625"/>
    <w:rsid w:val="007B2EDD"/>
    <w:rsid w:val="007B706E"/>
    <w:rsid w:val="007B71EB"/>
    <w:rsid w:val="007C3DD1"/>
    <w:rsid w:val="007C6205"/>
    <w:rsid w:val="007C6281"/>
    <w:rsid w:val="007C686A"/>
    <w:rsid w:val="007C728E"/>
    <w:rsid w:val="007D291A"/>
    <w:rsid w:val="007D2C53"/>
    <w:rsid w:val="007D36A9"/>
    <w:rsid w:val="007D3D60"/>
    <w:rsid w:val="007D5A9B"/>
    <w:rsid w:val="007D6581"/>
    <w:rsid w:val="007E1980"/>
    <w:rsid w:val="007E4B76"/>
    <w:rsid w:val="007E5EA8"/>
    <w:rsid w:val="007F0CF1"/>
    <w:rsid w:val="007F12A5"/>
    <w:rsid w:val="007F426D"/>
    <w:rsid w:val="007F4CF1"/>
    <w:rsid w:val="007F6EFA"/>
    <w:rsid w:val="007F758D"/>
    <w:rsid w:val="007F7D52"/>
    <w:rsid w:val="0080421F"/>
    <w:rsid w:val="0080654C"/>
    <w:rsid w:val="008071C6"/>
    <w:rsid w:val="008100C4"/>
    <w:rsid w:val="0081184F"/>
    <w:rsid w:val="00817A00"/>
    <w:rsid w:val="00835DB3"/>
    <w:rsid w:val="00835EA4"/>
    <w:rsid w:val="0083617B"/>
    <w:rsid w:val="008371BD"/>
    <w:rsid w:val="0084255B"/>
    <w:rsid w:val="00843330"/>
    <w:rsid w:val="00845EE4"/>
    <w:rsid w:val="008468A8"/>
    <w:rsid w:val="008504A8"/>
    <w:rsid w:val="0085282E"/>
    <w:rsid w:val="00860A3B"/>
    <w:rsid w:val="00870EFA"/>
    <w:rsid w:val="0087198C"/>
    <w:rsid w:val="00872C1F"/>
    <w:rsid w:val="00873B42"/>
    <w:rsid w:val="00876E1E"/>
    <w:rsid w:val="00877A01"/>
    <w:rsid w:val="00880A33"/>
    <w:rsid w:val="0088131D"/>
    <w:rsid w:val="008814ED"/>
    <w:rsid w:val="008856D8"/>
    <w:rsid w:val="00885802"/>
    <w:rsid w:val="0088731A"/>
    <w:rsid w:val="00891475"/>
    <w:rsid w:val="00892E82"/>
    <w:rsid w:val="008949A9"/>
    <w:rsid w:val="0089542C"/>
    <w:rsid w:val="008966EC"/>
    <w:rsid w:val="008A31C7"/>
    <w:rsid w:val="008A40CF"/>
    <w:rsid w:val="008B2570"/>
    <w:rsid w:val="008B56F5"/>
    <w:rsid w:val="008B6E51"/>
    <w:rsid w:val="008C01A2"/>
    <w:rsid w:val="008C1B58"/>
    <w:rsid w:val="008C39AE"/>
    <w:rsid w:val="008C4097"/>
    <w:rsid w:val="008C590D"/>
    <w:rsid w:val="008C6D7C"/>
    <w:rsid w:val="008C772B"/>
    <w:rsid w:val="008D1D21"/>
    <w:rsid w:val="008D7C2D"/>
    <w:rsid w:val="008E031B"/>
    <w:rsid w:val="008E24F9"/>
    <w:rsid w:val="008E3A4C"/>
    <w:rsid w:val="008E6531"/>
    <w:rsid w:val="008E7029"/>
    <w:rsid w:val="008E7EF6"/>
    <w:rsid w:val="008F1F98"/>
    <w:rsid w:val="008F6758"/>
    <w:rsid w:val="008F7735"/>
    <w:rsid w:val="00903739"/>
    <w:rsid w:val="009040DD"/>
    <w:rsid w:val="00905B47"/>
    <w:rsid w:val="0091331C"/>
    <w:rsid w:val="00915CAF"/>
    <w:rsid w:val="009235A1"/>
    <w:rsid w:val="00926B15"/>
    <w:rsid w:val="009279DE"/>
    <w:rsid w:val="00930116"/>
    <w:rsid w:val="00931AF4"/>
    <w:rsid w:val="00940D27"/>
    <w:rsid w:val="00940EBD"/>
    <w:rsid w:val="0094212C"/>
    <w:rsid w:val="00942189"/>
    <w:rsid w:val="00947467"/>
    <w:rsid w:val="00953E6D"/>
    <w:rsid w:val="00954689"/>
    <w:rsid w:val="00957EDA"/>
    <w:rsid w:val="009617C9"/>
    <w:rsid w:val="00961C93"/>
    <w:rsid w:val="00963F58"/>
    <w:rsid w:val="00965324"/>
    <w:rsid w:val="00967B68"/>
    <w:rsid w:val="0097091E"/>
    <w:rsid w:val="009760D3"/>
    <w:rsid w:val="00976593"/>
    <w:rsid w:val="00977132"/>
    <w:rsid w:val="00981A4B"/>
    <w:rsid w:val="00982501"/>
    <w:rsid w:val="00984CD1"/>
    <w:rsid w:val="009877D3"/>
    <w:rsid w:val="00991B5E"/>
    <w:rsid w:val="00994E8F"/>
    <w:rsid w:val="009951DC"/>
    <w:rsid w:val="009959BB"/>
    <w:rsid w:val="00997158"/>
    <w:rsid w:val="009A23E1"/>
    <w:rsid w:val="009A3A7C"/>
    <w:rsid w:val="009B2ADB"/>
    <w:rsid w:val="009B404C"/>
    <w:rsid w:val="009B406F"/>
    <w:rsid w:val="009B603A"/>
    <w:rsid w:val="009B6180"/>
    <w:rsid w:val="009B707E"/>
    <w:rsid w:val="009B7CC0"/>
    <w:rsid w:val="009C1458"/>
    <w:rsid w:val="009C2D0E"/>
    <w:rsid w:val="009C3DAC"/>
    <w:rsid w:val="009C42E0"/>
    <w:rsid w:val="009D0E56"/>
    <w:rsid w:val="009D0F8A"/>
    <w:rsid w:val="009D149E"/>
    <w:rsid w:val="009D48A7"/>
    <w:rsid w:val="009D5362"/>
    <w:rsid w:val="009D61AC"/>
    <w:rsid w:val="009E029F"/>
    <w:rsid w:val="009E1111"/>
    <w:rsid w:val="009E1415"/>
    <w:rsid w:val="009E258F"/>
    <w:rsid w:val="009E6116"/>
    <w:rsid w:val="009F1931"/>
    <w:rsid w:val="009F29C7"/>
    <w:rsid w:val="009F7700"/>
    <w:rsid w:val="00A02E43"/>
    <w:rsid w:val="00A065F9"/>
    <w:rsid w:val="00A072DB"/>
    <w:rsid w:val="00A07F34"/>
    <w:rsid w:val="00A11123"/>
    <w:rsid w:val="00A22154"/>
    <w:rsid w:val="00A225CC"/>
    <w:rsid w:val="00A22D6B"/>
    <w:rsid w:val="00A252D0"/>
    <w:rsid w:val="00A25C38"/>
    <w:rsid w:val="00A26ACA"/>
    <w:rsid w:val="00A36BBE"/>
    <w:rsid w:val="00A4268F"/>
    <w:rsid w:val="00A4307A"/>
    <w:rsid w:val="00A47EBB"/>
    <w:rsid w:val="00A51BE3"/>
    <w:rsid w:val="00A51CDD"/>
    <w:rsid w:val="00A53217"/>
    <w:rsid w:val="00A56E8A"/>
    <w:rsid w:val="00A63A41"/>
    <w:rsid w:val="00A6730D"/>
    <w:rsid w:val="00A71625"/>
    <w:rsid w:val="00A71B9B"/>
    <w:rsid w:val="00A73F02"/>
    <w:rsid w:val="00A751C7"/>
    <w:rsid w:val="00A76CA6"/>
    <w:rsid w:val="00A8014A"/>
    <w:rsid w:val="00A80D06"/>
    <w:rsid w:val="00A86411"/>
    <w:rsid w:val="00A86A45"/>
    <w:rsid w:val="00A87844"/>
    <w:rsid w:val="00AA038C"/>
    <w:rsid w:val="00AA2493"/>
    <w:rsid w:val="00AA7A09"/>
    <w:rsid w:val="00AB0664"/>
    <w:rsid w:val="00AB2495"/>
    <w:rsid w:val="00AB3B50"/>
    <w:rsid w:val="00AC05B1"/>
    <w:rsid w:val="00AC3F43"/>
    <w:rsid w:val="00AD356C"/>
    <w:rsid w:val="00AD5583"/>
    <w:rsid w:val="00AD63E1"/>
    <w:rsid w:val="00AD686F"/>
    <w:rsid w:val="00AE251C"/>
    <w:rsid w:val="00AE2914"/>
    <w:rsid w:val="00AE6D15"/>
    <w:rsid w:val="00AF653F"/>
    <w:rsid w:val="00B0135B"/>
    <w:rsid w:val="00B02BA7"/>
    <w:rsid w:val="00B03002"/>
    <w:rsid w:val="00B03EA0"/>
    <w:rsid w:val="00B04182"/>
    <w:rsid w:val="00B07AE3"/>
    <w:rsid w:val="00B07FF0"/>
    <w:rsid w:val="00B11430"/>
    <w:rsid w:val="00B117F8"/>
    <w:rsid w:val="00B16BF9"/>
    <w:rsid w:val="00B173A7"/>
    <w:rsid w:val="00B21D59"/>
    <w:rsid w:val="00B21F5E"/>
    <w:rsid w:val="00B22801"/>
    <w:rsid w:val="00B22C0B"/>
    <w:rsid w:val="00B2354D"/>
    <w:rsid w:val="00B23A25"/>
    <w:rsid w:val="00B25F94"/>
    <w:rsid w:val="00B27AED"/>
    <w:rsid w:val="00B27D04"/>
    <w:rsid w:val="00B30D1B"/>
    <w:rsid w:val="00B31839"/>
    <w:rsid w:val="00B33A90"/>
    <w:rsid w:val="00B353EB"/>
    <w:rsid w:val="00B421A3"/>
    <w:rsid w:val="00B439C4"/>
    <w:rsid w:val="00B43E4F"/>
    <w:rsid w:val="00B4535E"/>
    <w:rsid w:val="00B458D1"/>
    <w:rsid w:val="00B504CE"/>
    <w:rsid w:val="00B523C0"/>
    <w:rsid w:val="00B52A8C"/>
    <w:rsid w:val="00B54EDF"/>
    <w:rsid w:val="00B56DD7"/>
    <w:rsid w:val="00B60BC0"/>
    <w:rsid w:val="00B636A8"/>
    <w:rsid w:val="00B665C6"/>
    <w:rsid w:val="00B67C9D"/>
    <w:rsid w:val="00B700B5"/>
    <w:rsid w:val="00B743D5"/>
    <w:rsid w:val="00B805AF"/>
    <w:rsid w:val="00B869EC"/>
    <w:rsid w:val="00B86E2B"/>
    <w:rsid w:val="00B9397A"/>
    <w:rsid w:val="00B9633D"/>
    <w:rsid w:val="00B96375"/>
    <w:rsid w:val="00B9675B"/>
    <w:rsid w:val="00BA199C"/>
    <w:rsid w:val="00BA1B9A"/>
    <w:rsid w:val="00BA2EBE"/>
    <w:rsid w:val="00BA511F"/>
    <w:rsid w:val="00BA5A3B"/>
    <w:rsid w:val="00BB0F28"/>
    <w:rsid w:val="00BB102C"/>
    <w:rsid w:val="00BB182B"/>
    <w:rsid w:val="00BB458A"/>
    <w:rsid w:val="00BC0C14"/>
    <w:rsid w:val="00BC171D"/>
    <w:rsid w:val="00BC31D6"/>
    <w:rsid w:val="00BD00D3"/>
    <w:rsid w:val="00BD0918"/>
    <w:rsid w:val="00BD1659"/>
    <w:rsid w:val="00BD32A9"/>
    <w:rsid w:val="00BD3AA9"/>
    <w:rsid w:val="00BD4A18"/>
    <w:rsid w:val="00BD58D3"/>
    <w:rsid w:val="00BD5AA9"/>
    <w:rsid w:val="00BD6DB2"/>
    <w:rsid w:val="00BE11CF"/>
    <w:rsid w:val="00BE21AB"/>
    <w:rsid w:val="00BE55CB"/>
    <w:rsid w:val="00BF538B"/>
    <w:rsid w:val="00BF617A"/>
    <w:rsid w:val="00BF7EBB"/>
    <w:rsid w:val="00C0379D"/>
    <w:rsid w:val="00C037F6"/>
    <w:rsid w:val="00C03931"/>
    <w:rsid w:val="00C05FE3"/>
    <w:rsid w:val="00C2136D"/>
    <w:rsid w:val="00C214EE"/>
    <w:rsid w:val="00C2314B"/>
    <w:rsid w:val="00C24971"/>
    <w:rsid w:val="00C26BE5"/>
    <w:rsid w:val="00C26E4D"/>
    <w:rsid w:val="00C27223"/>
    <w:rsid w:val="00C27909"/>
    <w:rsid w:val="00C27B03"/>
    <w:rsid w:val="00C314E1"/>
    <w:rsid w:val="00C31FD3"/>
    <w:rsid w:val="00C34397"/>
    <w:rsid w:val="00C34CA8"/>
    <w:rsid w:val="00C4095D"/>
    <w:rsid w:val="00C44D85"/>
    <w:rsid w:val="00C462F1"/>
    <w:rsid w:val="00C5086D"/>
    <w:rsid w:val="00C57A62"/>
    <w:rsid w:val="00C601D2"/>
    <w:rsid w:val="00C65BCC"/>
    <w:rsid w:val="00C66970"/>
    <w:rsid w:val="00C710A5"/>
    <w:rsid w:val="00C72DB5"/>
    <w:rsid w:val="00C73731"/>
    <w:rsid w:val="00C7376E"/>
    <w:rsid w:val="00C807EA"/>
    <w:rsid w:val="00C80D29"/>
    <w:rsid w:val="00C85C59"/>
    <w:rsid w:val="00C8691C"/>
    <w:rsid w:val="00C90FBF"/>
    <w:rsid w:val="00C94E52"/>
    <w:rsid w:val="00C97712"/>
    <w:rsid w:val="00CA168A"/>
    <w:rsid w:val="00CA357E"/>
    <w:rsid w:val="00CA413F"/>
    <w:rsid w:val="00CA44F9"/>
    <w:rsid w:val="00CA4A69"/>
    <w:rsid w:val="00CB1F32"/>
    <w:rsid w:val="00CB7897"/>
    <w:rsid w:val="00CC3E0C"/>
    <w:rsid w:val="00CC58D3"/>
    <w:rsid w:val="00CC784D"/>
    <w:rsid w:val="00CD7109"/>
    <w:rsid w:val="00CE0126"/>
    <w:rsid w:val="00CE309D"/>
    <w:rsid w:val="00CE3317"/>
    <w:rsid w:val="00CE5B53"/>
    <w:rsid w:val="00D0337B"/>
    <w:rsid w:val="00D03593"/>
    <w:rsid w:val="00D03C6C"/>
    <w:rsid w:val="00D079B2"/>
    <w:rsid w:val="00D114E9"/>
    <w:rsid w:val="00D157B3"/>
    <w:rsid w:val="00D2591D"/>
    <w:rsid w:val="00D27E46"/>
    <w:rsid w:val="00D326EC"/>
    <w:rsid w:val="00D33AED"/>
    <w:rsid w:val="00D359E7"/>
    <w:rsid w:val="00D429C6"/>
    <w:rsid w:val="00D47748"/>
    <w:rsid w:val="00D54CC3"/>
    <w:rsid w:val="00D6041A"/>
    <w:rsid w:val="00D60EE8"/>
    <w:rsid w:val="00D633EB"/>
    <w:rsid w:val="00D721C9"/>
    <w:rsid w:val="00D805A7"/>
    <w:rsid w:val="00D80735"/>
    <w:rsid w:val="00D81FD9"/>
    <w:rsid w:val="00D82FF7"/>
    <w:rsid w:val="00D83176"/>
    <w:rsid w:val="00D847FE"/>
    <w:rsid w:val="00D87560"/>
    <w:rsid w:val="00D87964"/>
    <w:rsid w:val="00D90CF4"/>
    <w:rsid w:val="00D94EAA"/>
    <w:rsid w:val="00D964EA"/>
    <w:rsid w:val="00D966D0"/>
    <w:rsid w:val="00DA0C59"/>
    <w:rsid w:val="00DA3991"/>
    <w:rsid w:val="00DB535D"/>
    <w:rsid w:val="00DB7E6C"/>
    <w:rsid w:val="00DC1995"/>
    <w:rsid w:val="00DC7C04"/>
    <w:rsid w:val="00DD5A29"/>
    <w:rsid w:val="00DD5D9D"/>
    <w:rsid w:val="00DE35CB"/>
    <w:rsid w:val="00DE3835"/>
    <w:rsid w:val="00DE5656"/>
    <w:rsid w:val="00DF21E9"/>
    <w:rsid w:val="00DF250A"/>
    <w:rsid w:val="00E00F14"/>
    <w:rsid w:val="00E028F7"/>
    <w:rsid w:val="00E02F45"/>
    <w:rsid w:val="00E06386"/>
    <w:rsid w:val="00E21804"/>
    <w:rsid w:val="00E24EB4"/>
    <w:rsid w:val="00E311D9"/>
    <w:rsid w:val="00E320ED"/>
    <w:rsid w:val="00E3217B"/>
    <w:rsid w:val="00E32214"/>
    <w:rsid w:val="00E33AFB"/>
    <w:rsid w:val="00E34218"/>
    <w:rsid w:val="00E44CC1"/>
    <w:rsid w:val="00E46282"/>
    <w:rsid w:val="00E50B23"/>
    <w:rsid w:val="00E5216E"/>
    <w:rsid w:val="00E537B3"/>
    <w:rsid w:val="00E6332F"/>
    <w:rsid w:val="00E70B30"/>
    <w:rsid w:val="00E73520"/>
    <w:rsid w:val="00E80FAD"/>
    <w:rsid w:val="00E821E9"/>
    <w:rsid w:val="00E82344"/>
    <w:rsid w:val="00E83030"/>
    <w:rsid w:val="00E84C82"/>
    <w:rsid w:val="00E84D64"/>
    <w:rsid w:val="00E86316"/>
    <w:rsid w:val="00E87408"/>
    <w:rsid w:val="00E914C4"/>
    <w:rsid w:val="00E934F5"/>
    <w:rsid w:val="00E96961"/>
    <w:rsid w:val="00EA13A9"/>
    <w:rsid w:val="00EA3DEE"/>
    <w:rsid w:val="00EA5725"/>
    <w:rsid w:val="00EA72EC"/>
    <w:rsid w:val="00EB11CB"/>
    <w:rsid w:val="00EB275A"/>
    <w:rsid w:val="00EB566B"/>
    <w:rsid w:val="00EB786A"/>
    <w:rsid w:val="00EC1578"/>
    <w:rsid w:val="00EC1624"/>
    <w:rsid w:val="00EC1A3A"/>
    <w:rsid w:val="00EC1C72"/>
    <w:rsid w:val="00EC3CC9"/>
    <w:rsid w:val="00EC4F71"/>
    <w:rsid w:val="00EC680A"/>
    <w:rsid w:val="00ED186D"/>
    <w:rsid w:val="00ED5745"/>
    <w:rsid w:val="00ED60CF"/>
    <w:rsid w:val="00ED73BD"/>
    <w:rsid w:val="00EE0C16"/>
    <w:rsid w:val="00EE2B59"/>
    <w:rsid w:val="00EE2BED"/>
    <w:rsid w:val="00EE374B"/>
    <w:rsid w:val="00EF3740"/>
    <w:rsid w:val="00EF6D1E"/>
    <w:rsid w:val="00F05149"/>
    <w:rsid w:val="00F077B9"/>
    <w:rsid w:val="00F07EF7"/>
    <w:rsid w:val="00F11BB5"/>
    <w:rsid w:val="00F1417B"/>
    <w:rsid w:val="00F1573C"/>
    <w:rsid w:val="00F328D7"/>
    <w:rsid w:val="00F34B99"/>
    <w:rsid w:val="00F41C2F"/>
    <w:rsid w:val="00F51E94"/>
    <w:rsid w:val="00F52DAB"/>
    <w:rsid w:val="00F543F0"/>
    <w:rsid w:val="00F7590A"/>
    <w:rsid w:val="00F8022F"/>
    <w:rsid w:val="00F80EAA"/>
    <w:rsid w:val="00F811B5"/>
    <w:rsid w:val="00F81D29"/>
    <w:rsid w:val="00F83ABD"/>
    <w:rsid w:val="00F8402F"/>
    <w:rsid w:val="00F91C4D"/>
    <w:rsid w:val="00F923A6"/>
    <w:rsid w:val="00F926E4"/>
    <w:rsid w:val="00F92FD9"/>
    <w:rsid w:val="00F95F22"/>
    <w:rsid w:val="00FA3ED8"/>
    <w:rsid w:val="00FA6684"/>
    <w:rsid w:val="00FA6E2D"/>
    <w:rsid w:val="00FA71A5"/>
    <w:rsid w:val="00FA731E"/>
    <w:rsid w:val="00FB039A"/>
    <w:rsid w:val="00FB0A52"/>
    <w:rsid w:val="00FB2B38"/>
    <w:rsid w:val="00FB7778"/>
    <w:rsid w:val="00FB7DD7"/>
    <w:rsid w:val="00FC6358"/>
    <w:rsid w:val="00FC75EF"/>
    <w:rsid w:val="00FD2E51"/>
    <w:rsid w:val="00FD320D"/>
    <w:rsid w:val="00FD7A0F"/>
    <w:rsid w:val="00FE20E6"/>
    <w:rsid w:val="00FE23DE"/>
    <w:rsid w:val="00FE3469"/>
    <w:rsid w:val="00FE461D"/>
    <w:rsid w:val="02556ECE"/>
    <w:rsid w:val="03276E61"/>
    <w:rsid w:val="116C3382"/>
    <w:rsid w:val="2C0E3C74"/>
    <w:rsid w:val="4C310CA3"/>
    <w:rsid w:val="57BB26D3"/>
    <w:rsid w:val="62523F66"/>
    <w:rsid w:val="64F03662"/>
    <w:rsid w:val="6CDF48DE"/>
    <w:rsid w:val="7D9C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335D60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rsid w:val="00335D60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rsid w:val="00335D6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335D60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rsid w:val="00335D6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link w:val="Char"/>
    <w:uiPriority w:val="99"/>
    <w:semiHidden/>
    <w:qFormat/>
    <w:rsid w:val="00335D60"/>
    <w:pPr>
      <w:shd w:val="clear" w:color="auto" w:fill="000080"/>
    </w:pPr>
  </w:style>
  <w:style w:type="paragraph" w:styleId="6">
    <w:name w:val="index 6"/>
    <w:basedOn w:val="aff2"/>
    <w:next w:val="aff2"/>
    <w:qFormat/>
    <w:rsid w:val="00335D6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rsid w:val="00335D6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rsid w:val="00335D60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semiHidden/>
    <w:qFormat/>
    <w:rsid w:val="00335D60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rsid w:val="00335D60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rsid w:val="00335D6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qFormat/>
    <w:rsid w:val="00335D60"/>
    <w:pPr>
      <w:snapToGrid w:val="0"/>
      <w:jc w:val="left"/>
    </w:pPr>
  </w:style>
  <w:style w:type="paragraph" w:styleId="aff9">
    <w:name w:val="footer"/>
    <w:basedOn w:val="aff2"/>
    <w:qFormat/>
    <w:rsid w:val="00335D60"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qFormat/>
    <w:rsid w:val="00335D60"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semiHidden/>
    <w:qFormat/>
    <w:rsid w:val="00335D60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rsid w:val="00335D60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qFormat/>
    <w:rsid w:val="00335D6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qFormat/>
    <w:rsid w:val="00335D6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0"/>
    <w:qFormat/>
    <w:rsid w:val="00335D6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rsid w:val="00335D60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rsid w:val="00335D60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rsid w:val="00335D6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rsid w:val="00335D6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qFormat/>
    <w:rsid w:val="00335D60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qFormat/>
    <w:rsid w:val="00335D60"/>
    <w:pPr>
      <w:ind w:left="1470"/>
      <w:jc w:val="left"/>
    </w:pPr>
    <w:rPr>
      <w:sz w:val="20"/>
      <w:szCs w:val="20"/>
    </w:rPr>
  </w:style>
  <w:style w:type="paragraph" w:styleId="affd">
    <w:name w:val="Normal (Web)"/>
    <w:basedOn w:val="aff2"/>
    <w:qFormat/>
    <w:rsid w:val="00335D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index 2"/>
    <w:basedOn w:val="aff2"/>
    <w:next w:val="aff2"/>
    <w:qFormat/>
    <w:rsid w:val="00335D6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e">
    <w:name w:val="endnote reference"/>
    <w:basedOn w:val="aff3"/>
    <w:semiHidden/>
    <w:qFormat/>
    <w:rsid w:val="00335D60"/>
    <w:rPr>
      <w:vertAlign w:val="superscript"/>
    </w:rPr>
  </w:style>
  <w:style w:type="character" w:styleId="afff">
    <w:name w:val="page number"/>
    <w:basedOn w:val="aff3"/>
    <w:qFormat/>
    <w:rsid w:val="00335D60"/>
    <w:rPr>
      <w:rFonts w:ascii="Times New Roman" w:eastAsia="宋体" w:hAnsi="Times New Roman"/>
      <w:sz w:val="18"/>
    </w:rPr>
  </w:style>
  <w:style w:type="character" w:styleId="afff0">
    <w:name w:val="FollowedHyperlink"/>
    <w:basedOn w:val="aff3"/>
    <w:qFormat/>
    <w:rsid w:val="00335D60"/>
    <w:rPr>
      <w:color w:val="800080"/>
      <w:u w:val="single"/>
    </w:rPr>
  </w:style>
  <w:style w:type="character" w:styleId="afff1">
    <w:name w:val="Hyperlink"/>
    <w:basedOn w:val="aff3"/>
    <w:qFormat/>
    <w:rsid w:val="00335D60"/>
    <w:rPr>
      <w:color w:val="0000FF"/>
      <w:spacing w:val="0"/>
      <w:w w:val="100"/>
      <w:szCs w:val="21"/>
      <w:u w:val="single"/>
    </w:rPr>
  </w:style>
  <w:style w:type="character" w:styleId="afff2">
    <w:name w:val="footnote reference"/>
    <w:basedOn w:val="aff3"/>
    <w:semiHidden/>
    <w:qFormat/>
    <w:rsid w:val="00335D60"/>
    <w:rPr>
      <w:vertAlign w:val="superscript"/>
    </w:rPr>
  </w:style>
  <w:style w:type="table" w:styleId="afff3">
    <w:name w:val="Table Grid"/>
    <w:basedOn w:val="aff4"/>
    <w:qFormat/>
    <w:rsid w:val="00335D60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一级条标题"/>
    <w:next w:val="affc"/>
    <w:qFormat/>
    <w:rsid w:val="00335D60"/>
    <w:pPr>
      <w:numPr>
        <w:ilvl w:val="1"/>
        <w:numId w:val="2"/>
      </w:numPr>
      <w:spacing w:beforeLines="50" w:afterLines="50"/>
      <w:ind w:left="0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qFormat/>
    <w:rsid w:val="00335D60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qFormat/>
    <w:rsid w:val="00335D60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rsid w:val="00335D60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rsid w:val="00335D60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rsid w:val="00335D6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rsid w:val="00335D60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335D60"/>
    <w:pPr>
      <w:numPr>
        <w:ilvl w:val="1"/>
        <w:numId w:val="3"/>
      </w:numPr>
      <w:tabs>
        <w:tab w:val="clear" w:pos="760"/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rsid w:val="00335D6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rsid w:val="00335D60"/>
    <w:pPr>
      <w:numPr>
        <w:ilvl w:val="3"/>
      </w:numPr>
      <w:outlineLvl w:val="4"/>
    </w:pPr>
  </w:style>
  <w:style w:type="paragraph" w:customStyle="1" w:styleId="a1">
    <w:name w:val="示例"/>
    <w:next w:val="afff7"/>
    <w:qFormat/>
    <w:rsid w:val="00335D60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qFormat/>
    <w:rsid w:val="00335D60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rsid w:val="00335D60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rsid w:val="00335D60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rsid w:val="00335D60"/>
    <w:pPr>
      <w:numPr>
        <w:ilvl w:val="5"/>
      </w:numPr>
      <w:outlineLvl w:val="6"/>
    </w:pPr>
  </w:style>
  <w:style w:type="paragraph" w:customStyle="1" w:styleId="aff1">
    <w:name w:val="注："/>
    <w:next w:val="affc"/>
    <w:qFormat/>
    <w:rsid w:val="00335D60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rsid w:val="00335D60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rsid w:val="00335D60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rsid w:val="00335D60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rsid w:val="00335D60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335D6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qFormat/>
    <w:rsid w:val="00335D60"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qFormat/>
    <w:rsid w:val="00335D60"/>
  </w:style>
  <w:style w:type="paragraph" w:customStyle="1" w:styleId="a3">
    <w:name w:val="注×：（正文）"/>
    <w:qFormat/>
    <w:rsid w:val="00335D60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qFormat/>
    <w:rsid w:val="00335D60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qFormat/>
    <w:rsid w:val="00335D6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qFormat/>
    <w:rsid w:val="00335D60"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qFormat/>
    <w:rsid w:val="00335D60"/>
    <w:pPr>
      <w:jc w:val="left"/>
    </w:pPr>
  </w:style>
  <w:style w:type="paragraph" w:customStyle="1" w:styleId="afffe">
    <w:name w:val="标准书眉一"/>
    <w:qFormat/>
    <w:rsid w:val="00335D60"/>
    <w:pPr>
      <w:jc w:val="both"/>
    </w:pPr>
  </w:style>
  <w:style w:type="paragraph" w:customStyle="1" w:styleId="affff">
    <w:name w:val="参考文献"/>
    <w:basedOn w:val="aff2"/>
    <w:next w:val="affc"/>
    <w:qFormat/>
    <w:rsid w:val="00335D6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qFormat/>
    <w:rsid w:val="00335D6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c"/>
    <w:qFormat/>
    <w:rsid w:val="00335D6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qFormat/>
    <w:rsid w:val="00335D60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qFormat/>
    <w:rsid w:val="00335D6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rsid w:val="00335D6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qFormat/>
    <w:rsid w:val="00335D6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qFormat/>
    <w:rsid w:val="00335D6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qFormat/>
    <w:rsid w:val="00335D60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qFormat/>
    <w:rsid w:val="00335D60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qFormat/>
    <w:rsid w:val="00335D60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qFormat/>
    <w:rsid w:val="00335D60"/>
    <w:pPr>
      <w:jc w:val="both"/>
    </w:pPr>
  </w:style>
  <w:style w:type="paragraph" w:customStyle="1" w:styleId="af8">
    <w:name w:val="附录标识"/>
    <w:basedOn w:val="aff2"/>
    <w:next w:val="affc"/>
    <w:qFormat/>
    <w:rsid w:val="00335D60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qFormat/>
    <w:rsid w:val="00335D60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qFormat/>
    <w:rsid w:val="00335D60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qFormat/>
    <w:rsid w:val="00335D6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rsid w:val="00335D6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qFormat/>
    <w:rsid w:val="00335D6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1"/>
    <w:qFormat/>
    <w:rsid w:val="00335D60"/>
  </w:style>
  <w:style w:type="paragraph" w:customStyle="1" w:styleId="affffd">
    <w:name w:val="附录公式编号制表符"/>
    <w:basedOn w:val="aff2"/>
    <w:next w:val="affc"/>
    <w:qFormat/>
    <w:rsid w:val="00335D6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qFormat/>
    <w:rsid w:val="00335D60"/>
    <w:pPr>
      <w:numPr>
        <w:ilvl w:val="4"/>
      </w:numPr>
      <w:outlineLvl w:val="4"/>
    </w:pPr>
  </w:style>
  <w:style w:type="paragraph" w:customStyle="1" w:styleId="affffe">
    <w:name w:val="附录三级无"/>
    <w:basedOn w:val="afc"/>
    <w:qFormat/>
    <w:rsid w:val="00335D6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335D60"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qFormat/>
    <w:rsid w:val="00335D60"/>
    <w:pPr>
      <w:numPr>
        <w:ilvl w:val="5"/>
      </w:numPr>
      <w:outlineLvl w:val="5"/>
    </w:pPr>
  </w:style>
  <w:style w:type="paragraph" w:customStyle="1" w:styleId="afffff">
    <w:name w:val="附录四级无"/>
    <w:basedOn w:val="afd"/>
    <w:qFormat/>
    <w:rsid w:val="00335D6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335D60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qFormat/>
    <w:rsid w:val="00335D6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rsid w:val="00335D60"/>
    <w:pPr>
      <w:numPr>
        <w:ilvl w:val="6"/>
      </w:numPr>
      <w:outlineLvl w:val="6"/>
    </w:pPr>
  </w:style>
  <w:style w:type="paragraph" w:customStyle="1" w:styleId="afffff0">
    <w:name w:val="附录五级无"/>
    <w:basedOn w:val="afe"/>
    <w:qFormat/>
    <w:rsid w:val="00335D6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qFormat/>
    <w:rsid w:val="00335D6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qFormat/>
    <w:rsid w:val="00335D6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1">
    <w:name w:val="附录一级无"/>
    <w:basedOn w:val="afa"/>
    <w:qFormat/>
    <w:rsid w:val="00335D6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335D60"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qFormat/>
    <w:rsid w:val="00335D60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qFormat/>
    <w:rsid w:val="00335D60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qFormat/>
    <w:rsid w:val="00335D60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qFormat/>
    <w:rsid w:val="00335D60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qFormat/>
    <w:rsid w:val="00335D6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qFormat/>
    <w:rsid w:val="00335D6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qFormat/>
    <w:rsid w:val="00335D6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qFormat/>
    <w:rsid w:val="00335D60"/>
    <w:pPr>
      <w:spacing w:beforeLines="0" w:afterLines="0"/>
    </w:pPr>
    <w:rPr>
      <w:rFonts w:ascii="宋体" w:eastAsia="宋体"/>
    </w:rPr>
  </w:style>
  <w:style w:type="paragraph" w:customStyle="1" w:styleId="afffffa">
    <w:name w:val="实施日期"/>
    <w:basedOn w:val="affff2"/>
    <w:qFormat/>
    <w:rsid w:val="00335D60"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rsid w:val="00335D60"/>
    <w:pPr>
      <w:ind w:firstLine="360"/>
    </w:pPr>
    <w:rPr>
      <w:sz w:val="18"/>
    </w:rPr>
  </w:style>
  <w:style w:type="paragraph" w:customStyle="1" w:styleId="a0">
    <w:name w:val="首示例"/>
    <w:next w:val="affc"/>
    <w:link w:val="Char2"/>
    <w:qFormat/>
    <w:rsid w:val="00335D60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qFormat/>
    <w:rsid w:val="00335D60"/>
    <w:pPr>
      <w:spacing w:beforeLines="0" w:afterLines="0"/>
    </w:pPr>
    <w:rPr>
      <w:rFonts w:ascii="宋体" w:eastAsia="宋体"/>
    </w:rPr>
  </w:style>
  <w:style w:type="paragraph" w:customStyle="1" w:styleId="afffffd">
    <w:name w:val="条文脚注"/>
    <w:basedOn w:val="af"/>
    <w:qFormat/>
    <w:rsid w:val="00335D60"/>
    <w:pPr>
      <w:numPr>
        <w:numId w:val="0"/>
      </w:numPr>
      <w:jc w:val="both"/>
    </w:pPr>
  </w:style>
  <w:style w:type="paragraph" w:customStyle="1" w:styleId="afffffe">
    <w:name w:val="图标脚注说明"/>
    <w:basedOn w:val="affc"/>
    <w:qFormat/>
    <w:rsid w:val="00335D60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rsid w:val="00335D60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rsid w:val="00335D60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qFormat/>
    <w:rsid w:val="00335D60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qFormat/>
    <w:rsid w:val="00335D60"/>
    <w:pPr>
      <w:spacing w:beforeLines="0" w:afterLines="0"/>
    </w:pPr>
    <w:rPr>
      <w:rFonts w:ascii="宋体" w:eastAsia="宋体"/>
    </w:rPr>
  </w:style>
  <w:style w:type="paragraph" w:customStyle="1" w:styleId="affffff2">
    <w:name w:val="一级无"/>
    <w:basedOn w:val="a5"/>
    <w:qFormat/>
    <w:rsid w:val="00335D60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qFormat/>
    <w:rsid w:val="00335D60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rsid w:val="00335D60"/>
    <w:pPr>
      <w:ind w:firstLineChars="0" w:firstLine="0"/>
    </w:pPr>
  </w:style>
  <w:style w:type="paragraph" w:customStyle="1" w:styleId="af4">
    <w:name w:val="正文图标题"/>
    <w:next w:val="affc"/>
    <w:qFormat/>
    <w:rsid w:val="00335D60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qFormat/>
    <w:rsid w:val="00335D60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qFormat/>
    <w:rsid w:val="00335D60"/>
    <w:pPr>
      <w:framePr w:wrap="around" w:vAnchor="page" w:hAnchor="text" w:x="1419"/>
    </w:pPr>
  </w:style>
  <w:style w:type="paragraph" w:customStyle="1" w:styleId="affffff6">
    <w:name w:val="其他实施日期"/>
    <w:basedOn w:val="afffffa"/>
    <w:qFormat/>
    <w:rsid w:val="00335D60"/>
    <w:pPr>
      <w:framePr w:wrap="around"/>
    </w:pPr>
  </w:style>
  <w:style w:type="paragraph" w:customStyle="1" w:styleId="22">
    <w:name w:val="封面标准名称2"/>
    <w:basedOn w:val="affff4"/>
    <w:qFormat/>
    <w:rsid w:val="00335D60"/>
    <w:pPr>
      <w:framePr w:wrap="around" w:y="4469"/>
      <w:spacing w:beforeLines="630"/>
    </w:pPr>
  </w:style>
  <w:style w:type="paragraph" w:customStyle="1" w:styleId="23">
    <w:name w:val="封面标准英文名称2"/>
    <w:basedOn w:val="affff5"/>
    <w:qFormat/>
    <w:rsid w:val="00335D60"/>
    <w:pPr>
      <w:framePr w:wrap="around" w:y="4469"/>
    </w:pPr>
  </w:style>
  <w:style w:type="paragraph" w:customStyle="1" w:styleId="24">
    <w:name w:val="封面一致性程度标识2"/>
    <w:basedOn w:val="affff6"/>
    <w:qFormat/>
    <w:rsid w:val="00335D60"/>
    <w:pPr>
      <w:framePr w:wrap="around" w:y="4469"/>
    </w:pPr>
  </w:style>
  <w:style w:type="paragraph" w:customStyle="1" w:styleId="25">
    <w:name w:val="封面标准文稿类别2"/>
    <w:basedOn w:val="affff7"/>
    <w:qFormat/>
    <w:rsid w:val="00335D60"/>
    <w:pPr>
      <w:framePr w:wrap="around" w:y="4469"/>
    </w:pPr>
  </w:style>
  <w:style w:type="paragraph" w:customStyle="1" w:styleId="26">
    <w:name w:val="封面标准文稿编辑信息2"/>
    <w:basedOn w:val="affff8"/>
    <w:qFormat/>
    <w:rsid w:val="00335D60"/>
    <w:pPr>
      <w:framePr w:wrap="around" w:y="4469"/>
    </w:pPr>
  </w:style>
  <w:style w:type="character" w:customStyle="1" w:styleId="Char0">
    <w:name w:val="段 Char"/>
    <w:basedOn w:val="aff3"/>
    <w:link w:val="affc"/>
    <w:qFormat/>
    <w:rsid w:val="00335D60"/>
    <w:rPr>
      <w:rFonts w:ascii="宋体"/>
      <w:sz w:val="21"/>
      <w:lang w:val="en-US" w:eastAsia="zh-CN" w:bidi="ar-SA"/>
    </w:rPr>
  </w:style>
  <w:style w:type="character" w:customStyle="1" w:styleId="affffff7">
    <w:name w:val="发布"/>
    <w:basedOn w:val="aff3"/>
    <w:qFormat/>
    <w:rsid w:val="00335D6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1">
    <w:name w:val="附录公式 Char"/>
    <w:basedOn w:val="Char0"/>
    <w:link w:val="affffc"/>
    <w:qFormat/>
    <w:rsid w:val="00335D60"/>
    <w:rPr>
      <w:rFonts w:ascii="宋体"/>
      <w:sz w:val="21"/>
      <w:lang w:val="en-US" w:eastAsia="zh-CN" w:bidi="ar-SA"/>
    </w:rPr>
  </w:style>
  <w:style w:type="character" w:customStyle="1" w:styleId="Char2">
    <w:name w:val="首示例 Char"/>
    <w:basedOn w:val="aff3"/>
    <w:link w:val="a0"/>
    <w:qFormat/>
    <w:rsid w:val="00335D60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Char">
    <w:name w:val="文档结构图 Char"/>
    <w:link w:val="aff7"/>
    <w:uiPriority w:val="99"/>
    <w:semiHidden/>
    <w:rsid w:val="00AF653F"/>
    <w:rPr>
      <w:kern w:val="2"/>
      <w:sz w:val="21"/>
      <w:szCs w:val="24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6">
    <w:name w:val="index 6"/>
    <w:basedOn w:val="aff2"/>
    <w:next w:val="aff2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semiHidden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qFormat/>
    <w:pPr>
      <w:snapToGrid w:val="0"/>
      <w:jc w:val="left"/>
    </w:pPr>
  </w:style>
  <w:style w:type="paragraph" w:styleId="aff9">
    <w:name w:val="footer"/>
    <w:basedOn w:val="aff2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qFormat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semiHidden/>
    <w:qFormat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0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qFormat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affd">
    <w:name w:val="Normal (Web)"/>
    <w:basedOn w:val="aff2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e">
    <w:name w:val="endnote reference"/>
    <w:basedOn w:val="aff3"/>
    <w:semiHidden/>
    <w:qFormat/>
    <w:rPr>
      <w:vertAlign w:val="superscript"/>
    </w:rPr>
  </w:style>
  <w:style w:type="character" w:styleId="afff">
    <w:name w:val="page number"/>
    <w:basedOn w:val="aff3"/>
    <w:qFormat/>
    <w:rPr>
      <w:rFonts w:ascii="Times New Roman" w:eastAsia="宋体" w:hAnsi="Times New Roman"/>
      <w:sz w:val="18"/>
    </w:rPr>
  </w:style>
  <w:style w:type="character" w:styleId="afff0">
    <w:name w:val="FollowedHyperlink"/>
    <w:basedOn w:val="aff3"/>
    <w:qFormat/>
    <w:rPr>
      <w:color w:val="800080"/>
      <w:u w:val="single"/>
    </w:rPr>
  </w:style>
  <w:style w:type="character" w:styleId="afff1">
    <w:name w:val="Hyperlink"/>
    <w:basedOn w:val="aff3"/>
    <w:qFormat/>
    <w:rPr>
      <w:color w:val="0000FF"/>
      <w:spacing w:val="0"/>
      <w:w w:val="100"/>
      <w:szCs w:val="21"/>
      <w:u w:val="single"/>
    </w:rPr>
  </w:style>
  <w:style w:type="character" w:styleId="afff2">
    <w:name w:val="footnote reference"/>
    <w:basedOn w:val="aff3"/>
    <w:semiHidden/>
    <w:qFormat/>
    <w:rPr>
      <w:vertAlign w:val="superscript"/>
    </w:rPr>
  </w:style>
  <w:style w:type="table" w:styleId="afff3">
    <w:name w:val="Table Grid"/>
    <w:basedOn w:val="aff4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一级条标题"/>
    <w:next w:val="affc"/>
    <w:qFormat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clear" w:pos="760"/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pPr>
      <w:numPr>
        <w:ilvl w:val="3"/>
      </w:numPr>
      <w:outlineLvl w:val="4"/>
    </w:pPr>
  </w:style>
  <w:style w:type="paragraph" w:customStyle="1" w:styleId="a1">
    <w:name w:val="示例"/>
    <w:next w:val="afff7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qFormat/>
    <w:pPr>
      <w:jc w:val="left"/>
    </w:pPr>
  </w:style>
  <w:style w:type="paragraph" w:customStyle="1" w:styleId="afffe">
    <w:name w:val="标准书眉一"/>
    <w:qFormat/>
    <w:pPr>
      <w:jc w:val="both"/>
    </w:pPr>
  </w:style>
  <w:style w:type="paragraph" w:customStyle="1" w:styleId="affff">
    <w:name w:val="参考文献"/>
    <w:basedOn w:val="aff2"/>
    <w:next w:val="affc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c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qFormat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qFormat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qFormat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qFormat/>
    <w:pPr>
      <w:jc w:val="both"/>
    </w:pPr>
  </w:style>
  <w:style w:type="paragraph" w:customStyle="1" w:styleId="af8">
    <w:name w:val="附录标识"/>
    <w:basedOn w:val="aff2"/>
    <w:next w:val="affc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qFormat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1"/>
    <w:qFormat/>
  </w:style>
  <w:style w:type="paragraph" w:customStyle="1" w:styleId="affffd">
    <w:name w:val="附录公式编号制表符"/>
    <w:basedOn w:val="aff2"/>
    <w:next w:val="affc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qFormat/>
    <w:pPr>
      <w:numPr>
        <w:ilvl w:val="4"/>
      </w:numPr>
      <w:outlineLvl w:val="4"/>
    </w:pPr>
  </w:style>
  <w:style w:type="paragraph" w:customStyle="1" w:styleId="affffe">
    <w:name w:val="附录三级无"/>
    <w:basedOn w:val="afc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qFormat/>
    <w:pPr>
      <w:numPr>
        <w:ilvl w:val="5"/>
      </w:numPr>
      <w:outlineLvl w:val="5"/>
    </w:pPr>
  </w:style>
  <w:style w:type="paragraph" w:customStyle="1" w:styleId="afffff">
    <w:name w:val="附录四级无"/>
    <w:basedOn w:val="afd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qFormat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pPr>
      <w:numPr>
        <w:ilvl w:val="6"/>
      </w:numPr>
      <w:outlineLvl w:val="6"/>
    </w:pPr>
  </w:style>
  <w:style w:type="paragraph" w:customStyle="1" w:styleId="afffff0">
    <w:name w:val="附录五级无"/>
    <w:basedOn w:val="afe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c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1">
    <w:name w:val="附录一级无"/>
    <w:basedOn w:val="afa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qFormat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a">
    <w:name w:val="实施日期"/>
    <w:basedOn w:val="affff2"/>
    <w:qFormat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2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d">
    <w:name w:val="条文脚注"/>
    <w:basedOn w:val="af"/>
    <w:qFormat/>
    <w:pPr>
      <w:numPr>
        <w:numId w:val="0"/>
      </w:numPr>
      <w:jc w:val="both"/>
    </w:pPr>
  </w:style>
  <w:style w:type="paragraph" w:customStyle="1" w:styleId="afffffe">
    <w:name w:val="图标脚注说明"/>
    <w:basedOn w:val="affc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2">
    <w:name w:val="一级无"/>
    <w:basedOn w:val="a5"/>
    <w:qFormat/>
    <w:pPr>
      <w:spacing w:beforeLines="0" w:before="0" w:afterLines="0" w:after="0"/>
    </w:pPr>
    <w:rPr>
      <w:rFonts w:ascii="宋体" w:eastAsia="宋体"/>
    </w:rPr>
  </w:style>
  <w:style w:type="paragraph" w:customStyle="1" w:styleId="af7">
    <w:name w:val="正文表标题"/>
    <w:next w:val="affc"/>
    <w:qFormat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pPr>
      <w:ind w:firstLineChars="0" w:firstLine="0"/>
    </w:pPr>
  </w:style>
  <w:style w:type="paragraph" w:customStyle="1" w:styleId="af4">
    <w:name w:val="正文图标题"/>
    <w:next w:val="affc"/>
    <w:qFormat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qFormat/>
    <w:pPr>
      <w:framePr w:wrap="around" w:vAnchor="page" w:hAnchor="text" w:x="1419"/>
    </w:pPr>
  </w:style>
  <w:style w:type="paragraph" w:customStyle="1" w:styleId="affffff6">
    <w:name w:val="其他实施日期"/>
    <w:basedOn w:val="afffffa"/>
    <w:qFormat/>
    <w:pPr>
      <w:framePr w:wrap="around"/>
    </w:pPr>
  </w:style>
  <w:style w:type="paragraph" w:customStyle="1" w:styleId="22">
    <w:name w:val="封面标准名称2"/>
    <w:basedOn w:val="affff4"/>
    <w:qFormat/>
    <w:pPr>
      <w:framePr w:wrap="around" w:y="4469"/>
      <w:spacing w:beforeLines="630" w:before="630"/>
    </w:pPr>
  </w:style>
  <w:style w:type="paragraph" w:customStyle="1" w:styleId="23">
    <w:name w:val="封面标准英文名称2"/>
    <w:basedOn w:val="affff5"/>
    <w:qFormat/>
    <w:pPr>
      <w:framePr w:wrap="around" w:y="4469"/>
    </w:pPr>
  </w:style>
  <w:style w:type="paragraph" w:customStyle="1" w:styleId="24">
    <w:name w:val="封面一致性程度标识2"/>
    <w:basedOn w:val="affff6"/>
    <w:qFormat/>
    <w:pPr>
      <w:framePr w:wrap="around" w:y="4469"/>
    </w:pPr>
  </w:style>
  <w:style w:type="paragraph" w:customStyle="1" w:styleId="25">
    <w:name w:val="封面标准文稿类别2"/>
    <w:basedOn w:val="affff7"/>
    <w:qFormat/>
    <w:pPr>
      <w:framePr w:wrap="around" w:y="4469"/>
    </w:pPr>
  </w:style>
  <w:style w:type="paragraph" w:customStyle="1" w:styleId="26">
    <w:name w:val="封面标准文稿编辑信息2"/>
    <w:basedOn w:val="affff8"/>
    <w:qFormat/>
    <w:pPr>
      <w:framePr w:wrap="around" w:y="4469"/>
    </w:pPr>
  </w:style>
  <w:style w:type="character" w:customStyle="1" w:styleId="Char0">
    <w:name w:val="段 Char"/>
    <w:basedOn w:val="aff3"/>
    <w:link w:val="affc"/>
    <w:qFormat/>
    <w:rPr>
      <w:rFonts w:ascii="宋体"/>
      <w:sz w:val="21"/>
      <w:lang w:val="en-US" w:eastAsia="zh-CN" w:bidi="ar-SA"/>
    </w:rPr>
  </w:style>
  <w:style w:type="character" w:customStyle="1" w:styleId="affffff7">
    <w:name w:val="发布"/>
    <w:basedOn w:val="aff3"/>
    <w:qFormat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1">
    <w:name w:val="附录公式 Char"/>
    <w:basedOn w:val="Char0"/>
    <w:link w:val="affffc"/>
    <w:qFormat/>
    <w:rPr>
      <w:rFonts w:ascii="宋体"/>
      <w:sz w:val="21"/>
      <w:lang w:val="en-US" w:eastAsia="zh-CN" w:bidi="ar-SA"/>
    </w:rPr>
  </w:style>
  <w:style w:type="character" w:customStyle="1" w:styleId="Char2">
    <w:name w:val="首示例 Char"/>
    <w:basedOn w:val="aff3"/>
    <w:link w:val="a0"/>
    <w:qFormat/>
    <w:rPr>
      <w:rFonts w:ascii="宋体" w:hAnsi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2522;&#20110;&#20316;&#29289;&#29983;&#38271;&#30417;&#27979;&#35786;&#26029;&#20202;&#65288;CGMD303&#65289;&#30340;&#27700;&#31291;&#29983;&#38271;&#25351;&#26631;&#30417;&#27979;&#25216;&#26415;&#35268;&#3353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DE7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基于作物生长监测诊断仪（CGMD303）的水稻生长指标监测技术规范</Template>
  <TotalTime>848</TotalTime>
  <Pages>7</Pages>
  <Words>598</Words>
  <Characters>3415</Characters>
  <Application>Microsoft Office Word</Application>
  <DocSecurity>0</DocSecurity>
  <Lines>28</Lines>
  <Paragraphs>8</Paragraphs>
  <ScaleCrop>false</ScaleCrop>
  <Company>Microsoft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Administrator</dc:creator>
  <cp:lastModifiedBy>liyd</cp:lastModifiedBy>
  <cp:revision>482</cp:revision>
  <dcterms:created xsi:type="dcterms:W3CDTF">2017-03-30T02:43:00Z</dcterms:created>
  <dcterms:modified xsi:type="dcterms:W3CDTF">2019-12-20T02:23:00Z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