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exact"/>
        <w:jc w:val="lef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附件1</w:t>
      </w:r>
    </w:p>
    <w:p>
      <w:pPr>
        <w:jc w:val="center"/>
        <w:textAlignment w:val="top"/>
        <w:rPr>
          <w:rFonts w:ascii="Verdana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本次检验项目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一、羊肉及副产品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抽检依据是《食品安全国家标准食品中污染物限量》（GB 2762-2017）、整顿办函[2010]50号《食品中可能违法添加的非食用物质和易滥用的食品添加剂名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单(第四批)》、农业部公告第560号《兽药地方标准废止目录》、农业部公告第235号《动物性食品中兽药最高残留限量》、农业部公告第2292号《发布在食品动物中停止使用洛美沙星、培氟沙星、氧氟沙星、诺氟沙星4种兽药的决定》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羊肉抽检项目包括克伦特罗、呋喃唑酮代谢物、呋喃妥因代谢物、呋喃它酮代谢物、呋喃西林代谢物、土霉素、培氟沙星、总汞(以Hg计)、总砷(以As计)、恩诺沙星(以恩诺沙星与环丙沙星之和计)、氟甲喹、氟苯尼考、氧氟沙星、氯霉素、沙丁胺醇、洛美沙星、特布他林、磺胺类(总量)、莱克多巴胺、诺氟沙星、达氟沙星、铅(以Pb计)、铬(以Cr计)、镉(以Cd计)等24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二、牛肉及副产品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农业部公告第2292号《发布在食品动物中停止使用洛美沙星、培氟沙星、氧氟沙星、诺氟沙星4种兽药的决定》、整顿办函[2010]50号《食品中可能违法添加的非食用物质和易滥用的食品添加剂名单(第四批)》、农业部公告第235号《动物性食品中兽药最高残留限量》、《畜禽肉水分限量》（GB 18394-2001）、《食品安全国家标准 食品中污染物限量》（GB 2762-2017）、农业部公告第560号《兽药地方标准废止目录》等标准及产品明示标准和指标的要求。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牛肉抽检项目包括克伦特罗、呋喃唑酮代谢物、呋喃妥因代谢物、呋喃它酮代谢物、呋喃西林代谢物、土霉素、地塞米松、培氟沙星、多西环素(强力霉素)、总汞(以Hg计)、总砷(以As计)、恩诺沙星(以恩诺沙星与环丙沙星之和计)、林可霉素、氟苯尼考、氧氟沙星、氯霉素、水分、水分含量、沙丁胺醇、洛美沙星、牛源性成分、特布他林、猪源性成分、磺胺类(总量)、磺胺类(总量)、莱克多巴胺、诺氟沙星、达氟沙星、铅(以Pb计)、铬(以Cr计)、镉(以Cd计)等31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三、水产品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农业部公告第2292号《发布在食品动物中停止使用洛美沙星、培氟沙星、氧氟沙星、诺氟沙星4种兽药的决定》、农业部公告第235号《动物性食品中兽药最高残留限量》、农业部公告第560号《兽药地方标准废止目录》、《食品安全国家标准 食品中污染物限量》（GB 2762-2017）、《食品安全国家标准鲜、冻动物性水产品》（GB 2733-2015）等标准及产品明示标准和指标的要求。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海水鱼抽检项目包括五氯酚酸钠(以五氯酚计)、呋喃唑酮代谢物、呋喃妥因代谢物、呋喃它酮代谢物、呋喃西林代谢物、土霉素、培氟沙星、孔雀石绿、己烯雌酚、恩诺沙星(以恩诺沙星与环丙沙星之和计)、氟苯尼考、氧氟沙星、氯霉素、洛美沙星、组胺、诺氟沙星、铅(以Pb计)、铬(以Cr计)、镉(以Cd计)等19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淡水鱼抽检项目包括五氯酚酸钠(以五氯酚计)、呋喃唑酮代谢物、呋喃妥因代谢物、呋喃它酮代谢物、呋喃西林代谢物、土霉素、地西泮、培氟沙星、孔雀石绿、己烯雌酚、恩诺沙星(以恩诺沙星与环丙沙星之和计)、氟苯尼考、氧氟沙星、氯霉素、洛美沙星、诺氟沙星、铅(以Pb计)、铬(以Cr计)、镉(以Cd计)等19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淡水蟹抽检项目包括呋喃唑酮代谢物、呋喃妥因代谢物、呋喃它酮代谢物、呋喃西林代谢物、土霉素、孔雀石绿、己烯雌酚、恩诺沙星(以恩诺沙星与环丙沙星之和计)、无机砷(以As计)、氯霉素、甲基汞(以Hg计)、铅(以Pb计)、铬(以Cr计)、镉(以Cd计)等14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海水虾抽检项目包括五氯酚酸钠(以五氯酚计)、呋喃唑酮代谢物、呋喃妥因代谢物、呋喃它酮代谢物、呋喃西林代谢物、四环素、土霉素、培氟沙星、孔雀石绿、己烯雌酚、恩诺沙星(以恩诺沙星与环丙沙星之和计)、氟苯尼考、氧氟沙星、氯霉素、洛美沙星、诺氟沙星、金霉素、铅(以Pb计)、铬(以Cr计)、镉(以Cd计)、雌二醇等21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四、水果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抽检依据是《食品安全国家标准食品中农药最大残留限量》（GB 2763-2016）等标准及产品明示标准和指标的要求。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柑、橘(柑橘类水果)抽检项目包括三唑磷、丙溴磷、克百威、氧乐果、联苯菊酯、苯醚甲环唑等6个指标。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苹果(仁果类水果)抽检项目包括克百威、吡虫啉、多菌灵、敌敌畏、氟虫腈、氧乐果、氯氰菊酯和高效氯氰菊酯、氰戊菊酯和S-氰戊菊酯、苯醚甲环唑等9个指标。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橙(柑橘类水果)抽检项目包括三唑磷、丙溴磷、克百威、氧乐果等4个指标。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香蕉(热带和亚热带水果)抽检项目包括吡唑醚菌酯、百菌清、腈苯唑等3个指标。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猕猴桃(浆果和其他小型水果)抽检项目包括对硫磷、氯唑磷、水胺硫磷、甲基异柳磷、甲拌磷等5个指标。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五、蔬菜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抽检依据是《食品安全国家标准食品中农药最大残留限量》（GB 2763-2016），《豆芽卫生标准》（GB 22556-2008），国家食品药品监督管理总局、农业部、国家卫生和计划生育委员会《关于豆芽生产过程中禁止使用6-苄基腺嘌呤等物质的公告》（2015年第11号）等标准及产品明示标准和指标的要求。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 芹菜(叶菜类蔬菜)抽检项目包括克百威、毒死蜱、氟虫腈、氧乐果、氯氟氰菊酯和高效氯氟氰菊酯、氯氰菊酯和高效氯氰菊酯、水胺硫磷、灭多威、灭线磷、甲拌磷、百菌清等11个指标。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 油麦菜(叶菜类蔬菜)抽检项目包括久效磷、对硫磷、氧乐果、水胺硫磷、灭线磷、甲基对硫磷、甲拌磷、甲胺磷等8个指标。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 韭菜(鳞茎类蔬菜)抽检项目包括乐果、对硫磷、毒死蜱、氧乐果、氯氟氰菊酯和高效氯氟氰菊酯、水胺硫磷、甲拌磷、腐霉利、克百威、氟虫腈、氯唑磷、灭多威等12个指标。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 豇豆(豆类蔬菜)抽检项目包括克百威、敌百虫、氟虫腈、氧乐果、氯唑磷、氯氰菊酯和高效氯氰菊酯、水胺硫磷、灭多威、灭蝇胺、甲基异柳磷、甲拌磷、甲胺磷等12个指标。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 菠菜(叶菜类蔬菜)抽检项目包括克百威、毒死蜱、氟虫腈、氧乐果、氯氰菊酯和高效氯氰菊酯、水胺硫磷、灭多威、甲拌磷、阿维菌素等9个指标。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 大白菜(叶菜类蔬菜)抽检项目包括久效磷、敌敌畏、杀螟硫磷、毒死蜱、氧乐果、水胺硫磷、灭线磷、甲拌磷等8个指标。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 豆芽抽检项目包括4-氯苯氧乙酸钠(以4-氯苯氧乙酸计)、6-苄基腺嘌呤(6-BA)、亚硫酸盐(以SO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计)、恩诺沙星(以恩诺沙星与环丙沙星之和计)、甲硝唑等5个指标。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六、蛋及蛋制品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农业部公告第560号《兽药地方标准废止目录》、农业部公告第235号《动物性食品中兽药最高残留限量》、农业部公告第2292号《发布在食品动物中停止使用洛美沙星、培氟沙星、氧氟沙星、诺氟沙星4种兽药的决定》、《食品安全国家标准食品中百草枯等43种农药最大残留限量》（GB 2763.1-2018）等标准及产品明示标准和指标的要求。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鸡蛋抽检项目包括呋喃唑酮代谢物、呋喃妥因代谢物、呋喃它酮代谢物、呋喃西林代谢物、四环素、土霉素、培氟沙星、多西环素(强力霉素)、恩诺沙星(以恩诺沙星与环丙沙星之和计)、氟苯尼考、氟虫腈(以氟虫腈、氟甲腈、氟虫腈砜和氟虫腈亚砜之和计)、氧氟沙星、氯霉素、诺氟沙星、金刚烷胺、金霉素等16个指标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七、罐头食品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>
      <w:pPr>
        <w:widowControl w:val="0"/>
        <w:wordWrap w:val="0"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抽检依据是《食品安全国家标准罐头食品》（GB7098-2015）、《食品安全国家标准 食品添加剂使用标准》（GB 2760-2014）等标准及产品明示标准和指标的要求。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>
      <w:pPr>
        <w:widowControl w:val="0"/>
        <w:wordWrap/>
        <w:adjustRightInd/>
        <w:snapToGrid/>
        <w:spacing w:before="4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水果罐头抽检项目包括二氧化硫残留量、商业无菌、甜蜜素(以环己基氨基磺酸计)、糖精钠(以糖精计)、脱氢乙酸及其钠盐(以脱氢乙酸计)等5个指标。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</w:pPr>
    <w:r>
      <w:rPr>
        <w:rFonts w:ascii="Calibri" w:hAnsi="Calibri" w:eastAsia="宋体" w:cs="黑体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formatting="1" w:enforcement="1" w:cryptProviderType="rsaFull" w:cryptAlgorithmClass="hash" w:cryptAlgorithmType="typeAny" w:cryptAlgorithmSid="4" w:cryptSpinCount="0" w:hash="8+J5PhOIXX8dwDnOs9pDzKkdoGk=" w:salt="hBH/bUR0K+VpngfanXgBI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D503EF"/>
    <w:rsid w:val="006B64DB"/>
    <w:rsid w:val="00D503EF"/>
    <w:rsid w:val="0ABE3DDB"/>
    <w:rsid w:val="18C57524"/>
    <w:rsid w:val="2BA17711"/>
    <w:rsid w:val="35171DDF"/>
    <w:rsid w:val="35C833EF"/>
    <w:rsid w:val="3FB179CA"/>
    <w:rsid w:val="4B225B17"/>
    <w:rsid w:val="54C605FA"/>
    <w:rsid w:val="593B5A21"/>
    <w:rsid w:val="636E6A9A"/>
    <w:rsid w:val="67C809A2"/>
    <w:rsid w:val="6C3F62D9"/>
    <w:rsid w:val="6E9003AB"/>
    <w:rsid w:val="733B7399"/>
    <w:rsid w:val="737B7D9E"/>
    <w:rsid w:val="741B1EB8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sz w:val="27"/>
      <w:szCs w:val="27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页眉 Char"/>
    <w:basedOn w:val="6"/>
    <w:link w:val="5"/>
    <w:uiPriority w:val="0"/>
    <w:rPr>
      <w:rFonts w:ascii="Calibri" w:hAnsi="Calibri" w:eastAsia="宋体" w:cs="黑体"/>
      <w:sz w:val="18"/>
      <w:szCs w:val="18"/>
    </w:rPr>
  </w:style>
  <w:style w:type="character" w:customStyle="1" w:styleId="10">
    <w:name w:val="页脚 Char"/>
    <w:basedOn w:val="6"/>
    <w:link w:val="4"/>
    <w:uiPriority w:val="0"/>
    <w:rPr>
      <w:rFonts w:ascii="Calibri" w:hAnsi="Calibri" w:eastAsia="宋体" w:cs="黑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CFQS</Company>
  <Pages>7</Pages>
  <Words>2991</Words>
  <Characters>299</Characters>
  <Lines>2</Lines>
  <Paragraphs>6</Paragraphs>
  <ScaleCrop>false</ScaleCrop>
  <LinksUpToDate>false</LinksUpToDate>
  <CharactersWithSpaces>0</CharactersWithSpaces>
  <Application>WPS Office 专业版_9.1.0.5012_F1E327BC-269C-435d-A152-05C5408002CA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2020-03-24T08:03:00Z</dcterms:created>
  <dc:creator>Apache POI</dc:creator>
  <cp:lastModifiedBy>董廷俊</cp:lastModifiedBy>
  <dcterms:modified xsi:type="dcterms:W3CDTF">2020-03-26T02:38:43Z</dcterms:modified>
  <dc:title>附件1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