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简体" w:hAnsi="仿宋" w:eastAsia="方正小标宋简体" w:cs="方正仿宋简体"/>
          <w:color w:val="000000"/>
          <w:sz w:val="32"/>
          <w:szCs w:val="32"/>
          <w:lang w:eastAsia="zh-CN"/>
        </w:rPr>
      </w:pPr>
      <w:r>
        <w:rPr>
          <w:rFonts w:hint="eastAsia" w:ascii="方正小标宋简体" w:hAnsi="仿宋" w:eastAsia="方正小标宋简体" w:cs="方正仿宋简体"/>
          <w:color w:val="000000"/>
          <w:sz w:val="32"/>
          <w:szCs w:val="32"/>
          <w:lang w:eastAsia="zh-CN"/>
        </w:rPr>
        <w:t>广东省奶嘴质量安全监督抽查实施细则</w:t>
      </w:r>
    </w:p>
    <w:p>
      <w:pPr>
        <w:snapToGrid w:val="0"/>
        <w:spacing w:line="440" w:lineRule="exact"/>
        <w:ind w:firstLine="420" w:firstLineChars="200"/>
        <w:rPr>
          <w:rFonts w:hint="eastAsia" w:ascii="黑体" w:hAnsi="宋体" w:eastAsia="黑体"/>
          <w:color w:val="000000"/>
          <w:szCs w:val="21"/>
        </w:rPr>
      </w:pPr>
      <w:r>
        <w:rPr>
          <w:rFonts w:hint="eastAsia" w:ascii="宋体" w:hAnsi="宋体"/>
          <w:color w:val="000000"/>
          <w:szCs w:val="21"/>
        </w:rPr>
        <w:t>本细则适用于广东省生产</w:t>
      </w:r>
      <w:r>
        <w:rPr>
          <w:rFonts w:hint="eastAsia" w:ascii="宋体" w:hAnsi="宋体"/>
          <w:color w:val="000000"/>
          <w:szCs w:val="21"/>
          <w:lang w:eastAsia="zh-CN"/>
        </w:rPr>
        <w:t>、流通领域中奶嘴的省级</w:t>
      </w:r>
      <w:r>
        <w:rPr>
          <w:rFonts w:hint="eastAsia" w:ascii="宋体" w:hAnsi="宋体"/>
          <w:color w:val="000000"/>
          <w:szCs w:val="21"/>
        </w:rPr>
        <w:t>监督抽查</w:t>
      </w:r>
      <w:r>
        <w:rPr>
          <w:rFonts w:hint="eastAsia" w:ascii="宋体" w:hAnsi="宋体"/>
          <w:color w:val="000000"/>
          <w:szCs w:val="21"/>
          <w:lang w:eastAsia="zh-CN"/>
        </w:rPr>
        <w:t>。</w:t>
      </w:r>
    </w:p>
    <w:p>
      <w:pPr>
        <w:snapToGrid w:val="0"/>
        <w:spacing w:line="440" w:lineRule="exact"/>
        <w:rPr>
          <w:rFonts w:ascii="黑体" w:hAnsi="宋体" w:eastAsia="黑体"/>
          <w:color w:val="000000"/>
          <w:szCs w:val="21"/>
        </w:rPr>
      </w:pPr>
      <w:r>
        <w:rPr>
          <w:rFonts w:hint="eastAsia" w:ascii="黑体" w:hAnsi="宋体" w:eastAsia="黑体"/>
          <w:color w:val="000000"/>
          <w:szCs w:val="21"/>
        </w:rPr>
        <w:t>1 抽样方法</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以随机抽样的方式在被抽样生产者、销售者的待销产品中抽取。</w:t>
      </w:r>
    </w:p>
    <w:p>
      <w:pPr>
        <w:snapToGrid w:val="0"/>
        <w:spacing w:line="440" w:lineRule="exact"/>
        <w:ind w:firstLine="420" w:firstLineChars="200"/>
        <w:rPr>
          <w:rFonts w:ascii="黑体" w:hAnsi="宋体" w:eastAsia="黑体"/>
          <w:color w:val="000000"/>
          <w:szCs w:val="21"/>
        </w:rPr>
      </w:pPr>
      <w:r>
        <w:rPr>
          <w:rFonts w:hint="eastAsia" w:ascii="宋体" w:hAnsi="宋体"/>
          <w:color w:val="000000"/>
          <w:szCs w:val="21"/>
        </w:rPr>
        <w:t>随机数一般可使用随机数表、随机数骰子或扑克牌等方法产生。</w:t>
      </w:r>
      <w:bookmarkStart w:id="0" w:name="_GoBack"/>
      <w:bookmarkEnd w:id="0"/>
    </w:p>
    <w:p>
      <w:pPr>
        <w:snapToGrid w:val="0"/>
        <w:spacing w:line="440" w:lineRule="exact"/>
        <w:outlineLvl w:val="0"/>
        <w:rPr>
          <w:rFonts w:ascii="黑体" w:hAnsi="宋体" w:eastAsia="黑体"/>
          <w:color w:val="000000"/>
          <w:szCs w:val="21"/>
        </w:rPr>
      </w:pPr>
      <w:r>
        <w:rPr>
          <w:rFonts w:hint="eastAsia" w:ascii="黑体" w:hAnsi="宋体" w:eastAsia="黑体"/>
          <w:color w:val="000000"/>
          <w:szCs w:val="21"/>
        </w:rPr>
        <w:t>2 检验依据</w:t>
      </w:r>
    </w:p>
    <w:p>
      <w:pPr>
        <w:adjustRightInd w:val="0"/>
        <w:snapToGrid w:val="0"/>
        <w:spacing w:line="360" w:lineRule="auto"/>
        <w:outlineLvl w:val="1"/>
        <w:rPr>
          <w:rFonts w:ascii="黑体" w:hAnsi="宋体" w:eastAsia="黑体"/>
          <w:szCs w:val="21"/>
        </w:rPr>
      </w:pPr>
    </w:p>
    <w:tbl>
      <w:tblPr>
        <w:tblStyle w:val="15"/>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2775"/>
        <w:gridCol w:w="2695"/>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5" w:hRule="atLeast"/>
        </w:trPr>
        <w:tc>
          <w:tcPr>
            <w:tcW w:w="737" w:type="dxa"/>
            <w:vAlign w:val="center"/>
          </w:tcPr>
          <w:p>
            <w:pPr>
              <w:adjustRightInd w:val="0"/>
              <w:snapToGrid w:val="0"/>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2775" w:type="dxa"/>
            <w:vAlign w:val="center"/>
          </w:tcPr>
          <w:p>
            <w:pPr>
              <w:adjustRightInd w:val="0"/>
              <w:snapToGrid w:val="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检验项目</w:t>
            </w:r>
          </w:p>
        </w:tc>
        <w:tc>
          <w:tcPr>
            <w:tcW w:w="2695" w:type="dxa"/>
            <w:vAlign w:val="center"/>
          </w:tcPr>
          <w:p>
            <w:pPr>
              <w:adjustRightInd w:val="0"/>
              <w:snapToGrid w:val="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检验依据</w:t>
            </w:r>
          </w:p>
        </w:tc>
        <w:tc>
          <w:tcPr>
            <w:tcW w:w="2796" w:type="dxa"/>
            <w:vAlign w:val="center"/>
          </w:tcPr>
          <w:p>
            <w:pPr>
              <w:adjustRightInd w:val="0"/>
              <w:snapToGrid w:val="0"/>
              <w:jc w:val="center"/>
              <w:rPr>
                <w:rFonts w:cs="仿宋" w:asciiTheme="minorEastAsia" w:hAnsiTheme="minorEastAsia" w:eastAsiaTheme="minorEastAsia"/>
                <w:szCs w:val="21"/>
              </w:rPr>
            </w:pPr>
            <w:r>
              <w:rPr>
                <w:rFonts w:hint="eastAsia" w:cs="仿宋" w:asciiTheme="minorEastAsia" w:hAnsiTheme="minorEastAsia" w:eastAsiaTheme="minorEastAsia"/>
                <w:szCs w:val="21"/>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vAlign w:val="center"/>
          </w:tcPr>
          <w:p>
            <w:pPr>
              <w:jc w:val="center"/>
              <w:textAlignment w:val="center"/>
              <w:rPr>
                <w:rFonts w:ascii="宋体" w:hAnsi="宋体" w:cs="宋体"/>
                <w:color w:val="000000"/>
              </w:rPr>
            </w:pPr>
            <w:r>
              <w:rPr>
                <w:rFonts w:hint="eastAsia" w:ascii="宋体" w:hAnsi="宋体" w:cs="宋体"/>
                <w:color w:val="000000"/>
                <w:lang w:bidi="ar"/>
              </w:rPr>
              <w:t>1</w:t>
            </w:r>
          </w:p>
        </w:tc>
        <w:tc>
          <w:tcPr>
            <w:tcW w:w="2775" w:type="dxa"/>
            <w:vAlign w:val="center"/>
          </w:tcPr>
          <w:p>
            <w:pPr>
              <w:jc w:val="center"/>
              <w:textAlignment w:val="center"/>
              <w:rPr>
                <w:rFonts w:ascii="宋体" w:hAnsi="宋体" w:cs="宋体"/>
                <w:color w:val="000000"/>
              </w:rPr>
            </w:pPr>
            <w:r>
              <w:rPr>
                <w:rFonts w:hint="eastAsia" w:ascii="宋体" w:hAnsi="宋体" w:cs="宋体"/>
                <w:color w:val="000000"/>
                <w:lang w:bidi="ar"/>
              </w:rPr>
              <w:t>总迁移量</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31604.8-2016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2</w:t>
            </w:r>
          </w:p>
        </w:tc>
        <w:tc>
          <w:tcPr>
            <w:tcW w:w="2775" w:type="dxa"/>
            <w:tcBorders>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高锰酸钾消耗量</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31604.2-2016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3</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重金属</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31604.9-2016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4</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锌（Zn）迁移量</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31604.42-2016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5</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挥发性物质</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28482-2012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6</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2,6-二-叔丁基对甲苯酚迁移量</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28482-2012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7</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2,2'-亚甲基双-（4-甲基-6-叔丁基苯酚）迁移量</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28482-2012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8</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N-亚硝胺和N-亚硝胺可生成物释放量（人工唾液）（N-亚硝胺）</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28482-2012</w:t>
            </w:r>
            <w:r>
              <w:rPr>
                <w:rFonts w:hint="eastAsia" w:ascii="宋体" w:hAnsi="宋体" w:cs="宋体"/>
                <w:color w:val="000000"/>
                <w:lang w:bidi="ar"/>
              </w:rPr>
              <w:br w:type="textWrapping"/>
            </w:r>
            <w:r>
              <w:rPr>
                <w:rFonts w:hint="eastAsia" w:ascii="宋体" w:hAnsi="宋体" w:cs="宋体"/>
                <w:color w:val="000000"/>
                <w:lang w:bidi="ar"/>
              </w:rPr>
              <w:t>GB/T 24153-2009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9</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lang w:bidi="ar"/>
              </w:rPr>
              <w:t>N-亚硝胺和N-亚硝胺可生成物释放量（人工唾液）（N-亚硝胺可生成物）</w:t>
            </w:r>
          </w:p>
        </w:tc>
        <w:tc>
          <w:tcPr>
            <w:tcW w:w="2695" w:type="dxa"/>
            <w:vAlign w:val="center"/>
          </w:tcPr>
          <w:p>
            <w:pPr>
              <w:jc w:val="center"/>
              <w:textAlignment w:val="center"/>
              <w:rPr>
                <w:rFonts w:ascii="宋体" w:hAnsi="宋体" w:cs="宋体"/>
                <w:color w:val="000000"/>
              </w:rPr>
            </w:pPr>
            <w:r>
              <w:rPr>
                <w:rFonts w:hint="eastAsia" w:ascii="宋体" w:hAnsi="宋体" w:cs="宋体"/>
                <w:color w:val="000000"/>
                <w:lang w:bidi="ar"/>
              </w:rPr>
              <w:t>GB 4806.2-2015 3.3</w:t>
            </w:r>
          </w:p>
        </w:tc>
        <w:tc>
          <w:tcPr>
            <w:tcW w:w="2796" w:type="dxa"/>
            <w:vAlign w:val="center"/>
          </w:tcPr>
          <w:p>
            <w:pPr>
              <w:jc w:val="center"/>
              <w:textAlignment w:val="center"/>
              <w:rPr>
                <w:rFonts w:ascii="宋体" w:hAnsi="宋体" w:cs="宋体"/>
                <w:color w:val="000000"/>
              </w:rPr>
            </w:pPr>
            <w:r>
              <w:rPr>
                <w:rFonts w:hint="eastAsia" w:ascii="宋体" w:hAnsi="宋体" w:cs="宋体"/>
                <w:color w:val="000000"/>
                <w:lang w:bidi="ar"/>
              </w:rPr>
              <w:t>GB 28482-2012</w:t>
            </w:r>
            <w:r>
              <w:rPr>
                <w:rFonts w:hint="eastAsia" w:ascii="宋体" w:hAnsi="宋体" w:cs="宋体"/>
                <w:color w:val="000000"/>
                <w:lang w:bidi="ar"/>
              </w:rPr>
              <w:br w:type="textWrapping"/>
            </w:r>
            <w:r>
              <w:rPr>
                <w:rFonts w:hint="eastAsia" w:ascii="宋体" w:hAnsi="宋体" w:cs="宋体"/>
                <w:color w:val="000000"/>
                <w:lang w:bidi="ar"/>
              </w:rPr>
              <w:t>GB/T 24153-2009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lang w:bidi="ar"/>
              </w:rPr>
            </w:pPr>
            <w:r>
              <w:rPr>
                <w:rFonts w:hint="eastAsia" w:ascii="宋体" w:hAnsi="宋体" w:cs="宋体"/>
                <w:color w:val="000000"/>
                <w:lang w:bidi="ar"/>
              </w:rPr>
              <w:t>10</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lang w:bidi="ar"/>
              </w:rPr>
            </w:pPr>
            <w:r>
              <w:rPr>
                <w:rFonts w:hint="eastAsia" w:ascii="宋体" w:hAnsi="宋体" w:cs="宋体"/>
                <w:color w:val="000000"/>
                <w:lang w:bidi="ar"/>
              </w:rPr>
              <w:t>感官要求</w:t>
            </w:r>
          </w:p>
        </w:tc>
        <w:tc>
          <w:tcPr>
            <w:tcW w:w="2695" w:type="dxa"/>
            <w:vAlign w:val="center"/>
          </w:tcPr>
          <w:p>
            <w:pPr>
              <w:jc w:val="center"/>
              <w:textAlignment w:val="center"/>
              <w:rPr>
                <w:rFonts w:ascii="宋体" w:hAnsi="宋体" w:cs="宋体"/>
                <w:color w:val="000000"/>
                <w:lang w:bidi="ar"/>
              </w:rPr>
            </w:pPr>
            <w:r>
              <w:rPr>
                <w:rFonts w:hint="eastAsia" w:ascii="宋体" w:hAnsi="宋体" w:cs="宋体"/>
                <w:color w:val="000000"/>
                <w:lang w:bidi="ar"/>
              </w:rPr>
              <w:t>GB 4806.2-2015 3.2</w:t>
            </w:r>
          </w:p>
        </w:tc>
        <w:tc>
          <w:tcPr>
            <w:tcW w:w="2796" w:type="dxa"/>
            <w:vAlign w:val="center"/>
          </w:tcPr>
          <w:p>
            <w:pPr>
              <w:jc w:val="center"/>
              <w:textAlignment w:val="center"/>
              <w:rPr>
                <w:rFonts w:ascii="宋体" w:hAnsi="宋体" w:cs="宋体"/>
                <w:color w:val="000000"/>
                <w:lang w:bidi="ar"/>
              </w:rPr>
            </w:pPr>
            <w:r>
              <w:rPr>
                <w:rFonts w:hint="eastAsia" w:ascii="宋体" w:hAnsi="宋体" w:cs="宋体"/>
                <w:color w:val="000000"/>
                <w:lang w:bidi="ar"/>
              </w:rPr>
              <w:t>GB 4806.2-2015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737" w:type="dxa"/>
            <w:tcBorders>
              <w:top w:val="single" w:color="auto" w:sz="4" w:space="0"/>
              <w:bottom w:val="single" w:color="auto" w:sz="4" w:space="0"/>
            </w:tcBorders>
            <w:vAlign w:val="center"/>
          </w:tcPr>
          <w:p>
            <w:pPr>
              <w:jc w:val="center"/>
              <w:textAlignment w:val="center"/>
              <w:rPr>
                <w:rFonts w:ascii="宋体" w:hAnsi="宋体" w:cs="宋体"/>
                <w:color w:val="000000"/>
                <w:lang w:bidi="ar"/>
              </w:rPr>
            </w:pPr>
            <w:r>
              <w:rPr>
                <w:rFonts w:hint="eastAsia" w:ascii="宋体" w:hAnsi="宋体" w:cs="宋体"/>
                <w:color w:val="000000"/>
                <w:lang w:bidi="ar"/>
              </w:rPr>
              <w:t>11</w:t>
            </w:r>
          </w:p>
        </w:tc>
        <w:tc>
          <w:tcPr>
            <w:tcW w:w="2775" w:type="dxa"/>
            <w:tcBorders>
              <w:top w:val="single" w:color="auto" w:sz="4" w:space="0"/>
              <w:bottom w:val="single" w:color="auto" w:sz="4" w:space="0"/>
            </w:tcBorders>
            <w:vAlign w:val="center"/>
          </w:tcPr>
          <w:p>
            <w:pPr>
              <w:jc w:val="center"/>
              <w:textAlignment w:val="center"/>
              <w:rPr>
                <w:rFonts w:ascii="宋体" w:hAnsi="宋体" w:cs="宋体"/>
                <w:color w:val="000000"/>
                <w:lang w:bidi="ar"/>
              </w:rPr>
            </w:pPr>
            <w:r>
              <w:rPr>
                <w:rFonts w:hint="eastAsia" w:ascii="宋体" w:hAnsi="宋体" w:cs="宋体"/>
                <w:color w:val="000000"/>
                <w:lang w:bidi="ar"/>
              </w:rPr>
              <w:t>塑化剂</w:t>
            </w:r>
          </w:p>
        </w:tc>
        <w:tc>
          <w:tcPr>
            <w:tcW w:w="2695" w:type="dxa"/>
            <w:vAlign w:val="center"/>
          </w:tcPr>
          <w:p>
            <w:pPr>
              <w:jc w:val="center"/>
              <w:textAlignment w:val="center"/>
              <w:rPr>
                <w:rFonts w:ascii="宋体" w:hAnsi="宋体" w:cs="宋体"/>
                <w:color w:val="000000"/>
                <w:lang w:bidi="ar"/>
              </w:rPr>
            </w:pPr>
            <w:r>
              <w:rPr>
                <w:rFonts w:hint="eastAsia" w:ascii="宋体" w:hAnsi="宋体" w:cs="宋体"/>
                <w:color w:val="000000"/>
                <w:lang w:bidi="ar"/>
              </w:rPr>
              <w:t>GB 9685-2016 附录A.1</w:t>
            </w:r>
          </w:p>
        </w:tc>
        <w:tc>
          <w:tcPr>
            <w:tcW w:w="2796" w:type="dxa"/>
            <w:vAlign w:val="center"/>
          </w:tcPr>
          <w:p>
            <w:pPr>
              <w:jc w:val="center"/>
              <w:textAlignment w:val="center"/>
              <w:rPr>
                <w:rFonts w:ascii="宋体" w:hAnsi="宋体" w:cs="宋体"/>
                <w:color w:val="000000"/>
                <w:lang w:bidi="ar"/>
              </w:rPr>
            </w:pPr>
            <w:r>
              <w:rPr>
                <w:rFonts w:hint="eastAsia" w:ascii="宋体" w:hAnsi="宋体" w:cs="宋体"/>
                <w:color w:val="000000"/>
                <w:lang w:bidi="ar"/>
              </w:rPr>
              <w:t>GB 31604.30-2016</w:t>
            </w:r>
          </w:p>
        </w:tc>
      </w:tr>
    </w:tbl>
    <w:p>
      <w:pPr>
        <w:adjustRightInd w:val="0"/>
        <w:snapToGrid w:val="0"/>
        <w:spacing w:line="360" w:lineRule="auto"/>
        <w:ind w:firstLine="420" w:firstLineChars="200"/>
        <w:rPr>
          <w:rFonts w:ascii="宋体" w:hAnsi="宋体"/>
          <w:szCs w:val="21"/>
        </w:rPr>
      </w:pPr>
      <w:r>
        <w:rPr>
          <w:rFonts w:hint="eastAsia" w:ascii="宋体" w:hAnsi="宋体"/>
          <w:szCs w:val="21"/>
        </w:rPr>
        <w:t>凡是注日期的文件，其随后所有的修改单（不包括勘误的内容）或修订版不适用于本细则。凡是不注日期的文件，其最新版本适用于本细则。</w:t>
      </w:r>
    </w:p>
    <w:p>
      <w:pPr>
        <w:spacing w:before="156" w:beforeLines="50" w:line="360" w:lineRule="auto"/>
        <w:ind w:left="420" w:hanging="420" w:hangingChars="200"/>
        <w:outlineLvl w:val="0"/>
        <w:rPr>
          <w:rFonts w:ascii="黑体" w:hAnsi="黑体" w:eastAsia="黑体"/>
          <w:color w:val="000000"/>
          <w:szCs w:val="21"/>
        </w:rPr>
      </w:pPr>
      <w:r>
        <w:rPr>
          <w:rFonts w:hint="eastAsia" w:ascii="黑体" w:hAnsi="黑体" w:eastAsia="黑体"/>
          <w:color w:val="000000"/>
          <w:szCs w:val="21"/>
        </w:rPr>
        <w:t>3 判定规则</w:t>
      </w:r>
    </w:p>
    <w:p>
      <w:pPr>
        <w:snapToGrid w:val="0"/>
        <w:spacing w:line="440" w:lineRule="exact"/>
        <w:rPr>
          <w:rFonts w:ascii="宋体" w:hAnsi="宋体"/>
          <w:color w:val="000000"/>
          <w:szCs w:val="21"/>
        </w:rPr>
      </w:pPr>
      <w:r>
        <w:rPr>
          <w:rFonts w:hint="eastAsia" w:ascii="宋体" w:hAnsi="宋体"/>
          <w:color w:val="000000"/>
          <w:szCs w:val="21"/>
        </w:rPr>
        <w:t>3.1 依据标准</w:t>
      </w:r>
    </w:p>
    <w:p>
      <w:pPr>
        <w:adjustRightInd w:val="0"/>
        <w:snapToGrid w:val="0"/>
        <w:spacing w:line="360" w:lineRule="auto"/>
        <w:ind w:firstLine="420" w:firstLineChars="200"/>
        <w:rPr>
          <w:rFonts w:ascii="宋体" w:hAnsi="宋体"/>
          <w:szCs w:val="21"/>
        </w:rPr>
      </w:pPr>
      <w:r>
        <w:rPr>
          <w:rFonts w:hint="eastAsia" w:ascii="宋体" w:hAnsi="宋体"/>
          <w:szCs w:val="21"/>
        </w:rPr>
        <w:t>GB 4806.2-2015 食品安全国家标准 奶嘴</w:t>
      </w:r>
    </w:p>
    <w:p>
      <w:pPr>
        <w:adjustRightInd w:val="0"/>
        <w:snapToGrid w:val="0"/>
        <w:spacing w:line="360" w:lineRule="auto"/>
        <w:ind w:firstLine="420" w:firstLineChars="200"/>
        <w:rPr>
          <w:rFonts w:ascii="宋体" w:hAnsi="宋体"/>
          <w:szCs w:val="21"/>
        </w:rPr>
      </w:pPr>
      <w:r>
        <w:rPr>
          <w:rFonts w:hint="eastAsia" w:ascii="宋体" w:hAnsi="宋体"/>
          <w:szCs w:val="21"/>
        </w:rPr>
        <w:t>GB 9685-2016 食品安全国家标准  食品接触材料及制品用添加剂使用标准</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现行有效的企业标准、团体标准、地方标准及产品明示质量要求</w:t>
      </w:r>
    </w:p>
    <w:p>
      <w:pPr>
        <w:snapToGrid w:val="0"/>
        <w:spacing w:line="440" w:lineRule="exact"/>
        <w:outlineLvl w:val="0"/>
        <w:rPr>
          <w:rFonts w:ascii="宋体" w:hAnsi="宋体"/>
          <w:color w:val="000000"/>
          <w:szCs w:val="21"/>
        </w:rPr>
      </w:pPr>
      <w:r>
        <w:rPr>
          <w:rFonts w:hint="eastAsia" w:ascii="宋体" w:hAnsi="宋体"/>
          <w:color w:val="000000"/>
          <w:szCs w:val="21"/>
        </w:rPr>
        <w:t>3.2判定原则</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黑体" w:hAnsi="宋体" w:eastAsia="黑体"/>
          <w:szCs w:val="21"/>
        </w:rPr>
      </w:pPr>
      <w:r>
        <w:rPr>
          <w:rFonts w:hint="eastAsia" w:ascii="宋体" w:hAnsi="宋体"/>
          <w:color w:val="000000"/>
          <w:szCs w:val="21"/>
        </w:rPr>
        <w:t>若被检产品明示的质量要求缺少本细则中检验项目依据的推荐性标准要求时，该项目不参与判定。</w:t>
      </w:r>
    </w:p>
    <w:p>
      <w:pPr>
        <w:adjustRightInd w:val="0"/>
        <w:snapToGrid w:val="0"/>
        <w:spacing w:line="360" w:lineRule="auto"/>
        <w:ind w:firstLine="420" w:firstLineChars="200"/>
        <w:rPr>
          <w:rFonts w:ascii="黑体" w:hAnsi="宋体" w:eastAsia="黑体"/>
          <w:szCs w:val="21"/>
        </w:rPr>
      </w:pPr>
    </w:p>
    <w:sectPr>
      <w:headerReference r:id="rId3" w:type="default"/>
      <w:footerReference r:id="rId4" w:type="default"/>
      <w:pgSz w:w="11906" w:h="16838"/>
      <w:pgMar w:top="1418" w:right="1418" w:bottom="1361" w:left="1701" w:header="567" w:footer="80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Noto Sans Mono CJK JP Regular">
    <w:altName w:val="Arial"/>
    <w:panose1 w:val="00000000000000000000"/>
    <w:charset w:val="00"/>
    <w:family w:val="swiss"/>
    <w:pitch w:val="default"/>
    <w:sig w:usb0="00000000" w:usb1="00000000" w:usb2="00000000" w:usb3="00000000" w:csb0="00000000"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4F"/>
    <w:rsid w:val="00001811"/>
    <w:rsid w:val="00002126"/>
    <w:rsid w:val="00007951"/>
    <w:rsid w:val="0001333F"/>
    <w:rsid w:val="00013CA2"/>
    <w:rsid w:val="0002483B"/>
    <w:rsid w:val="00026150"/>
    <w:rsid w:val="000276A8"/>
    <w:rsid w:val="00027ED4"/>
    <w:rsid w:val="00034C13"/>
    <w:rsid w:val="00035C88"/>
    <w:rsid w:val="00040A1C"/>
    <w:rsid w:val="0004100D"/>
    <w:rsid w:val="00041ADE"/>
    <w:rsid w:val="00042533"/>
    <w:rsid w:val="00043529"/>
    <w:rsid w:val="000448B8"/>
    <w:rsid w:val="00046ED5"/>
    <w:rsid w:val="00047F73"/>
    <w:rsid w:val="000518F1"/>
    <w:rsid w:val="00052AA1"/>
    <w:rsid w:val="00052DB3"/>
    <w:rsid w:val="000551A7"/>
    <w:rsid w:val="000568DB"/>
    <w:rsid w:val="00061578"/>
    <w:rsid w:val="00062031"/>
    <w:rsid w:val="00065005"/>
    <w:rsid w:val="0006674B"/>
    <w:rsid w:val="000708B7"/>
    <w:rsid w:val="0007477D"/>
    <w:rsid w:val="00076E47"/>
    <w:rsid w:val="000800B6"/>
    <w:rsid w:val="00091265"/>
    <w:rsid w:val="00091762"/>
    <w:rsid w:val="00093E79"/>
    <w:rsid w:val="000978C3"/>
    <w:rsid w:val="000A2CE6"/>
    <w:rsid w:val="000A3CF2"/>
    <w:rsid w:val="000A7405"/>
    <w:rsid w:val="000A7CC6"/>
    <w:rsid w:val="000B3A0C"/>
    <w:rsid w:val="000B3ACA"/>
    <w:rsid w:val="000B4BD6"/>
    <w:rsid w:val="000B7A58"/>
    <w:rsid w:val="000C21FD"/>
    <w:rsid w:val="000C2343"/>
    <w:rsid w:val="000C697B"/>
    <w:rsid w:val="000D2D9F"/>
    <w:rsid w:val="000E1B57"/>
    <w:rsid w:val="000E484C"/>
    <w:rsid w:val="000E5848"/>
    <w:rsid w:val="000E6A16"/>
    <w:rsid w:val="000F11E1"/>
    <w:rsid w:val="000F1F14"/>
    <w:rsid w:val="000F55B7"/>
    <w:rsid w:val="000F5EB2"/>
    <w:rsid w:val="00102F5F"/>
    <w:rsid w:val="001043D0"/>
    <w:rsid w:val="00104CD9"/>
    <w:rsid w:val="00111F75"/>
    <w:rsid w:val="00112AAB"/>
    <w:rsid w:val="00113343"/>
    <w:rsid w:val="00114798"/>
    <w:rsid w:val="00117C92"/>
    <w:rsid w:val="00120E8B"/>
    <w:rsid w:val="00123975"/>
    <w:rsid w:val="00124710"/>
    <w:rsid w:val="0012526F"/>
    <w:rsid w:val="00126B16"/>
    <w:rsid w:val="0013149C"/>
    <w:rsid w:val="001349CB"/>
    <w:rsid w:val="00141B46"/>
    <w:rsid w:val="0014415E"/>
    <w:rsid w:val="001474B3"/>
    <w:rsid w:val="001515EA"/>
    <w:rsid w:val="0015227C"/>
    <w:rsid w:val="001542D5"/>
    <w:rsid w:val="00157FE8"/>
    <w:rsid w:val="00164CC4"/>
    <w:rsid w:val="00164F65"/>
    <w:rsid w:val="0017151B"/>
    <w:rsid w:val="00176606"/>
    <w:rsid w:val="00180579"/>
    <w:rsid w:val="00181B2C"/>
    <w:rsid w:val="00183FEF"/>
    <w:rsid w:val="0018574F"/>
    <w:rsid w:val="0019055D"/>
    <w:rsid w:val="00192419"/>
    <w:rsid w:val="00193588"/>
    <w:rsid w:val="00194962"/>
    <w:rsid w:val="00196431"/>
    <w:rsid w:val="001969B0"/>
    <w:rsid w:val="00197999"/>
    <w:rsid w:val="001A3639"/>
    <w:rsid w:val="001A378C"/>
    <w:rsid w:val="001A3C4F"/>
    <w:rsid w:val="001A6A48"/>
    <w:rsid w:val="001B7A72"/>
    <w:rsid w:val="001C22A9"/>
    <w:rsid w:val="001C6FF1"/>
    <w:rsid w:val="001D24B4"/>
    <w:rsid w:val="001D348F"/>
    <w:rsid w:val="001D6BA8"/>
    <w:rsid w:val="001D6C2A"/>
    <w:rsid w:val="001E05EE"/>
    <w:rsid w:val="001E25AF"/>
    <w:rsid w:val="001E453E"/>
    <w:rsid w:val="001E51BB"/>
    <w:rsid w:val="001E5F68"/>
    <w:rsid w:val="001E60C5"/>
    <w:rsid w:val="001F176A"/>
    <w:rsid w:val="001F62F4"/>
    <w:rsid w:val="001F7FCA"/>
    <w:rsid w:val="0020525F"/>
    <w:rsid w:val="00205ED8"/>
    <w:rsid w:val="00212A77"/>
    <w:rsid w:val="00212EB1"/>
    <w:rsid w:val="00214191"/>
    <w:rsid w:val="00214559"/>
    <w:rsid w:val="002167D8"/>
    <w:rsid w:val="00216A6C"/>
    <w:rsid w:val="00217289"/>
    <w:rsid w:val="002173CF"/>
    <w:rsid w:val="00221BFC"/>
    <w:rsid w:val="00226A85"/>
    <w:rsid w:val="00227B1D"/>
    <w:rsid w:val="00231EDA"/>
    <w:rsid w:val="0023256B"/>
    <w:rsid w:val="00233800"/>
    <w:rsid w:val="00241786"/>
    <w:rsid w:val="00241965"/>
    <w:rsid w:val="00241D1B"/>
    <w:rsid w:val="00243D86"/>
    <w:rsid w:val="00244AEE"/>
    <w:rsid w:val="002458B7"/>
    <w:rsid w:val="00246C22"/>
    <w:rsid w:val="0025007F"/>
    <w:rsid w:val="0025485E"/>
    <w:rsid w:val="002621D5"/>
    <w:rsid w:val="002621FA"/>
    <w:rsid w:val="00263A5A"/>
    <w:rsid w:val="00266705"/>
    <w:rsid w:val="002708E9"/>
    <w:rsid w:val="00270D41"/>
    <w:rsid w:val="00275835"/>
    <w:rsid w:val="00276DBB"/>
    <w:rsid w:val="00281F6F"/>
    <w:rsid w:val="0028396E"/>
    <w:rsid w:val="002874A4"/>
    <w:rsid w:val="0029065C"/>
    <w:rsid w:val="002921CB"/>
    <w:rsid w:val="0029340C"/>
    <w:rsid w:val="002945BB"/>
    <w:rsid w:val="0029533E"/>
    <w:rsid w:val="002A1D57"/>
    <w:rsid w:val="002A2E93"/>
    <w:rsid w:val="002A33B1"/>
    <w:rsid w:val="002B29E1"/>
    <w:rsid w:val="002B47A3"/>
    <w:rsid w:val="002B67A3"/>
    <w:rsid w:val="002C0BED"/>
    <w:rsid w:val="002C1CA1"/>
    <w:rsid w:val="002C565A"/>
    <w:rsid w:val="002C7CFF"/>
    <w:rsid w:val="002D4DC9"/>
    <w:rsid w:val="002D6F17"/>
    <w:rsid w:val="002E7F58"/>
    <w:rsid w:val="002F0916"/>
    <w:rsid w:val="00302A56"/>
    <w:rsid w:val="00306742"/>
    <w:rsid w:val="00306FAD"/>
    <w:rsid w:val="003119BF"/>
    <w:rsid w:val="0031229D"/>
    <w:rsid w:val="00313E83"/>
    <w:rsid w:val="00323D0D"/>
    <w:rsid w:val="00325595"/>
    <w:rsid w:val="003259A8"/>
    <w:rsid w:val="00330FAE"/>
    <w:rsid w:val="00332E43"/>
    <w:rsid w:val="0033329D"/>
    <w:rsid w:val="00334BE5"/>
    <w:rsid w:val="00336806"/>
    <w:rsid w:val="003368AA"/>
    <w:rsid w:val="0034118B"/>
    <w:rsid w:val="0034516D"/>
    <w:rsid w:val="00347715"/>
    <w:rsid w:val="00347AF8"/>
    <w:rsid w:val="00353981"/>
    <w:rsid w:val="00355A31"/>
    <w:rsid w:val="00356A52"/>
    <w:rsid w:val="003576F6"/>
    <w:rsid w:val="00361122"/>
    <w:rsid w:val="00363EB1"/>
    <w:rsid w:val="0036524B"/>
    <w:rsid w:val="0036549C"/>
    <w:rsid w:val="00365670"/>
    <w:rsid w:val="00365D56"/>
    <w:rsid w:val="003700EA"/>
    <w:rsid w:val="0037490C"/>
    <w:rsid w:val="003809B0"/>
    <w:rsid w:val="00380E06"/>
    <w:rsid w:val="00382203"/>
    <w:rsid w:val="00386E98"/>
    <w:rsid w:val="00390008"/>
    <w:rsid w:val="003935B6"/>
    <w:rsid w:val="003966CE"/>
    <w:rsid w:val="003973A7"/>
    <w:rsid w:val="00397E71"/>
    <w:rsid w:val="003A6A53"/>
    <w:rsid w:val="003B18B2"/>
    <w:rsid w:val="003B2AA2"/>
    <w:rsid w:val="003B7867"/>
    <w:rsid w:val="003C0A00"/>
    <w:rsid w:val="003C23D9"/>
    <w:rsid w:val="003C3A41"/>
    <w:rsid w:val="003C532D"/>
    <w:rsid w:val="003C656E"/>
    <w:rsid w:val="003C6BF6"/>
    <w:rsid w:val="003D0364"/>
    <w:rsid w:val="003D061C"/>
    <w:rsid w:val="003D2426"/>
    <w:rsid w:val="003D29D1"/>
    <w:rsid w:val="003D64C0"/>
    <w:rsid w:val="003D7A09"/>
    <w:rsid w:val="003E0049"/>
    <w:rsid w:val="003E0EA0"/>
    <w:rsid w:val="003E1198"/>
    <w:rsid w:val="003E141F"/>
    <w:rsid w:val="003E15EA"/>
    <w:rsid w:val="003E19B0"/>
    <w:rsid w:val="003E612F"/>
    <w:rsid w:val="003E7CD8"/>
    <w:rsid w:val="003F1F6A"/>
    <w:rsid w:val="003F25D2"/>
    <w:rsid w:val="003F7144"/>
    <w:rsid w:val="00401418"/>
    <w:rsid w:val="004019C4"/>
    <w:rsid w:val="00401DDA"/>
    <w:rsid w:val="00403FE8"/>
    <w:rsid w:val="004053AD"/>
    <w:rsid w:val="004062E6"/>
    <w:rsid w:val="00412786"/>
    <w:rsid w:val="004159F6"/>
    <w:rsid w:val="00415D1D"/>
    <w:rsid w:val="00416148"/>
    <w:rsid w:val="00417416"/>
    <w:rsid w:val="00424A70"/>
    <w:rsid w:val="00431CBF"/>
    <w:rsid w:val="004329D2"/>
    <w:rsid w:val="00432E60"/>
    <w:rsid w:val="0043737C"/>
    <w:rsid w:val="00437A16"/>
    <w:rsid w:val="004401C6"/>
    <w:rsid w:val="00442105"/>
    <w:rsid w:val="0044411C"/>
    <w:rsid w:val="00447A70"/>
    <w:rsid w:val="00451621"/>
    <w:rsid w:val="00451CC3"/>
    <w:rsid w:val="004522D6"/>
    <w:rsid w:val="00453594"/>
    <w:rsid w:val="00454497"/>
    <w:rsid w:val="004562B3"/>
    <w:rsid w:val="00457F1E"/>
    <w:rsid w:val="0046209B"/>
    <w:rsid w:val="004620A6"/>
    <w:rsid w:val="004626C6"/>
    <w:rsid w:val="004651F3"/>
    <w:rsid w:val="00471AE9"/>
    <w:rsid w:val="00471F3C"/>
    <w:rsid w:val="00472552"/>
    <w:rsid w:val="0047526D"/>
    <w:rsid w:val="00475C92"/>
    <w:rsid w:val="00484C4B"/>
    <w:rsid w:val="00486ACE"/>
    <w:rsid w:val="00491879"/>
    <w:rsid w:val="004923C3"/>
    <w:rsid w:val="00492D31"/>
    <w:rsid w:val="004961EF"/>
    <w:rsid w:val="004A0B33"/>
    <w:rsid w:val="004A5520"/>
    <w:rsid w:val="004A5CF2"/>
    <w:rsid w:val="004A6616"/>
    <w:rsid w:val="004A7B3A"/>
    <w:rsid w:val="004B268A"/>
    <w:rsid w:val="004B3DF3"/>
    <w:rsid w:val="004B51C9"/>
    <w:rsid w:val="004C2550"/>
    <w:rsid w:val="004C26C7"/>
    <w:rsid w:val="004C404B"/>
    <w:rsid w:val="004C474E"/>
    <w:rsid w:val="004C60F6"/>
    <w:rsid w:val="004D3258"/>
    <w:rsid w:val="004D4407"/>
    <w:rsid w:val="004D5378"/>
    <w:rsid w:val="004D7899"/>
    <w:rsid w:val="004D7EB8"/>
    <w:rsid w:val="004E0BCD"/>
    <w:rsid w:val="004E28AA"/>
    <w:rsid w:val="004E6505"/>
    <w:rsid w:val="004E70BA"/>
    <w:rsid w:val="004F69D9"/>
    <w:rsid w:val="004F795C"/>
    <w:rsid w:val="00504B81"/>
    <w:rsid w:val="00514FD6"/>
    <w:rsid w:val="00515E95"/>
    <w:rsid w:val="005213E2"/>
    <w:rsid w:val="00523A8C"/>
    <w:rsid w:val="005256DE"/>
    <w:rsid w:val="005304F2"/>
    <w:rsid w:val="0053053E"/>
    <w:rsid w:val="00535D68"/>
    <w:rsid w:val="00537D73"/>
    <w:rsid w:val="005401E8"/>
    <w:rsid w:val="005416FA"/>
    <w:rsid w:val="005429F6"/>
    <w:rsid w:val="0054343C"/>
    <w:rsid w:val="00547196"/>
    <w:rsid w:val="0054769A"/>
    <w:rsid w:val="00550AD1"/>
    <w:rsid w:val="0055303D"/>
    <w:rsid w:val="00553211"/>
    <w:rsid w:val="005572C1"/>
    <w:rsid w:val="00562AFD"/>
    <w:rsid w:val="00562E8B"/>
    <w:rsid w:val="005633BE"/>
    <w:rsid w:val="0056517B"/>
    <w:rsid w:val="005651C6"/>
    <w:rsid w:val="00565B55"/>
    <w:rsid w:val="005663AD"/>
    <w:rsid w:val="00566937"/>
    <w:rsid w:val="005702D3"/>
    <w:rsid w:val="00571CC9"/>
    <w:rsid w:val="00571D69"/>
    <w:rsid w:val="00575686"/>
    <w:rsid w:val="00575C1D"/>
    <w:rsid w:val="00584961"/>
    <w:rsid w:val="00590026"/>
    <w:rsid w:val="00591051"/>
    <w:rsid w:val="0059179B"/>
    <w:rsid w:val="00594D89"/>
    <w:rsid w:val="005956D5"/>
    <w:rsid w:val="005A0145"/>
    <w:rsid w:val="005A2214"/>
    <w:rsid w:val="005A576A"/>
    <w:rsid w:val="005A5B7D"/>
    <w:rsid w:val="005A5D04"/>
    <w:rsid w:val="005A629E"/>
    <w:rsid w:val="005B4D7E"/>
    <w:rsid w:val="005B59E7"/>
    <w:rsid w:val="005C1129"/>
    <w:rsid w:val="005C4330"/>
    <w:rsid w:val="005C480D"/>
    <w:rsid w:val="005C7E50"/>
    <w:rsid w:val="005D1263"/>
    <w:rsid w:val="005E016E"/>
    <w:rsid w:val="005E22BF"/>
    <w:rsid w:val="005E2C84"/>
    <w:rsid w:val="005E314A"/>
    <w:rsid w:val="005F1D56"/>
    <w:rsid w:val="005F422E"/>
    <w:rsid w:val="005F4C97"/>
    <w:rsid w:val="005F7F58"/>
    <w:rsid w:val="00601F2E"/>
    <w:rsid w:val="006026EF"/>
    <w:rsid w:val="00603117"/>
    <w:rsid w:val="006111F9"/>
    <w:rsid w:val="00613995"/>
    <w:rsid w:val="00614213"/>
    <w:rsid w:val="006161BF"/>
    <w:rsid w:val="00617177"/>
    <w:rsid w:val="00623528"/>
    <w:rsid w:val="00623E8C"/>
    <w:rsid w:val="00623E96"/>
    <w:rsid w:val="00625145"/>
    <w:rsid w:val="00627ABE"/>
    <w:rsid w:val="0063201E"/>
    <w:rsid w:val="00632342"/>
    <w:rsid w:val="00634059"/>
    <w:rsid w:val="00636BC0"/>
    <w:rsid w:val="0063712A"/>
    <w:rsid w:val="0064002C"/>
    <w:rsid w:val="006423FB"/>
    <w:rsid w:val="00642A24"/>
    <w:rsid w:val="006437D8"/>
    <w:rsid w:val="00644CAB"/>
    <w:rsid w:val="006475F2"/>
    <w:rsid w:val="00651514"/>
    <w:rsid w:val="00652963"/>
    <w:rsid w:val="00653193"/>
    <w:rsid w:val="00661759"/>
    <w:rsid w:val="00661C90"/>
    <w:rsid w:val="00662B0E"/>
    <w:rsid w:val="00667D42"/>
    <w:rsid w:val="00673CF2"/>
    <w:rsid w:val="00674CE7"/>
    <w:rsid w:val="006847F4"/>
    <w:rsid w:val="00686952"/>
    <w:rsid w:val="0068735A"/>
    <w:rsid w:val="00687FB5"/>
    <w:rsid w:val="006968D1"/>
    <w:rsid w:val="006979A0"/>
    <w:rsid w:val="006A0246"/>
    <w:rsid w:val="006A133A"/>
    <w:rsid w:val="006A141F"/>
    <w:rsid w:val="006A2294"/>
    <w:rsid w:val="006A45EE"/>
    <w:rsid w:val="006B174E"/>
    <w:rsid w:val="006B392F"/>
    <w:rsid w:val="006B45C4"/>
    <w:rsid w:val="006B59EB"/>
    <w:rsid w:val="006B5CCD"/>
    <w:rsid w:val="006B63A6"/>
    <w:rsid w:val="006B7A34"/>
    <w:rsid w:val="006C007C"/>
    <w:rsid w:val="006C1F03"/>
    <w:rsid w:val="006C44E4"/>
    <w:rsid w:val="006D08CB"/>
    <w:rsid w:val="006D2E32"/>
    <w:rsid w:val="006D6E36"/>
    <w:rsid w:val="006D7244"/>
    <w:rsid w:val="006E6CCE"/>
    <w:rsid w:val="006E6F5B"/>
    <w:rsid w:val="006E733C"/>
    <w:rsid w:val="006F2A7E"/>
    <w:rsid w:val="006F64C8"/>
    <w:rsid w:val="006F69BC"/>
    <w:rsid w:val="006F78FF"/>
    <w:rsid w:val="006F7F3F"/>
    <w:rsid w:val="007013DE"/>
    <w:rsid w:val="00704071"/>
    <w:rsid w:val="00706563"/>
    <w:rsid w:val="00710D3E"/>
    <w:rsid w:val="00711F31"/>
    <w:rsid w:val="00712FD3"/>
    <w:rsid w:val="0071462B"/>
    <w:rsid w:val="0071471A"/>
    <w:rsid w:val="0071608D"/>
    <w:rsid w:val="0071616A"/>
    <w:rsid w:val="00721431"/>
    <w:rsid w:val="007214FA"/>
    <w:rsid w:val="007220C7"/>
    <w:rsid w:val="007257E1"/>
    <w:rsid w:val="00725E9E"/>
    <w:rsid w:val="007302F8"/>
    <w:rsid w:val="00730E20"/>
    <w:rsid w:val="00731889"/>
    <w:rsid w:val="007338E6"/>
    <w:rsid w:val="00733A5B"/>
    <w:rsid w:val="007346E5"/>
    <w:rsid w:val="007359E6"/>
    <w:rsid w:val="00741683"/>
    <w:rsid w:val="00743653"/>
    <w:rsid w:val="00755724"/>
    <w:rsid w:val="00761474"/>
    <w:rsid w:val="00763F29"/>
    <w:rsid w:val="00764BC5"/>
    <w:rsid w:val="00764FC4"/>
    <w:rsid w:val="00767592"/>
    <w:rsid w:val="00773386"/>
    <w:rsid w:val="007757EE"/>
    <w:rsid w:val="007765A1"/>
    <w:rsid w:val="00780D15"/>
    <w:rsid w:val="00781032"/>
    <w:rsid w:val="007822CC"/>
    <w:rsid w:val="007832C7"/>
    <w:rsid w:val="00783448"/>
    <w:rsid w:val="007851C7"/>
    <w:rsid w:val="00787685"/>
    <w:rsid w:val="00794E00"/>
    <w:rsid w:val="007950AA"/>
    <w:rsid w:val="00795595"/>
    <w:rsid w:val="007960CF"/>
    <w:rsid w:val="007A28BE"/>
    <w:rsid w:val="007A7C67"/>
    <w:rsid w:val="007B06CA"/>
    <w:rsid w:val="007B0BE2"/>
    <w:rsid w:val="007B7B87"/>
    <w:rsid w:val="007C3737"/>
    <w:rsid w:val="007C52F6"/>
    <w:rsid w:val="007C5717"/>
    <w:rsid w:val="007C6B49"/>
    <w:rsid w:val="007C727B"/>
    <w:rsid w:val="007D0162"/>
    <w:rsid w:val="007D01B1"/>
    <w:rsid w:val="007D0CBA"/>
    <w:rsid w:val="007D234F"/>
    <w:rsid w:val="007D258D"/>
    <w:rsid w:val="007D7DA8"/>
    <w:rsid w:val="007E5321"/>
    <w:rsid w:val="007E7942"/>
    <w:rsid w:val="007E7C33"/>
    <w:rsid w:val="007F084C"/>
    <w:rsid w:val="007F2F19"/>
    <w:rsid w:val="007F4B94"/>
    <w:rsid w:val="00802BCB"/>
    <w:rsid w:val="008056E2"/>
    <w:rsid w:val="00806907"/>
    <w:rsid w:val="00806BF1"/>
    <w:rsid w:val="00806CE8"/>
    <w:rsid w:val="00812B35"/>
    <w:rsid w:val="00820BF1"/>
    <w:rsid w:val="0082114F"/>
    <w:rsid w:val="00822F65"/>
    <w:rsid w:val="008254B2"/>
    <w:rsid w:val="00826F4F"/>
    <w:rsid w:val="008321AB"/>
    <w:rsid w:val="00834DFE"/>
    <w:rsid w:val="00841FFA"/>
    <w:rsid w:val="008456C2"/>
    <w:rsid w:val="008460E4"/>
    <w:rsid w:val="00850DA4"/>
    <w:rsid w:val="0085326A"/>
    <w:rsid w:val="00853315"/>
    <w:rsid w:val="00856EE6"/>
    <w:rsid w:val="00861441"/>
    <w:rsid w:val="00863129"/>
    <w:rsid w:val="00863CAA"/>
    <w:rsid w:val="008671F4"/>
    <w:rsid w:val="00877564"/>
    <w:rsid w:val="008802A3"/>
    <w:rsid w:val="008828DE"/>
    <w:rsid w:val="00887430"/>
    <w:rsid w:val="0089252F"/>
    <w:rsid w:val="008967F8"/>
    <w:rsid w:val="00897625"/>
    <w:rsid w:val="008A3706"/>
    <w:rsid w:val="008A37E8"/>
    <w:rsid w:val="008A53AB"/>
    <w:rsid w:val="008A6E5F"/>
    <w:rsid w:val="008A7245"/>
    <w:rsid w:val="008B18ED"/>
    <w:rsid w:val="008B412B"/>
    <w:rsid w:val="008B442F"/>
    <w:rsid w:val="008B4AD1"/>
    <w:rsid w:val="008B52BB"/>
    <w:rsid w:val="008B7085"/>
    <w:rsid w:val="008C1715"/>
    <w:rsid w:val="008C3F1F"/>
    <w:rsid w:val="008C7B2E"/>
    <w:rsid w:val="008D21F3"/>
    <w:rsid w:val="008D23AB"/>
    <w:rsid w:val="008D71E6"/>
    <w:rsid w:val="008E1757"/>
    <w:rsid w:val="008E5020"/>
    <w:rsid w:val="008F0061"/>
    <w:rsid w:val="008F294B"/>
    <w:rsid w:val="008F5B55"/>
    <w:rsid w:val="008F6AE2"/>
    <w:rsid w:val="00901517"/>
    <w:rsid w:val="00901728"/>
    <w:rsid w:val="009021F5"/>
    <w:rsid w:val="00902A77"/>
    <w:rsid w:val="009036AF"/>
    <w:rsid w:val="00903A2C"/>
    <w:rsid w:val="00904275"/>
    <w:rsid w:val="009047A0"/>
    <w:rsid w:val="009122D1"/>
    <w:rsid w:val="009138FB"/>
    <w:rsid w:val="00916418"/>
    <w:rsid w:val="009165DD"/>
    <w:rsid w:val="009177D5"/>
    <w:rsid w:val="00921D86"/>
    <w:rsid w:val="00923934"/>
    <w:rsid w:val="00923FAB"/>
    <w:rsid w:val="0092771C"/>
    <w:rsid w:val="009315CC"/>
    <w:rsid w:val="00931DC6"/>
    <w:rsid w:val="0093232A"/>
    <w:rsid w:val="00932432"/>
    <w:rsid w:val="00933BF0"/>
    <w:rsid w:val="00933E2D"/>
    <w:rsid w:val="00936497"/>
    <w:rsid w:val="00947DB8"/>
    <w:rsid w:val="00950E9E"/>
    <w:rsid w:val="00962F8F"/>
    <w:rsid w:val="00963ACC"/>
    <w:rsid w:val="00967D3F"/>
    <w:rsid w:val="00967F62"/>
    <w:rsid w:val="00972AA6"/>
    <w:rsid w:val="009759B7"/>
    <w:rsid w:val="0097632A"/>
    <w:rsid w:val="0097636F"/>
    <w:rsid w:val="00976D38"/>
    <w:rsid w:val="00980008"/>
    <w:rsid w:val="009801C1"/>
    <w:rsid w:val="0098029D"/>
    <w:rsid w:val="009804ED"/>
    <w:rsid w:val="0098227F"/>
    <w:rsid w:val="00983D81"/>
    <w:rsid w:val="009875BF"/>
    <w:rsid w:val="00991607"/>
    <w:rsid w:val="00994E11"/>
    <w:rsid w:val="009971E7"/>
    <w:rsid w:val="0099744F"/>
    <w:rsid w:val="009A05E2"/>
    <w:rsid w:val="009A0A31"/>
    <w:rsid w:val="009A19E2"/>
    <w:rsid w:val="009A793B"/>
    <w:rsid w:val="009B0770"/>
    <w:rsid w:val="009B0E45"/>
    <w:rsid w:val="009B431C"/>
    <w:rsid w:val="009B65F0"/>
    <w:rsid w:val="009B7C39"/>
    <w:rsid w:val="009C1D62"/>
    <w:rsid w:val="009D47B6"/>
    <w:rsid w:val="009D671D"/>
    <w:rsid w:val="009D6D0F"/>
    <w:rsid w:val="009E0C44"/>
    <w:rsid w:val="009E1797"/>
    <w:rsid w:val="009E3F16"/>
    <w:rsid w:val="009E6256"/>
    <w:rsid w:val="009E6912"/>
    <w:rsid w:val="009F39AA"/>
    <w:rsid w:val="00A07534"/>
    <w:rsid w:val="00A07DB9"/>
    <w:rsid w:val="00A13A9C"/>
    <w:rsid w:val="00A13EA0"/>
    <w:rsid w:val="00A144E3"/>
    <w:rsid w:val="00A15161"/>
    <w:rsid w:val="00A16C11"/>
    <w:rsid w:val="00A210F7"/>
    <w:rsid w:val="00A2232E"/>
    <w:rsid w:val="00A2352A"/>
    <w:rsid w:val="00A257C6"/>
    <w:rsid w:val="00A26E64"/>
    <w:rsid w:val="00A27F84"/>
    <w:rsid w:val="00A3118D"/>
    <w:rsid w:val="00A33D24"/>
    <w:rsid w:val="00A362A9"/>
    <w:rsid w:val="00A37A17"/>
    <w:rsid w:val="00A4491F"/>
    <w:rsid w:val="00A45BDD"/>
    <w:rsid w:val="00A51361"/>
    <w:rsid w:val="00A51FA4"/>
    <w:rsid w:val="00A61FC5"/>
    <w:rsid w:val="00A63166"/>
    <w:rsid w:val="00A75008"/>
    <w:rsid w:val="00A75582"/>
    <w:rsid w:val="00A82283"/>
    <w:rsid w:val="00A828B2"/>
    <w:rsid w:val="00A83706"/>
    <w:rsid w:val="00A8474C"/>
    <w:rsid w:val="00A85931"/>
    <w:rsid w:val="00A86569"/>
    <w:rsid w:val="00A938D4"/>
    <w:rsid w:val="00A96624"/>
    <w:rsid w:val="00AA1995"/>
    <w:rsid w:val="00AA424F"/>
    <w:rsid w:val="00AA4567"/>
    <w:rsid w:val="00AA5AA2"/>
    <w:rsid w:val="00AA681B"/>
    <w:rsid w:val="00AB1077"/>
    <w:rsid w:val="00AB503C"/>
    <w:rsid w:val="00AB7027"/>
    <w:rsid w:val="00AC1427"/>
    <w:rsid w:val="00AC3CD1"/>
    <w:rsid w:val="00AC5AA8"/>
    <w:rsid w:val="00AC7452"/>
    <w:rsid w:val="00AD01DC"/>
    <w:rsid w:val="00AD08A5"/>
    <w:rsid w:val="00AE3151"/>
    <w:rsid w:val="00AE475B"/>
    <w:rsid w:val="00AE4E92"/>
    <w:rsid w:val="00AE6C07"/>
    <w:rsid w:val="00AF225A"/>
    <w:rsid w:val="00AF4C0C"/>
    <w:rsid w:val="00AF507F"/>
    <w:rsid w:val="00B010E5"/>
    <w:rsid w:val="00B065B6"/>
    <w:rsid w:val="00B134BF"/>
    <w:rsid w:val="00B1495C"/>
    <w:rsid w:val="00B14D0E"/>
    <w:rsid w:val="00B16406"/>
    <w:rsid w:val="00B21186"/>
    <w:rsid w:val="00B25278"/>
    <w:rsid w:val="00B26648"/>
    <w:rsid w:val="00B26B33"/>
    <w:rsid w:val="00B304E5"/>
    <w:rsid w:val="00B31962"/>
    <w:rsid w:val="00B320DE"/>
    <w:rsid w:val="00B32C26"/>
    <w:rsid w:val="00B335BE"/>
    <w:rsid w:val="00B33D87"/>
    <w:rsid w:val="00B34431"/>
    <w:rsid w:val="00B34666"/>
    <w:rsid w:val="00B348F9"/>
    <w:rsid w:val="00B35176"/>
    <w:rsid w:val="00B4120C"/>
    <w:rsid w:val="00B412D6"/>
    <w:rsid w:val="00B44DA1"/>
    <w:rsid w:val="00B44FF7"/>
    <w:rsid w:val="00B478D6"/>
    <w:rsid w:val="00B47FD1"/>
    <w:rsid w:val="00B503C6"/>
    <w:rsid w:val="00B551F1"/>
    <w:rsid w:val="00B57543"/>
    <w:rsid w:val="00B61DD1"/>
    <w:rsid w:val="00B639CB"/>
    <w:rsid w:val="00B715EA"/>
    <w:rsid w:val="00B72539"/>
    <w:rsid w:val="00B72D64"/>
    <w:rsid w:val="00B80A10"/>
    <w:rsid w:val="00B8102D"/>
    <w:rsid w:val="00B816A6"/>
    <w:rsid w:val="00B83F8C"/>
    <w:rsid w:val="00B90C2F"/>
    <w:rsid w:val="00B915B2"/>
    <w:rsid w:val="00B916AE"/>
    <w:rsid w:val="00B96E3E"/>
    <w:rsid w:val="00BA1DCF"/>
    <w:rsid w:val="00BA2E15"/>
    <w:rsid w:val="00BB0D08"/>
    <w:rsid w:val="00BB1A37"/>
    <w:rsid w:val="00BB3947"/>
    <w:rsid w:val="00BB52C8"/>
    <w:rsid w:val="00BC14B5"/>
    <w:rsid w:val="00BC1C92"/>
    <w:rsid w:val="00BD13C6"/>
    <w:rsid w:val="00BD2759"/>
    <w:rsid w:val="00BD2996"/>
    <w:rsid w:val="00BD58D0"/>
    <w:rsid w:val="00BD7C60"/>
    <w:rsid w:val="00BE00C5"/>
    <w:rsid w:val="00BE01F7"/>
    <w:rsid w:val="00BE3DCC"/>
    <w:rsid w:val="00BE5294"/>
    <w:rsid w:val="00BE53BD"/>
    <w:rsid w:val="00BF1FCF"/>
    <w:rsid w:val="00BF318B"/>
    <w:rsid w:val="00BF33FF"/>
    <w:rsid w:val="00BF455F"/>
    <w:rsid w:val="00BF6067"/>
    <w:rsid w:val="00C01D6E"/>
    <w:rsid w:val="00C07B89"/>
    <w:rsid w:val="00C10DE4"/>
    <w:rsid w:val="00C1693A"/>
    <w:rsid w:val="00C21B0D"/>
    <w:rsid w:val="00C254B6"/>
    <w:rsid w:val="00C25AF7"/>
    <w:rsid w:val="00C3169D"/>
    <w:rsid w:val="00C31831"/>
    <w:rsid w:val="00C32C2D"/>
    <w:rsid w:val="00C34390"/>
    <w:rsid w:val="00C34532"/>
    <w:rsid w:val="00C377C6"/>
    <w:rsid w:val="00C43AAB"/>
    <w:rsid w:val="00C51CDC"/>
    <w:rsid w:val="00C53845"/>
    <w:rsid w:val="00C576F6"/>
    <w:rsid w:val="00C6140E"/>
    <w:rsid w:val="00C61AB7"/>
    <w:rsid w:val="00C6559C"/>
    <w:rsid w:val="00C662F1"/>
    <w:rsid w:val="00C74F93"/>
    <w:rsid w:val="00C76246"/>
    <w:rsid w:val="00C771E7"/>
    <w:rsid w:val="00C807C9"/>
    <w:rsid w:val="00C80BDF"/>
    <w:rsid w:val="00C80C6F"/>
    <w:rsid w:val="00C8483C"/>
    <w:rsid w:val="00C860F6"/>
    <w:rsid w:val="00C86167"/>
    <w:rsid w:val="00C90D16"/>
    <w:rsid w:val="00C92D34"/>
    <w:rsid w:val="00C95B76"/>
    <w:rsid w:val="00CA5376"/>
    <w:rsid w:val="00CA672C"/>
    <w:rsid w:val="00CB3A4F"/>
    <w:rsid w:val="00CB6DB8"/>
    <w:rsid w:val="00CC0B3F"/>
    <w:rsid w:val="00CC14DA"/>
    <w:rsid w:val="00CC41BA"/>
    <w:rsid w:val="00CC7284"/>
    <w:rsid w:val="00CD1290"/>
    <w:rsid w:val="00CD1686"/>
    <w:rsid w:val="00CD4890"/>
    <w:rsid w:val="00CD5CA4"/>
    <w:rsid w:val="00CD5D7E"/>
    <w:rsid w:val="00CD6EFD"/>
    <w:rsid w:val="00CD773F"/>
    <w:rsid w:val="00CE3DD3"/>
    <w:rsid w:val="00CF0FE2"/>
    <w:rsid w:val="00CF3019"/>
    <w:rsid w:val="00CF384D"/>
    <w:rsid w:val="00CF568B"/>
    <w:rsid w:val="00CF64FB"/>
    <w:rsid w:val="00D00684"/>
    <w:rsid w:val="00D02787"/>
    <w:rsid w:val="00D07007"/>
    <w:rsid w:val="00D157A0"/>
    <w:rsid w:val="00D15A8B"/>
    <w:rsid w:val="00D205FE"/>
    <w:rsid w:val="00D21653"/>
    <w:rsid w:val="00D23C68"/>
    <w:rsid w:val="00D2783E"/>
    <w:rsid w:val="00D30903"/>
    <w:rsid w:val="00D33DD0"/>
    <w:rsid w:val="00D34466"/>
    <w:rsid w:val="00D34C53"/>
    <w:rsid w:val="00D4329F"/>
    <w:rsid w:val="00D4363C"/>
    <w:rsid w:val="00D516D1"/>
    <w:rsid w:val="00D523A3"/>
    <w:rsid w:val="00D56D87"/>
    <w:rsid w:val="00D63EB7"/>
    <w:rsid w:val="00D663B8"/>
    <w:rsid w:val="00D67FA2"/>
    <w:rsid w:val="00D74562"/>
    <w:rsid w:val="00D83874"/>
    <w:rsid w:val="00D840E0"/>
    <w:rsid w:val="00D85DB6"/>
    <w:rsid w:val="00D97DFC"/>
    <w:rsid w:val="00DA0BE3"/>
    <w:rsid w:val="00DA188A"/>
    <w:rsid w:val="00DA31B9"/>
    <w:rsid w:val="00DA3A3F"/>
    <w:rsid w:val="00DA5C72"/>
    <w:rsid w:val="00DA711F"/>
    <w:rsid w:val="00DB5F7B"/>
    <w:rsid w:val="00DB6B71"/>
    <w:rsid w:val="00DC386B"/>
    <w:rsid w:val="00DC7F22"/>
    <w:rsid w:val="00DD0160"/>
    <w:rsid w:val="00DD1B6D"/>
    <w:rsid w:val="00DD445D"/>
    <w:rsid w:val="00DD6A36"/>
    <w:rsid w:val="00DE2910"/>
    <w:rsid w:val="00DE2EA1"/>
    <w:rsid w:val="00DF0EAD"/>
    <w:rsid w:val="00DF0FB0"/>
    <w:rsid w:val="00DF5295"/>
    <w:rsid w:val="00DF5DCF"/>
    <w:rsid w:val="00DF7CCA"/>
    <w:rsid w:val="00E0101C"/>
    <w:rsid w:val="00E0387A"/>
    <w:rsid w:val="00E10371"/>
    <w:rsid w:val="00E11FAF"/>
    <w:rsid w:val="00E125D9"/>
    <w:rsid w:val="00E12B75"/>
    <w:rsid w:val="00E14B56"/>
    <w:rsid w:val="00E151A6"/>
    <w:rsid w:val="00E17FF9"/>
    <w:rsid w:val="00E25E7F"/>
    <w:rsid w:val="00E263A6"/>
    <w:rsid w:val="00E2747A"/>
    <w:rsid w:val="00E275AE"/>
    <w:rsid w:val="00E30D74"/>
    <w:rsid w:val="00E32970"/>
    <w:rsid w:val="00E3717C"/>
    <w:rsid w:val="00E40E28"/>
    <w:rsid w:val="00E41BDB"/>
    <w:rsid w:val="00E42FC0"/>
    <w:rsid w:val="00E431C7"/>
    <w:rsid w:val="00E4354F"/>
    <w:rsid w:val="00E45CDE"/>
    <w:rsid w:val="00E545AB"/>
    <w:rsid w:val="00E54615"/>
    <w:rsid w:val="00E56FAB"/>
    <w:rsid w:val="00E61063"/>
    <w:rsid w:val="00E615D5"/>
    <w:rsid w:val="00E70566"/>
    <w:rsid w:val="00E72F5A"/>
    <w:rsid w:val="00E74C52"/>
    <w:rsid w:val="00E758FA"/>
    <w:rsid w:val="00E763F3"/>
    <w:rsid w:val="00E77A3A"/>
    <w:rsid w:val="00E86849"/>
    <w:rsid w:val="00E9180C"/>
    <w:rsid w:val="00E94C62"/>
    <w:rsid w:val="00E97D3E"/>
    <w:rsid w:val="00EA777C"/>
    <w:rsid w:val="00EA7E63"/>
    <w:rsid w:val="00EB17E8"/>
    <w:rsid w:val="00EB3244"/>
    <w:rsid w:val="00EB3496"/>
    <w:rsid w:val="00EB3F87"/>
    <w:rsid w:val="00EB4453"/>
    <w:rsid w:val="00EB58F8"/>
    <w:rsid w:val="00EC2E57"/>
    <w:rsid w:val="00EC54CF"/>
    <w:rsid w:val="00EC5B62"/>
    <w:rsid w:val="00EC5C00"/>
    <w:rsid w:val="00EC7190"/>
    <w:rsid w:val="00EC71C1"/>
    <w:rsid w:val="00ED28E6"/>
    <w:rsid w:val="00ED4011"/>
    <w:rsid w:val="00ED4FBE"/>
    <w:rsid w:val="00ED7B83"/>
    <w:rsid w:val="00EE15C3"/>
    <w:rsid w:val="00EE2C38"/>
    <w:rsid w:val="00EE4B54"/>
    <w:rsid w:val="00EE6493"/>
    <w:rsid w:val="00EE7E8F"/>
    <w:rsid w:val="00EF1364"/>
    <w:rsid w:val="00EF215D"/>
    <w:rsid w:val="00EF347B"/>
    <w:rsid w:val="00EF6F2F"/>
    <w:rsid w:val="00F001CB"/>
    <w:rsid w:val="00F00C9F"/>
    <w:rsid w:val="00F00F00"/>
    <w:rsid w:val="00F01C93"/>
    <w:rsid w:val="00F01EDC"/>
    <w:rsid w:val="00F04D22"/>
    <w:rsid w:val="00F054D7"/>
    <w:rsid w:val="00F20F6B"/>
    <w:rsid w:val="00F30F31"/>
    <w:rsid w:val="00F3261E"/>
    <w:rsid w:val="00F32AAE"/>
    <w:rsid w:val="00F33971"/>
    <w:rsid w:val="00F46C52"/>
    <w:rsid w:val="00F548FE"/>
    <w:rsid w:val="00F54C11"/>
    <w:rsid w:val="00F62695"/>
    <w:rsid w:val="00F62D96"/>
    <w:rsid w:val="00F63744"/>
    <w:rsid w:val="00F645C4"/>
    <w:rsid w:val="00F65840"/>
    <w:rsid w:val="00F70FC2"/>
    <w:rsid w:val="00F72071"/>
    <w:rsid w:val="00F81D0B"/>
    <w:rsid w:val="00F83D7D"/>
    <w:rsid w:val="00F85FC7"/>
    <w:rsid w:val="00F8613E"/>
    <w:rsid w:val="00F914F3"/>
    <w:rsid w:val="00F91A63"/>
    <w:rsid w:val="00FA4457"/>
    <w:rsid w:val="00FA58E9"/>
    <w:rsid w:val="00FB424B"/>
    <w:rsid w:val="00FB48C6"/>
    <w:rsid w:val="00FB7337"/>
    <w:rsid w:val="00FC0B10"/>
    <w:rsid w:val="00FC354F"/>
    <w:rsid w:val="00FC5CAB"/>
    <w:rsid w:val="00FD0BC3"/>
    <w:rsid w:val="00FD27B8"/>
    <w:rsid w:val="00FD36C0"/>
    <w:rsid w:val="00FD492C"/>
    <w:rsid w:val="00FE05A1"/>
    <w:rsid w:val="00FE14EC"/>
    <w:rsid w:val="00FE31BD"/>
    <w:rsid w:val="00FE40EC"/>
    <w:rsid w:val="00FF1350"/>
    <w:rsid w:val="00FF2552"/>
    <w:rsid w:val="00FF40CB"/>
    <w:rsid w:val="00FF4729"/>
    <w:rsid w:val="00FF5A8D"/>
    <w:rsid w:val="33685717"/>
    <w:rsid w:val="34D20280"/>
    <w:rsid w:val="38502CA0"/>
    <w:rsid w:val="3BE31272"/>
    <w:rsid w:val="445E6B87"/>
    <w:rsid w:val="4B1C4E3C"/>
    <w:rsid w:val="4C263479"/>
    <w:rsid w:val="517B2470"/>
    <w:rsid w:val="5D8817DD"/>
    <w:rsid w:val="5E0A7BF5"/>
    <w:rsid w:val="69E63958"/>
    <w:rsid w:val="6D57049E"/>
    <w:rsid w:val="6D5A6404"/>
    <w:rsid w:val="6DEA7600"/>
    <w:rsid w:val="6F073170"/>
    <w:rsid w:val="7D5B7E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7"/>
    <w:unhideWhenUsed/>
    <w:qFormat/>
    <w:uiPriority w:val="99"/>
    <w:rPr>
      <w:b/>
      <w:bCs/>
    </w:rPr>
  </w:style>
  <w:style w:type="paragraph" w:styleId="3">
    <w:name w:val="annotation text"/>
    <w:basedOn w:val="1"/>
    <w:link w:val="26"/>
    <w:unhideWhenUsed/>
    <w:qFormat/>
    <w:uiPriority w:val="99"/>
    <w:pPr>
      <w:jc w:val="left"/>
    </w:pPr>
  </w:style>
  <w:style w:type="paragraph" w:styleId="4">
    <w:name w:val="Document Map"/>
    <w:basedOn w:val="1"/>
    <w:link w:val="29"/>
    <w:unhideWhenUsed/>
    <w:uiPriority w:val="99"/>
    <w:rPr>
      <w:rFonts w:ascii="宋体"/>
      <w:sz w:val="18"/>
      <w:szCs w:val="18"/>
    </w:rPr>
  </w:style>
  <w:style w:type="paragraph" w:styleId="5">
    <w:name w:val="Body Text Indent"/>
    <w:basedOn w:val="1"/>
    <w:link w:val="23"/>
    <w:qFormat/>
    <w:uiPriority w:val="0"/>
    <w:pPr>
      <w:ind w:firstLine="600" w:firstLineChars="200"/>
    </w:pPr>
    <w:rPr>
      <w:rFonts w:ascii="Times New Roman" w:hAnsi="Times New Roman" w:eastAsia="仿宋_GB2312"/>
      <w:sz w:val="30"/>
      <w:szCs w:val="24"/>
    </w:rPr>
  </w:style>
  <w:style w:type="paragraph" w:styleId="6">
    <w:name w:val="Plain Text"/>
    <w:basedOn w:val="1"/>
    <w:link w:val="17"/>
    <w:unhideWhenUsed/>
    <w:qFormat/>
    <w:uiPriority w:val="99"/>
    <w:rPr>
      <w:rFonts w:ascii="宋体" w:hAnsi="Courier New"/>
      <w:kern w:val="0"/>
      <w:sz w:val="20"/>
      <w:szCs w:val="20"/>
    </w:rPr>
  </w:style>
  <w:style w:type="paragraph" w:styleId="7">
    <w:name w:val="Balloon Text"/>
    <w:basedOn w:val="1"/>
    <w:link w:val="25"/>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30"/>
    <w:unhideWhenUsed/>
    <w:qFormat/>
    <w:uiPriority w:val="99"/>
    <w:pPr>
      <w:spacing w:after="120" w:line="480" w:lineRule="auto"/>
    </w:p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character" w:styleId="14">
    <w:name w:val="annotation reference"/>
    <w:basedOn w:val="11"/>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纯文本 Char"/>
    <w:basedOn w:val="11"/>
    <w:link w:val="6"/>
    <w:semiHidden/>
    <w:qFormat/>
    <w:uiPriority w:val="99"/>
    <w:rPr>
      <w:rFonts w:ascii="宋体" w:hAnsi="Courier New" w:eastAsia="宋体" w:cs="Times New Roman"/>
      <w:kern w:val="0"/>
      <w:sz w:val="20"/>
      <w:szCs w:val="20"/>
    </w:rPr>
  </w:style>
  <w:style w:type="paragraph" w:customStyle="1" w:styleId="18">
    <w:name w:val="列出段落1"/>
    <w:basedOn w:val="1"/>
    <w:qFormat/>
    <w:uiPriority w:val="34"/>
    <w:pPr>
      <w:ind w:firstLine="420" w:firstLineChars="200"/>
    </w:pPr>
  </w:style>
  <w:style w:type="character" w:customStyle="1" w:styleId="19">
    <w:name w:val="页眉 Char"/>
    <w:basedOn w:val="11"/>
    <w:link w:val="9"/>
    <w:semiHidden/>
    <w:qFormat/>
    <w:uiPriority w:val="99"/>
    <w:rPr>
      <w:rFonts w:ascii="Calibri" w:hAnsi="Calibri" w:eastAsia="宋体" w:cs="Times New Roman"/>
      <w:sz w:val="18"/>
      <w:szCs w:val="18"/>
    </w:rPr>
  </w:style>
  <w:style w:type="character" w:customStyle="1" w:styleId="20">
    <w:name w:val="页脚 Char"/>
    <w:basedOn w:val="11"/>
    <w:link w:val="8"/>
    <w:qFormat/>
    <w:uiPriority w:val="99"/>
    <w:rPr>
      <w:rFonts w:ascii="Calibri" w:hAnsi="Calibri" w:eastAsia="宋体" w:cs="Times New Roman"/>
      <w:sz w:val="18"/>
      <w:szCs w:val="18"/>
    </w:rPr>
  </w:style>
  <w:style w:type="paragraph" w:customStyle="1"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3">
    <w:name w:val="正文文本缩进 Char"/>
    <w:basedOn w:val="11"/>
    <w:link w:val="5"/>
    <w:qFormat/>
    <w:uiPriority w:val="0"/>
    <w:rPr>
      <w:rFonts w:ascii="Times New Roman" w:hAnsi="Times New Roman" w:eastAsia="仿宋_GB2312" w:cs="Times New Roman"/>
      <w:sz w:val="30"/>
      <w:szCs w:val="24"/>
    </w:rPr>
  </w:style>
  <w:style w:type="character" w:customStyle="1" w:styleId="24">
    <w:name w:val="页眉 字符"/>
    <w:qFormat/>
    <w:uiPriority w:val="0"/>
    <w:rPr>
      <w:kern w:val="2"/>
      <w:sz w:val="18"/>
      <w:szCs w:val="18"/>
    </w:rPr>
  </w:style>
  <w:style w:type="character" w:customStyle="1" w:styleId="25">
    <w:name w:val="批注框文本 Char"/>
    <w:basedOn w:val="11"/>
    <w:link w:val="7"/>
    <w:semiHidden/>
    <w:qFormat/>
    <w:uiPriority w:val="99"/>
    <w:rPr>
      <w:rFonts w:ascii="Calibri" w:hAnsi="Calibri" w:eastAsia="宋体" w:cs="Times New Roman"/>
      <w:sz w:val="18"/>
      <w:szCs w:val="18"/>
    </w:rPr>
  </w:style>
  <w:style w:type="character" w:customStyle="1" w:styleId="26">
    <w:name w:val="批注文字 Char"/>
    <w:basedOn w:val="11"/>
    <w:link w:val="3"/>
    <w:semiHidden/>
    <w:qFormat/>
    <w:uiPriority w:val="99"/>
    <w:rPr>
      <w:rFonts w:ascii="Calibri" w:hAnsi="Calibri" w:eastAsia="宋体" w:cs="Times New Roman"/>
    </w:rPr>
  </w:style>
  <w:style w:type="character" w:customStyle="1" w:styleId="27">
    <w:name w:val="批注主题 Char"/>
    <w:basedOn w:val="26"/>
    <w:link w:val="2"/>
    <w:semiHidden/>
    <w:qFormat/>
    <w:uiPriority w:val="99"/>
    <w:rPr>
      <w:rFonts w:ascii="Calibri" w:hAnsi="Calibri" w:eastAsia="宋体" w:cs="Times New Roman"/>
      <w:b/>
      <w:bCs/>
    </w:rPr>
  </w:style>
  <w:style w:type="paragraph" w:customStyle="1" w:styleId="28">
    <w:name w:val="修订1"/>
    <w:hidden/>
    <w:semiHidden/>
    <w:qFormat/>
    <w:uiPriority w:val="99"/>
    <w:rPr>
      <w:rFonts w:ascii="Calibri" w:hAnsi="Calibri" w:eastAsia="宋体" w:cs="Times New Roman"/>
      <w:kern w:val="2"/>
      <w:sz w:val="21"/>
      <w:szCs w:val="22"/>
      <w:lang w:val="en-US" w:eastAsia="zh-CN" w:bidi="ar-SA"/>
    </w:rPr>
  </w:style>
  <w:style w:type="character" w:customStyle="1" w:styleId="29">
    <w:name w:val="文档结构图 Char"/>
    <w:basedOn w:val="11"/>
    <w:link w:val="4"/>
    <w:semiHidden/>
    <w:qFormat/>
    <w:uiPriority w:val="99"/>
    <w:rPr>
      <w:rFonts w:ascii="宋体" w:hAnsi="Calibri" w:eastAsia="宋体" w:cs="Times New Roman"/>
      <w:kern w:val="2"/>
      <w:sz w:val="18"/>
      <w:szCs w:val="18"/>
    </w:rPr>
  </w:style>
  <w:style w:type="character" w:customStyle="1" w:styleId="30">
    <w:name w:val="正文文本 2 Char"/>
    <w:basedOn w:val="11"/>
    <w:link w:val="10"/>
    <w:qFormat/>
    <w:uiPriority w:val="99"/>
    <w:rPr>
      <w:rFonts w:ascii="Calibri" w:hAnsi="Calibri" w:eastAsia="宋体" w:cs="Times New Roman"/>
      <w:kern w:val="2"/>
      <w:sz w:val="21"/>
      <w:szCs w:val="22"/>
    </w:rPr>
  </w:style>
  <w:style w:type="character" w:customStyle="1" w:styleId="31">
    <w:name w:val="apple-converted-space"/>
    <w:basedOn w:val="11"/>
    <w:qFormat/>
    <w:uiPriority w:val="0"/>
  </w:style>
  <w:style w:type="character" w:customStyle="1" w:styleId="32">
    <w:name w:val="fontstyle01"/>
    <w:qFormat/>
    <w:uiPriority w:val="0"/>
    <w:rPr>
      <w:rFonts w:ascii="黑体" w:hAnsi="宋体" w:eastAsia="黑体" w:cs="黑体"/>
      <w:color w:val="000000"/>
      <w:sz w:val="32"/>
      <w:szCs w:val="32"/>
    </w:rPr>
  </w:style>
  <w:style w:type="paragraph" w:customStyle="1" w:styleId="33">
    <w:name w:val="Table Paragraph"/>
    <w:basedOn w:val="1"/>
    <w:qFormat/>
    <w:uiPriority w:val="1"/>
    <w:pPr>
      <w:autoSpaceDE w:val="0"/>
      <w:autoSpaceDN w:val="0"/>
      <w:ind w:left="107"/>
      <w:jc w:val="left"/>
    </w:pPr>
    <w:rPr>
      <w:rFonts w:ascii="Noto Sans Mono CJK JP Regular" w:hAnsi="Noto Sans Mono CJK JP Regular" w:eastAsia="Noto Sans Mono CJK JP Regular" w:cs="Noto Sans Mono CJK JP Regular"/>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5D0C0-620D-4D6E-9DC0-BC14845888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176</Words>
  <Characters>1009</Characters>
  <Lines>8</Lines>
  <Paragraphs>2</Paragraphs>
  <TotalTime>0</TotalTime>
  <ScaleCrop>false</ScaleCrop>
  <LinksUpToDate>false</LinksUpToDate>
  <CharactersWithSpaces>1183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2020-03-11T08:47:00Z</dcterms:created>
  <dc:creator>Windows 用户</dc:creator>
  <cp:lastModifiedBy>冼嘉雯</cp:lastModifiedBy>
  <cp:lastPrinted>2018-05-02T07:03:00Z</cp:lastPrinted>
  <dcterms:modified xsi:type="dcterms:W3CDTF">2020-03-16T07:58:56Z</dcterms:modified>
  <dc:title>广东省奶嘴质量安全监督抽查实施细则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