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95" w:rsidRDefault="00F923ED" w:rsidP="00176F14">
      <w:pPr>
        <w:spacing w:line="44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2</w:t>
      </w:r>
    </w:p>
    <w:p w:rsidR="00EC0095" w:rsidRDefault="00F923ED">
      <w:pPr>
        <w:spacing w:line="520" w:lineRule="exact"/>
        <w:ind w:firstLineChars="200" w:firstLine="832"/>
        <w:jc w:val="center"/>
        <w:rPr>
          <w:rFonts w:ascii="方正小标宋简体" w:eastAsia="方正小标宋简体" w:hint="eastAsia"/>
          <w:spacing w:val="-12"/>
          <w:sz w:val="44"/>
          <w:szCs w:val="44"/>
        </w:rPr>
      </w:pPr>
      <w:r>
        <w:rPr>
          <w:rFonts w:ascii="方正小标宋简体" w:eastAsia="方正小标宋简体" w:hint="eastAsia"/>
          <w:spacing w:val="-12"/>
          <w:sz w:val="44"/>
          <w:szCs w:val="44"/>
        </w:rPr>
        <w:t>部分不合格项目的小知识</w:t>
      </w:r>
    </w:p>
    <w:p w:rsidR="00EC0095" w:rsidRDefault="00EC0095">
      <w:pPr>
        <w:spacing w:line="440" w:lineRule="exact"/>
        <w:ind w:firstLineChars="200" w:firstLine="592"/>
        <w:jc w:val="center"/>
        <w:rPr>
          <w:rFonts w:ascii="仿宋" w:eastAsia="仿宋" w:hAnsi="仿宋" w:cs="仿宋"/>
          <w:spacing w:val="-12"/>
          <w:sz w:val="32"/>
          <w:szCs w:val="32"/>
        </w:rPr>
      </w:pPr>
    </w:p>
    <w:p w:rsidR="00EC0095" w:rsidRDefault="00F923ED">
      <w:pPr>
        <w:spacing w:line="400" w:lineRule="exact"/>
        <w:ind w:firstLineChars="200" w:firstLine="640"/>
        <w:outlineLvl w:val="0"/>
        <w:rPr>
          <w:rFonts w:ascii="黑体" w:eastAsia="黑体" w:hAnsi="黑体" w:cs="黑体"/>
          <w:sz w:val="32"/>
          <w:szCs w:val="32"/>
        </w:rPr>
      </w:pPr>
      <w:r>
        <w:rPr>
          <w:rFonts w:ascii="黑体" w:eastAsia="黑体" w:hAnsi="黑体" w:hint="eastAsia"/>
          <w:sz w:val="32"/>
          <w:szCs w:val="32"/>
        </w:rPr>
        <w:t>一</w:t>
      </w:r>
      <w:r>
        <w:rPr>
          <w:rFonts w:ascii="黑体" w:eastAsia="黑体" w:hAnsi="黑体" w:cs="黑体" w:hint="eastAsia"/>
          <w:sz w:val="32"/>
          <w:szCs w:val="32"/>
        </w:rPr>
        <w:t>、过氧化值</w:t>
      </w:r>
    </w:p>
    <w:p w:rsidR="00EC0095" w:rsidRDefault="00F923ED">
      <w:pPr>
        <w:spacing w:line="400" w:lineRule="exact"/>
        <w:ind w:firstLineChars="200" w:firstLine="640"/>
        <w:rPr>
          <w:rFonts w:ascii="Times New Roman" w:eastAsia="仿宋_GB2312" w:hAnsi="Times New Roman"/>
          <w:sz w:val="32"/>
          <w:szCs w:val="32"/>
        </w:rPr>
      </w:pPr>
      <w:r>
        <w:rPr>
          <w:rFonts w:ascii="仿宋" w:eastAsia="仿宋" w:hAnsi="仿宋" w:cs="仿宋" w:hint="eastAsia"/>
          <w:kern w:val="0"/>
          <w:sz w:val="32"/>
          <w:szCs w:val="32"/>
        </w:rPr>
        <w:t>过氧化值主要反映食品中油脂是否氧化变质。随着油脂氧化，过氧化值会逐步升高。</w:t>
      </w:r>
      <w:r>
        <w:rPr>
          <w:rFonts w:ascii="仿宋" w:eastAsia="仿宋" w:hAnsi="仿宋" w:cs="仿宋" w:hint="eastAsia"/>
          <w:kern w:val="0"/>
          <w:sz w:val="32"/>
          <w:szCs w:val="32"/>
        </w:rPr>
        <w:t>食品</w:t>
      </w:r>
      <w:r>
        <w:rPr>
          <w:rFonts w:ascii="仿宋" w:eastAsia="仿宋" w:hAnsi="仿宋" w:cs="仿宋" w:hint="eastAsia"/>
          <w:kern w:val="0"/>
          <w:sz w:val="32"/>
          <w:szCs w:val="32"/>
        </w:rPr>
        <w:t>中过氧化值超标的原因，可能是</w:t>
      </w:r>
      <w:r>
        <w:rPr>
          <w:rFonts w:ascii="仿宋" w:eastAsia="仿宋" w:hAnsi="仿宋" w:cs="仿宋" w:hint="eastAsia"/>
          <w:sz w:val="32"/>
          <w:szCs w:val="32"/>
        </w:rPr>
        <w:t>产品在储</w:t>
      </w:r>
      <w:r>
        <w:rPr>
          <w:rFonts w:ascii="仿宋" w:eastAsia="仿宋" w:hAnsi="仿宋" w:cs="仿宋" w:hint="eastAsia"/>
          <w:sz w:val="32"/>
          <w:szCs w:val="32"/>
        </w:rPr>
        <w:t>运</w:t>
      </w:r>
      <w:r>
        <w:rPr>
          <w:rFonts w:ascii="仿宋" w:eastAsia="仿宋" w:hAnsi="仿宋" w:cs="仿宋" w:hint="eastAsia"/>
          <w:sz w:val="32"/>
          <w:szCs w:val="32"/>
        </w:rPr>
        <w:t>过程中环境条件控制不当</w:t>
      </w:r>
      <w:r>
        <w:rPr>
          <w:rFonts w:ascii="仿宋" w:eastAsia="仿宋" w:hAnsi="仿宋" w:cs="仿宋" w:hint="eastAsia"/>
          <w:sz w:val="32"/>
          <w:szCs w:val="32"/>
        </w:rPr>
        <w:t>，</w:t>
      </w:r>
      <w:r>
        <w:rPr>
          <w:rFonts w:ascii="仿宋" w:eastAsia="仿宋" w:hAnsi="仿宋" w:cs="仿宋" w:hint="eastAsia"/>
          <w:sz w:val="32"/>
          <w:szCs w:val="32"/>
        </w:rPr>
        <w:t>也可能是原料储存不当，未采取有效的抗氧化措施，导致原料中的脂肪氧化，使得终产品油脂氧化。</w:t>
      </w:r>
    </w:p>
    <w:p w:rsidR="00EC0095" w:rsidRDefault="00F923ED">
      <w:pPr>
        <w:spacing w:line="4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二、铝的残留量</w:t>
      </w:r>
    </w:p>
    <w:p w:rsidR="00EC0095" w:rsidRDefault="00F923ED">
      <w:pPr>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硫酸铝钾（又名钾明矾）、硫酸铝铵（又名铵明矾）是食品加工中常用的膨松剂和稳定剂，使用后产生铝残留。</w:t>
      </w:r>
      <w:r>
        <w:rPr>
          <w:rFonts w:ascii="仿宋" w:eastAsia="仿宋" w:hAnsi="仿宋" w:cs="仿宋" w:hint="eastAsia"/>
          <w:sz w:val="32"/>
          <w:szCs w:val="32"/>
        </w:rPr>
        <w:t>铝残留量超标的原因可能是，个别企业为改善产品卖相和口感，在生产加工过程中超限量使用含铝添加剂，或者其使用的复配添加剂中铝含量过高。</w:t>
      </w:r>
    </w:p>
    <w:p w:rsidR="00EC0095" w:rsidRDefault="00F923ED">
      <w:pPr>
        <w:spacing w:line="400" w:lineRule="exact"/>
        <w:ind w:firstLineChars="200" w:firstLine="640"/>
        <w:rPr>
          <w:rFonts w:ascii="黑体" w:eastAsia="黑体" w:hAnsi="黑体" w:cs="黑体"/>
          <w:sz w:val="32"/>
          <w:szCs w:val="32"/>
        </w:rPr>
      </w:pP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cs="黑体" w:hint="eastAsia"/>
          <w:sz w:val="32"/>
          <w:szCs w:val="32"/>
        </w:rPr>
        <w:t>菌落总数</w:t>
      </w:r>
    </w:p>
    <w:p w:rsidR="00EC0095" w:rsidRDefault="00F923ED">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rsidR="00EC0095" w:rsidRDefault="00F923ED">
      <w:pPr>
        <w:spacing w:line="400" w:lineRule="exact"/>
        <w:ind w:firstLineChars="200" w:firstLine="592"/>
        <w:rPr>
          <w:rFonts w:ascii="黑体" w:eastAsia="黑体" w:hAnsi="黑体"/>
          <w:sz w:val="32"/>
          <w:szCs w:val="32"/>
        </w:rPr>
      </w:pPr>
      <w:r>
        <w:rPr>
          <w:rFonts w:ascii="Times New Roman" w:eastAsia="黑体" w:hAnsi="黑体" w:hint="eastAsia"/>
          <w:spacing w:val="-12"/>
          <w:sz w:val="32"/>
          <w:szCs w:val="32"/>
        </w:rPr>
        <w:t>四</w:t>
      </w:r>
      <w:r>
        <w:rPr>
          <w:rFonts w:ascii="Times New Roman" w:eastAsia="黑体" w:hAnsi="黑体"/>
          <w:spacing w:val="-12"/>
          <w:sz w:val="32"/>
          <w:szCs w:val="32"/>
        </w:rPr>
        <w:t>、</w:t>
      </w:r>
      <w:r>
        <w:rPr>
          <w:rFonts w:ascii="黑体" w:eastAsia="黑体" w:hAnsi="黑体" w:hint="eastAsia"/>
          <w:sz w:val="32"/>
          <w:szCs w:val="32"/>
        </w:rPr>
        <w:t>腐霉利</w:t>
      </w:r>
    </w:p>
    <w:p w:rsidR="00EC0095" w:rsidRDefault="00F923ED">
      <w:pPr>
        <w:spacing w:line="4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腐霉利是一种低毒内吸性杀菌剂，具有保护和治疗双重作用，主要用于</w:t>
      </w:r>
      <w:r>
        <w:rPr>
          <w:rFonts w:ascii="Times New Roman" w:eastAsia="仿宋_GB2312" w:hAnsi="Times New Roman" w:hint="eastAsia"/>
          <w:sz w:val="32"/>
          <w:szCs w:val="32"/>
        </w:rPr>
        <w:t>蔬菜及果树的灰霉病防治。腐霉利超标的主要原因可能是种植过程中为控制病虫害超量使用或不遵循安全间隔期规定。</w:t>
      </w:r>
    </w:p>
    <w:p w:rsidR="00EC0095" w:rsidRDefault="00F923ED">
      <w:pPr>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、酒精度</w:t>
      </w:r>
    </w:p>
    <w:p w:rsidR="00EC0095" w:rsidRDefault="00F923ED">
      <w:pPr>
        <w:spacing w:line="4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rsidR="00EC0095" w:rsidRDefault="00F923ED">
      <w:pPr>
        <w:spacing w:line="400" w:lineRule="exact"/>
        <w:ind w:firstLineChars="200" w:firstLine="592"/>
        <w:rPr>
          <w:rFonts w:ascii="Times New Roman" w:eastAsia="黑体" w:hAnsi="Times New Roman"/>
          <w:spacing w:val="-12"/>
          <w:sz w:val="32"/>
          <w:szCs w:val="32"/>
        </w:rPr>
      </w:pPr>
      <w:r>
        <w:rPr>
          <w:rFonts w:ascii="Times New Roman" w:eastAsia="黑体" w:hAnsi="黑体" w:hint="eastAsia"/>
          <w:spacing w:val="-12"/>
          <w:sz w:val="32"/>
          <w:szCs w:val="32"/>
        </w:rPr>
        <w:lastRenderedPageBreak/>
        <w:t>六</w:t>
      </w:r>
      <w:r>
        <w:rPr>
          <w:rFonts w:ascii="Times New Roman" w:eastAsia="黑体" w:hAnsi="Times New Roman" w:hint="eastAsia"/>
          <w:spacing w:val="-12"/>
          <w:sz w:val="32"/>
          <w:szCs w:val="32"/>
        </w:rPr>
        <w:t>、克伦特罗</w:t>
      </w:r>
    </w:p>
    <w:p w:rsidR="00EC0095" w:rsidRDefault="00F923ED">
      <w:pPr>
        <w:spacing w:line="4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克伦特罗属于β</w:t>
      </w:r>
      <w:r>
        <w:rPr>
          <w:rFonts w:ascii="Times New Roman" w:eastAsia="仿宋_GB2312" w:hAnsi="Times New Roman" w:hint="eastAsia"/>
          <w:sz w:val="32"/>
          <w:szCs w:val="32"/>
        </w:rPr>
        <w:t>-</w:t>
      </w:r>
      <w:r>
        <w:rPr>
          <w:rFonts w:ascii="Times New Roman" w:eastAsia="仿宋_GB2312" w:hAnsi="Times New Roman" w:hint="eastAsia"/>
          <w:sz w:val="32"/>
          <w:szCs w:val="32"/>
        </w:rPr>
        <w:t>肾上腺素受体激动剂，作为饲料添加剂</w:t>
      </w:r>
    </w:p>
    <w:p w:rsidR="00EC0095" w:rsidRDefault="00F923ED">
      <w:pPr>
        <w:spacing w:line="400" w:lineRule="exact"/>
        <w:rPr>
          <w:rFonts w:ascii="Times New Roman" w:eastAsia="仿宋_GB2312" w:hAnsi="Times New Roman"/>
          <w:sz w:val="32"/>
          <w:szCs w:val="32"/>
        </w:rPr>
      </w:pPr>
      <w:r>
        <w:rPr>
          <w:rFonts w:ascii="Times New Roman" w:eastAsia="仿宋_GB2312" w:hAnsi="Times New Roman" w:hint="eastAsia"/>
          <w:sz w:val="32"/>
          <w:szCs w:val="32"/>
        </w:rPr>
        <w:t>用于畜牧生产，对动物有明显的促进生长、提高瘦肉率及减少脂肪的效果。《食品中可能违法添加的非食用物质和易滥用的食品添加剂名单（第四批）》（整顿办函〔</w:t>
      </w:r>
      <w:r>
        <w:rPr>
          <w:rFonts w:ascii="Times New Roman" w:eastAsia="仿宋_GB2312" w:hAnsi="Times New Roman" w:hint="eastAsia"/>
          <w:sz w:val="32"/>
          <w:szCs w:val="32"/>
        </w:rPr>
        <w:t>2010</w:t>
      </w:r>
      <w:r>
        <w:rPr>
          <w:rFonts w:ascii="Times New Roman" w:eastAsia="仿宋_GB2312" w:hAnsi="Times New Roman" w:hint="eastAsia"/>
          <w:sz w:val="32"/>
          <w:szCs w:val="32"/>
        </w:rPr>
        <w:t>〕</w:t>
      </w:r>
      <w:r>
        <w:rPr>
          <w:rFonts w:ascii="Times New Roman" w:eastAsia="仿宋_GB2312" w:hAnsi="Times New Roman" w:hint="eastAsia"/>
          <w:sz w:val="32"/>
          <w:szCs w:val="32"/>
        </w:rPr>
        <w:t>50</w:t>
      </w:r>
      <w:r>
        <w:rPr>
          <w:rFonts w:ascii="Times New Roman" w:eastAsia="仿宋_GB2312" w:hAnsi="Times New Roman" w:hint="eastAsia"/>
          <w:sz w:val="32"/>
          <w:szCs w:val="32"/>
        </w:rPr>
        <w:t>号）中规定，β</w:t>
      </w:r>
      <w:r>
        <w:rPr>
          <w:rFonts w:ascii="Times New Roman" w:eastAsia="仿宋_GB2312" w:hAnsi="Times New Roman" w:hint="eastAsia"/>
          <w:sz w:val="32"/>
          <w:szCs w:val="32"/>
        </w:rPr>
        <w:t>-</w:t>
      </w:r>
      <w:r>
        <w:rPr>
          <w:rFonts w:ascii="Times New Roman" w:eastAsia="仿宋_GB2312" w:hAnsi="Times New Roman" w:hint="eastAsia"/>
          <w:sz w:val="32"/>
          <w:szCs w:val="32"/>
        </w:rPr>
        <w:t>兴奋剂类药物（盐酸克伦特罗（瘦肉精）、莱克多巴胺等）为食品中违法添加的非食用物质，在动物性食品中不得检出。克伦特罗项目不合格的主要原因可能是不法养殖户为增加动物的瘦肉量、迎合消费需求及获得更大的经济效益而违法使用。</w:t>
      </w:r>
    </w:p>
    <w:p w:rsidR="00EC0095" w:rsidRDefault="00F923ED">
      <w:pPr>
        <w:pStyle w:val="11"/>
        <w:spacing w:line="400" w:lineRule="exact"/>
        <w:ind w:firstLine="640"/>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、沙丁胺醇</w:t>
      </w:r>
    </w:p>
    <w:p w:rsidR="00EC0095" w:rsidRDefault="00F923ED">
      <w:pPr>
        <w:spacing w:line="400" w:lineRule="exact"/>
        <w:ind w:firstLineChars="200" w:firstLine="640"/>
        <w:rPr>
          <w:rFonts w:hint="eastAsia"/>
        </w:rPr>
      </w:pPr>
      <w:r>
        <w:rPr>
          <w:rFonts w:ascii="Times New Roman" w:eastAsia="仿宋_GB2312" w:hAnsi="Times New Roman" w:hint="eastAsia"/>
          <w:color w:val="000000"/>
          <w:sz w:val="32"/>
          <w:szCs w:val="32"/>
        </w:rPr>
        <w:t>沙丁胺醇</w:t>
      </w:r>
      <w:r>
        <w:rPr>
          <w:rFonts w:ascii="Times New Roman" w:eastAsia="仿宋_GB2312" w:hAnsi="Times New Roman"/>
          <w:color w:val="000000"/>
          <w:sz w:val="32"/>
          <w:szCs w:val="32"/>
        </w:rPr>
        <w:t>是</w:t>
      </w:r>
      <w:r>
        <w:rPr>
          <w:rFonts w:ascii="Times New Roman" w:eastAsia="仿宋_GB2312" w:hAnsi="Times New Roman"/>
          <w:color w:val="000000"/>
          <w:sz w:val="32"/>
          <w:szCs w:val="32"/>
        </w:rPr>
        <w:t>“</w:t>
      </w:r>
      <w:r>
        <w:rPr>
          <w:rFonts w:ascii="Times New Roman" w:eastAsia="仿宋_GB2312" w:hAnsi="Times New Roman"/>
          <w:color w:val="000000"/>
          <w:sz w:val="32"/>
          <w:szCs w:val="32"/>
        </w:rPr>
        <w:t>瘦肉精</w:t>
      </w:r>
      <w:r>
        <w:rPr>
          <w:rFonts w:ascii="Times New Roman" w:eastAsia="仿宋_GB2312" w:hAnsi="Times New Roman"/>
          <w:color w:val="000000"/>
          <w:sz w:val="32"/>
          <w:szCs w:val="32"/>
        </w:rPr>
        <w:t>”</w:t>
      </w:r>
      <w:r>
        <w:rPr>
          <w:rFonts w:ascii="Times New Roman" w:eastAsia="仿宋_GB2312" w:hAnsi="Times New Roman"/>
          <w:color w:val="000000"/>
          <w:sz w:val="32"/>
          <w:szCs w:val="32"/>
        </w:rPr>
        <w:t>中的</w:t>
      </w:r>
      <w:r>
        <w:rPr>
          <w:rFonts w:ascii="Times New Roman" w:eastAsia="仿宋_GB2312" w:hAnsi="Times New Roman" w:hint="eastAsia"/>
          <w:color w:val="000000"/>
          <w:sz w:val="32"/>
          <w:szCs w:val="32"/>
        </w:rPr>
        <w:t>一种</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属于肾上腺素受体激动剂。</w:t>
      </w:r>
      <w:r>
        <w:rPr>
          <w:rFonts w:ascii="Times New Roman" w:eastAsia="仿宋_GB2312" w:hAnsi="Times New Roman"/>
          <w:color w:val="000000"/>
          <w:sz w:val="32"/>
          <w:szCs w:val="32"/>
        </w:rPr>
        <w:t>该类药物能够促进动物体蛋白质沉积、促进脂肪分解抑制脂肪沉积，提高瘦肉率</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该类药物为</w:t>
      </w:r>
      <w:r>
        <w:rPr>
          <w:rFonts w:ascii="Times New Roman" w:eastAsia="仿宋_GB2312" w:hAnsi="Times New Roman"/>
          <w:color w:val="000000"/>
          <w:sz w:val="32"/>
          <w:szCs w:val="32"/>
        </w:rPr>
        <w:t>“</w:t>
      </w:r>
      <w:r>
        <w:rPr>
          <w:rFonts w:ascii="Times New Roman" w:eastAsia="仿宋_GB2312" w:hAnsi="Times New Roman"/>
          <w:color w:val="000000"/>
          <w:sz w:val="32"/>
          <w:szCs w:val="32"/>
        </w:rPr>
        <w:t>禁止使用的药物，在动物性食品中不得检出</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p>
    <w:p w:rsidR="00EC0095" w:rsidRDefault="00F923ED">
      <w:pPr>
        <w:pStyle w:val="a4"/>
        <w:widowControl/>
        <w:spacing w:beforeAutospacing="0" w:afterAutospacing="0" w:line="400" w:lineRule="exact"/>
        <w:ind w:firstLineChars="200" w:firstLine="640"/>
        <w:rPr>
          <w:rFonts w:ascii="Times New Roman" w:eastAsia="仿宋_GB2312" w:hAnsi="Times New Roman"/>
          <w:kern w:val="2"/>
          <w:sz w:val="32"/>
          <w:szCs w:val="32"/>
        </w:rPr>
      </w:pPr>
      <w:r>
        <w:rPr>
          <w:rFonts w:ascii="黑体" w:eastAsia="黑体" w:hAnsi="黑体" w:cs="黑体" w:hint="eastAsia"/>
          <w:sz w:val="32"/>
          <w:szCs w:val="32"/>
        </w:rPr>
        <w:t>八</w:t>
      </w:r>
      <w:r>
        <w:rPr>
          <w:rFonts w:ascii="Times New Roman" w:eastAsia="黑体" w:hAnsi="黑体"/>
          <w:spacing w:val="-12"/>
          <w:sz w:val="32"/>
          <w:szCs w:val="32"/>
        </w:rPr>
        <w:t>、呋喃</w:t>
      </w:r>
      <w:r>
        <w:rPr>
          <w:rFonts w:ascii="Times New Roman" w:eastAsia="黑体" w:hAnsi="黑体" w:hint="eastAsia"/>
          <w:spacing w:val="-12"/>
          <w:sz w:val="32"/>
          <w:szCs w:val="32"/>
        </w:rPr>
        <w:t>西林</w:t>
      </w:r>
      <w:r>
        <w:rPr>
          <w:rFonts w:ascii="Times New Roman" w:eastAsia="黑体" w:hAnsi="黑体"/>
          <w:spacing w:val="-12"/>
          <w:sz w:val="32"/>
          <w:szCs w:val="32"/>
        </w:rPr>
        <w:t>代谢物</w:t>
      </w:r>
    </w:p>
    <w:p w:rsidR="00EC0095" w:rsidRDefault="00F923ED">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呋喃</w:t>
      </w:r>
      <w:r>
        <w:rPr>
          <w:rFonts w:ascii="Times New Roman" w:eastAsia="仿宋_GB2312" w:hAnsi="Times New Roman" w:hint="eastAsia"/>
          <w:sz w:val="32"/>
          <w:szCs w:val="32"/>
        </w:rPr>
        <w:t>西林</w:t>
      </w:r>
      <w:r>
        <w:rPr>
          <w:rFonts w:ascii="Times New Roman" w:eastAsia="仿宋_GB2312" w:hAnsi="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ascii="Times New Roman" w:eastAsia="仿宋_GB2312" w:hAnsi="Times New Roman" w:hint="eastAsia"/>
          <w:sz w:val="32"/>
          <w:szCs w:val="32"/>
        </w:rPr>
        <w:t>映</w:t>
      </w:r>
      <w:r>
        <w:rPr>
          <w:rFonts w:ascii="Times New Roman" w:eastAsia="仿宋_GB2312" w:hAnsi="Times New Roman"/>
          <w:sz w:val="32"/>
          <w:szCs w:val="32"/>
        </w:rPr>
        <w:t>硝基呋喃类药物的残留状况。《</w:t>
      </w:r>
      <w:r>
        <w:rPr>
          <w:rFonts w:ascii="Times New Roman" w:eastAsia="仿宋_GB2312" w:hAnsi="Times New Roman" w:hint="eastAsia"/>
          <w:sz w:val="32"/>
          <w:szCs w:val="32"/>
        </w:rPr>
        <w:t>兽药</w:t>
      </w:r>
      <w:r>
        <w:rPr>
          <w:rFonts w:ascii="Times New Roman" w:eastAsia="仿宋_GB2312" w:hAnsi="Times New Roman" w:hint="eastAsia"/>
          <w:sz w:val="32"/>
          <w:szCs w:val="32"/>
        </w:rPr>
        <w:t>地方标准废止目录</w:t>
      </w:r>
      <w:r>
        <w:rPr>
          <w:rFonts w:ascii="Times New Roman" w:eastAsia="仿宋_GB2312" w:hAnsi="Times New Roman"/>
          <w:sz w:val="32"/>
          <w:szCs w:val="32"/>
        </w:rPr>
        <w:t>》（农业部公告第</w:t>
      </w:r>
      <w:r>
        <w:rPr>
          <w:rFonts w:ascii="Times New Roman" w:eastAsia="仿宋_GB2312" w:hAnsi="Times New Roman" w:hint="eastAsia"/>
          <w:sz w:val="32"/>
          <w:szCs w:val="32"/>
        </w:rPr>
        <w:t>560</w:t>
      </w:r>
      <w:r>
        <w:rPr>
          <w:rFonts w:ascii="Times New Roman" w:eastAsia="仿宋_GB2312" w:hAnsi="Times New Roman"/>
          <w:sz w:val="32"/>
          <w:szCs w:val="32"/>
        </w:rPr>
        <w:t>号）中规定</w:t>
      </w:r>
      <w:r>
        <w:rPr>
          <w:rFonts w:ascii="Times New Roman" w:eastAsia="仿宋_GB2312" w:hAnsi="Times New Roman" w:hint="eastAsia"/>
          <w:sz w:val="32"/>
          <w:szCs w:val="32"/>
        </w:rPr>
        <w:t>，</w:t>
      </w:r>
      <w:r>
        <w:rPr>
          <w:rFonts w:ascii="Times New Roman" w:eastAsia="仿宋_GB2312" w:hAnsi="Times New Roman"/>
          <w:sz w:val="32"/>
          <w:szCs w:val="32"/>
        </w:rPr>
        <w:t>呋喃</w:t>
      </w:r>
      <w:r>
        <w:rPr>
          <w:rFonts w:ascii="Times New Roman" w:eastAsia="仿宋_GB2312" w:hAnsi="Times New Roman" w:hint="eastAsia"/>
          <w:sz w:val="32"/>
          <w:szCs w:val="32"/>
        </w:rPr>
        <w:t>西林</w:t>
      </w:r>
      <w:r>
        <w:rPr>
          <w:rFonts w:ascii="Times New Roman" w:eastAsia="仿宋_GB2312" w:hAnsi="Times New Roman"/>
          <w:sz w:val="32"/>
          <w:szCs w:val="32"/>
        </w:rPr>
        <w:t>为禁止使用的药物，在动物性食品中不得检出。</w:t>
      </w:r>
    </w:p>
    <w:p w:rsidR="00EC0095" w:rsidRDefault="00F923ED">
      <w:pPr>
        <w:spacing w:line="400" w:lineRule="exact"/>
        <w:ind w:firstLineChars="200" w:firstLine="592"/>
        <w:rPr>
          <w:rFonts w:ascii="黑体" w:eastAsia="黑体" w:hAnsi="黑体"/>
          <w:sz w:val="32"/>
          <w:szCs w:val="32"/>
        </w:rPr>
      </w:pPr>
      <w:r>
        <w:rPr>
          <w:rFonts w:ascii="黑体" w:eastAsia="黑体" w:hAnsi="黑体" w:hint="eastAsia"/>
          <w:spacing w:val="-12"/>
          <w:sz w:val="32"/>
          <w:szCs w:val="32"/>
        </w:rPr>
        <w:t>九</w:t>
      </w:r>
      <w:r>
        <w:rPr>
          <w:rFonts w:ascii="黑体" w:eastAsia="黑体" w:hAnsi="黑体" w:hint="eastAsia"/>
          <w:spacing w:val="-12"/>
          <w:sz w:val="32"/>
          <w:szCs w:val="32"/>
        </w:rPr>
        <w:t>、</w:t>
      </w:r>
      <w:r>
        <w:rPr>
          <w:rFonts w:ascii="黑体" w:eastAsia="黑体" w:hAnsi="黑体" w:hint="eastAsia"/>
          <w:sz w:val="32"/>
          <w:szCs w:val="32"/>
        </w:rPr>
        <w:t>克百威</w:t>
      </w:r>
    </w:p>
    <w:p w:rsidR="00EC0095" w:rsidRDefault="00F923ED">
      <w:pPr>
        <w:spacing w:line="400" w:lineRule="exact"/>
        <w:ind w:firstLineChars="200" w:firstLine="640"/>
        <w:rPr>
          <w:rFonts w:hint="eastAsia"/>
        </w:rPr>
      </w:pPr>
      <w:r>
        <w:rPr>
          <w:rFonts w:ascii="Times New Roman" w:eastAsia="仿宋_GB2312" w:hAnsi="Times New Roman" w:hint="eastAsia"/>
          <w:sz w:val="32"/>
          <w:szCs w:val="32"/>
        </w:rPr>
        <w:t>克百威是一种氨基甲酸酯类杀虫、杀螨、杀线虫剂，并有一定的杀卵作用。克百威超标的主要原因可能是种植过程中为</w:t>
      </w:r>
      <w:r>
        <w:rPr>
          <w:rFonts w:ascii="仿宋" w:eastAsia="仿宋" w:hAnsi="仿宋" w:cs="仿宋" w:hint="eastAsia"/>
          <w:sz w:val="32"/>
          <w:szCs w:val="32"/>
        </w:rPr>
        <w:t>控制病虫害而违规使用</w:t>
      </w:r>
      <w:r>
        <w:rPr>
          <w:rFonts w:ascii="Times New Roman" w:eastAsia="仿宋_GB2312" w:hAnsi="Times New Roman"/>
          <w:sz w:val="32"/>
          <w:szCs w:val="32"/>
        </w:rPr>
        <w:t>。</w:t>
      </w:r>
    </w:p>
    <w:p w:rsidR="00EC0095" w:rsidRDefault="00F923ED">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、霉菌</w:t>
      </w:r>
    </w:p>
    <w:p w:rsidR="00EC0095" w:rsidRDefault="00F923ED">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霉菌是常见的真菌，在自然界中广泛存在。受霉菌污染后会使产品腐败变质，破坏产品的色、香、味，降低其食用价值。霉菌超标</w:t>
      </w:r>
      <w:r>
        <w:rPr>
          <w:rFonts w:ascii="Times New Roman" w:eastAsia="仿宋_GB2312" w:hAnsi="Times New Roman" w:hint="eastAsia"/>
          <w:sz w:val="32"/>
          <w:szCs w:val="32"/>
        </w:rPr>
        <w:t>的</w:t>
      </w:r>
      <w:r>
        <w:rPr>
          <w:rFonts w:ascii="Times New Roman" w:eastAsia="仿宋_GB2312" w:hAnsi="Times New Roman"/>
          <w:sz w:val="32"/>
          <w:szCs w:val="32"/>
        </w:rPr>
        <w:t>原因，可能是原料或包装材料受到霉菌污染，产品在生产加工过程中卫生条件控制不到位</w:t>
      </w:r>
      <w:r>
        <w:rPr>
          <w:rFonts w:ascii="Times New Roman" w:eastAsia="仿宋_GB2312" w:hAnsi="Times New Roman" w:hint="eastAsia"/>
          <w:sz w:val="32"/>
          <w:szCs w:val="32"/>
        </w:rPr>
        <w:t>；</w:t>
      </w:r>
      <w:r>
        <w:rPr>
          <w:rFonts w:ascii="Times New Roman" w:eastAsia="仿宋_GB2312" w:hAnsi="Times New Roman"/>
          <w:sz w:val="32"/>
          <w:szCs w:val="32"/>
        </w:rPr>
        <w:t>还有可能</w:t>
      </w:r>
      <w:r>
        <w:rPr>
          <w:rFonts w:ascii="Times New Roman" w:eastAsia="仿宋_GB2312" w:hAnsi="Times New Roman" w:hint="eastAsia"/>
          <w:sz w:val="32"/>
          <w:szCs w:val="32"/>
        </w:rPr>
        <w:t>与</w:t>
      </w:r>
      <w:r>
        <w:rPr>
          <w:rFonts w:ascii="Times New Roman" w:eastAsia="仿宋_GB2312" w:hAnsi="Times New Roman"/>
          <w:sz w:val="32"/>
          <w:szCs w:val="32"/>
        </w:rPr>
        <w:t>生产工器具等设备设施清洗消毒不到位或产品储运条件不当</w:t>
      </w:r>
      <w:r>
        <w:rPr>
          <w:rFonts w:ascii="Times New Roman" w:eastAsia="仿宋_GB2312" w:hAnsi="Times New Roman" w:hint="eastAsia"/>
          <w:sz w:val="32"/>
          <w:szCs w:val="32"/>
        </w:rPr>
        <w:t>等有关</w:t>
      </w:r>
      <w:r>
        <w:rPr>
          <w:rFonts w:ascii="Times New Roman" w:eastAsia="仿宋_GB2312" w:hAnsi="Times New Roman"/>
          <w:sz w:val="32"/>
          <w:szCs w:val="32"/>
        </w:rPr>
        <w:t>。</w:t>
      </w:r>
    </w:p>
    <w:p w:rsidR="00EC0095" w:rsidRDefault="00F923ED">
      <w:pPr>
        <w:spacing w:line="400" w:lineRule="exact"/>
        <w:ind w:firstLineChars="200" w:firstLine="640"/>
        <w:rPr>
          <w:rFonts w:ascii="黑体" w:eastAsia="黑体" w:hAnsi="黑体" w:cs="黑体"/>
          <w:sz w:val="32"/>
          <w:szCs w:val="32"/>
        </w:rPr>
      </w:pPr>
      <w:bookmarkStart w:id="1" w:name="_Toc30283"/>
      <w:bookmarkStart w:id="2" w:name="_Toc14504"/>
      <w:r>
        <w:rPr>
          <w:rFonts w:ascii="黑体" w:eastAsia="黑体" w:hAnsi="黑体" w:hint="eastAsia"/>
          <w:sz w:val="32"/>
          <w:szCs w:val="32"/>
        </w:rPr>
        <w:t>十</w:t>
      </w:r>
      <w:bookmarkEnd w:id="1"/>
      <w:bookmarkEnd w:id="2"/>
      <w:r>
        <w:rPr>
          <w:rFonts w:ascii="黑体" w:eastAsia="黑体" w:hAnsi="黑体" w:hint="eastAsia"/>
          <w:sz w:val="32"/>
          <w:szCs w:val="32"/>
        </w:rPr>
        <w:t>一</w:t>
      </w:r>
      <w:r>
        <w:rPr>
          <w:rFonts w:ascii="黑体" w:eastAsia="黑体" w:hAnsi="黑体" w:cs="黑体" w:hint="eastAsia"/>
          <w:sz w:val="32"/>
          <w:szCs w:val="32"/>
        </w:rPr>
        <w:t>、</w:t>
      </w:r>
      <w:r>
        <w:rPr>
          <w:rFonts w:ascii="黑体" w:eastAsia="黑体" w:hAnsi="黑体" w:cs="黑体" w:hint="eastAsia"/>
          <w:sz w:val="32"/>
          <w:szCs w:val="32"/>
        </w:rPr>
        <w:t>4-</w:t>
      </w:r>
      <w:r>
        <w:rPr>
          <w:rFonts w:ascii="黑体" w:eastAsia="黑体" w:hAnsi="黑体" w:cs="黑体" w:hint="eastAsia"/>
          <w:sz w:val="32"/>
          <w:szCs w:val="32"/>
        </w:rPr>
        <w:t>氯苯氧乙酸钠</w:t>
      </w:r>
    </w:p>
    <w:p w:rsidR="00EC0095" w:rsidRDefault="00F923ED">
      <w:pPr>
        <w:numPr>
          <w:ilvl w:val="0"/>
          <w:numId w:val="1"/>
        </w:numPr>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氯苯氧乙酸钠是一种植物生长调节剂。原国家食品药品监督管理总局、农业部、国家卫生和计划生育委员会发布《关于豆芽生产过程中禁止使用</w:t>
      </w:r>
      <w:r>
        <w:rPr>
          <w:rFonts w:ascii="仿宋" w:eastAsia="仿宋" w:hAnsi="仿宋" w:cs="仿宋" w:hint="eastAsia"/>
          <w:sz w:val="32"/>
          <w:szCs w:val="32"/>
        </w:rPr>
        <w:t>6-</w:t>
      </w:r>
      <w:r>
        <w:rPr>
          <w:rFonts w:ascii="仿宋" w:eastAsia="仿宋" w:hAnsi="仿宋" w:cs="仿宋" w:hint="eastAsia"/>
          <w:sz w:val="32"/>
          <w:szCs w:val="32"/>
        </w:rPr>
        <w:t>苄基腺嘌呤等物质的公告》（</w:t>
      </w:r>
      <w:r>
        <w:rPr>
          <w:rFonts w:ascii="仿宋" w:eastAsia="仿宋" w:hAnsi="仿宋" w:cs="仿宋" w:hint="eastAsia"/>
          <w:sz w:val="32"/>
          <w:szCs w:val="32"/>
        </w:rPr>
        <w:t>2015</w:t>
      </w:r>
      <w:r>
        <w:rPr>
          <w:rFonts w:ascii="仿宋" w:eastAsia="仿宋" w:hAnsi="仿宋" w:cs="仿宋" w:hint="eastAsia"/>
          <w:sz w:val="32"/>
          <w:szCs w:val="32"/>
        </w:rPr>
        <w:t>年第</w:t>
      </w:r>
      <w:r>
        <w:rPr>
          <w:rFonts w:ascii="仿宋" w:eastAsia="仿宋" w:hAnsi="仿宋" w:cs="仿宋" w:hint="eastAsia"/>
          <w:sz w:val="32"/>
          <w:szCs w:val="32"/>
        </w:rPr>
        <w:t>11</w:t>
      </w:r>
      <w:r>
        <w:rPr>
          <w:rFonts w:ascii="仿宋" w:eastAsia="仿宋" w:hAnsi="仿宋" w:cs="仿宋" w:hint="eastAsia"/>
          <w:sz w:val="32"/>
          <w:szCs w:val="32"/>
        </w:rPr>
        <w:t>号），明确豆芽生产经营过程中不得使用</w:t>
      </w:r>
      <w:r>
        <w:rPr>
          <w:rFonts w:ascii="仿宋" w:eastAsia="仿宋" w:hAnsi="仿宋" w:cs="仿宋" w:hint="eastAsia"/>
          <w:sz w:val="32"/>
          <w:szCs w:val="32"/>
        </w:rPr>
        <w:t>4-</w:t>
      </w:r>
      <w:r>
        <w:rPr>
          <w:rFonts w:ascii="仿宋" w:eastAsia="仿宋" w:hAnsi="仿宋" w:cs="仿宋" w:hint="eastAsia"/>
          <w:sz w:val="32"/>
          <w:szCs w:val="32"/>
        </w:rPr>
        <w:t>氯苯氧乙酸钠。由于</w:t>
      </w:r>
      <w:r>
        <w:rPr>
          <w:rFonts w:ascii="仿宋" w:eastAsia="仿宋" w:hAnsi="仿宋" w:cs="仿宋" w:hint="eastAsia"/>
          <w:sz w:val="32"/>
          <w:szCs w:val="32"/>
        </w:rPr>
        <w:t>4-</w:t>
      </w:r>
      <w:r>
        <w:rPr>
          <w:rFonts w:ascii="仿宋" w:eastAsia="仿宋" w:hAnsi="仿宋" w:cs="仿宋" w:hint="eastAsia"/>
          <w:sz w:val="32"/>
          <w:szCs w:val="32"/>
        </w:rPr>
        <w:t>氯苯氧乙酸钠可减少豆芽根部萌发，加速细胞分裂，使豆芽更加肥嫩、粗壮，提高豆芽的产量，仍有违规使用现象。</w:t>
      </w:r>
    </w:p>
    <w:p w:rsidR="00EC0095" w:rsidRDefault="00F923ED">
      <w:pPr>
        <w:pStyle w:val="2"/>
        <w:spacing w:after="0" w:line="400" w:lineRule="exact"/>
        <w:ind w:leftChars="0" w:left="0" w:firstLine="640"/>
        <w:rPr>
          <w:rFonts w:ascii="黑体" w:eastAsia="黑体" w:hAnsi="黑体" w:cs="黑体"/>
          <w:kern w:val="2"/>
          <w:sz w:val="32"/>
          <w:szCs w:val="32"/>
        </w:rPr>
      </w:pPr>
      <w:r>
        <w:rPr>
          <w:rFonts w:ascii="黑体" w:eastAsia="黑体" w:hAnsi="黑体" w:cs="黑体" w:hint="eastAsia"/>
          <w:kern w:val="2"/>
          <w:sz w:val="32"/>
          <w:szCs w:val="32"/>
        </w:rPr>
        <w:t>十二、毒死蜱</w:t>
      </w:r>
    </w:p>
    <w:p w:rsidR="00EC0095" w:rsidRDefault="00F923ED">
      <w:pPr>
        <w:pStyle w:val="2"/>
        <w:spacing w:after="0" w:line="400" w:lineRule="exact"/>
        <w:ind w:leftChars="0" w:left="0" w:firstLine="640"/>
        <w:rPr>
          <w:rFonts w:ascii="仿宋" w:eastAsia="仿宋" w:hAnsi="仿宋" w:cs="仿宋"/>
          <w:kern w:val="2"/>
          <w:sz w:val="32"/>
          <w:szCs w:val="32"/>
        </w:rPr>
      </w:pPr>
      <w:r>
        <w:rPr>
          <w:rFonts w:ascii="仿宋" w:eastAsia="仿宋" w:hAnsi="仿宋" w:cs="仿宋" w:hint="eastAsia"/>
          <w:kern w:val="2"/>
          <w:sz w:val="32"/>
          <w:szCs w:val="32"/>
        </w:rPr>
        <w:t>毒死蜱是一种有机磷杀虫剂。《食品安全国家标准</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食品中农药最大残留限量》（</w:t>
      </w:r>
      <w:r>
        <w:rPr>
          <w:rFonts w:ascii="仿宋" w:eastAsia="仿宋" w:hAnsi="仿宋" w:cs="仿宋" w:hint="eastAsia"/>
          <w:kern w:val="2"/>
          <w:sz w:val="32"/>
          <w:szCs w:val="32"/>
        </w:rPr>
        <w:t>GB 2763-2016</w:t>
      </w:r>
      <w:r>
        <w:rPr>
          <w:rFonts w:ascii="仿宋" w:eastAsia="仿宋" w:hAnsi="仿宋" w:cs="仿宋" w:hint="eastAsia"/>
          <w:kern w:val="2"/>
          <w:sz w:val="32"/>
          <w:szCs w:val="32"/>
        </w:rPr>
        <w:t>）中规定，毒死蜱在芹菜中的最大残留限量值为</w:t>
      </w:r>
      <w:r>
        <w:rPr>
          <w:rFonts w:ascii="仿宋" w:eastAsia="仿宋" w:hAnsi="仿宋" w:cs="仿宋" w:hint="eastAsia"/>
          <w:kern w:val="2"/>
          <w:sz w:val="32"/>
          <w:szCs w:val="32"/>
        </w:rPr>
        <w:t>0.05mg/kg</w:t>
      </w:r>
      <w:r>
        <w:rPr>
          <w:rFonts w:ascii="仿宋" w:eastAsia="仿宋" w:hAnsi="仿宋" w:cs="仿宋" w:hint="eastAsia"/>
          <w:kern w:val="2"/>
          <w:sz w:val="32"/>
          <w:szCs w:val="32"/>
        </w:rPr>
        <w:t>。</w:t>
      </w:r>
    </w:p>
    <w:p w:rsidR="00EC0095" w:rsidRDefault="00F923ED">
      <w:pPr>
        <w:spacing w:line="400" w:lineRule="exact"/>
        <w:ind w:firstLineChars="200" w:firstLine="592"/>
        <w:rPr>
          <w:rFonts w:ascii="Times New Roman" w:eastAsia="黑体" w:hAnsi="Times New Roman"/>
          <w:spacing w:val="-12"/>
          <w:sz w:val="32"/>
          <w:szCs w:val="32"/>
        </w:rPr>
      </w:pPr>
      <w:r>
        <w:rPr>
          <w:rFonts w:ascii="Times New Roman" w:eastAsia="黑体" w:hAnsi="黑体" w:hint="eastAsia"/>
          <w:spacing w:val="-12"/>
          <w:sz w:val="32"/>
          <w:szCs w:val="32"/>
        </w:rPr>
        <w:t>十三</w:t>
      </w:r>
      <w:r>
        <w:rPr>
          <w:rFonts w:ascii="Times New Roman" w:eastAsia="黑体" w:hAnsi="黑体"/>
          <w:spacing w:val="-12"/>
          <w:sz w:val="32"/>
          <w:szCs w:val="32"/>
        </w:rPr>
        <w:t>、灭蝇胺</w:t>
      </w:r>
    </w:p>
    <w:p w:rsidR="00EC0095" w:rsidRDefault="00F923ED">
      <w:pPr>
        <w:spacing w:line="400" w:lineRule="exact"/>
        <w:ind w:firstLineChars="200" w:firstLine="640"/>
        <w:rPr>
          <w:rFonts w:ascii="仿宋" w:eastAsia="仿宋" w:hAnsi="仿宋" w:cs="仿宋"/>
          <w:sz w:val="32"/>
          <w:szCs w:val="32"/>
        </w:rPr>
      </w:pPr>
      <w:r>
        <w:rPr>
          <w:rFonts w:ascii="Times New Roman" w:eastAsia="仿宋_GB2312" w:hAnsi="Times New Roman"/>
          <w:sz w:val="32"/>
          <w:szCs w:val="32"/>
        </w:rPr>
        <w:t>灭蝇胺又名环丙氨嗪，为一种新型高效、低毒、含氮杂环类杀虫剂，是目前防治双翅目昆虫病虫害效果较好的生态农药。《食品安全国家标准食品中农药最大残留限量》（</w:t>
      </w:r>
      <w:r>
        <w:rPr>
          <w:rFonts w:ascii="Times New Roman" w:eastAsia="仿宋_GB2312" w:hAnsi="Times New Roman"/>
          <w:sz w:val="32"/>
          <w:szCs w:val="32"/>
        </w:rPr>
        <w:t>GB 2763</w:t>
      </w:r>
      <w:r>
        <w:rPr>
          <w:rFonts w:ascii="Times New Roman"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sz w:val="32"/>
          <w:szCs w:val="32"/>
        </w:rPr>
        <w:t>）中规定灭蝇胺在豇豆中的最大残留限量为</w:t>
      </w:r>
      <w:r>
        <w:rPr>
          <w:rFonts w:ascii="Times New Roman" w:eastAsia="仿宋_GB2312" w:hAnsi="Times New Roman"/>
          <w:sz w:val="32"/>
          <w:szCs w:val="32"/>
        </w:rPr>
        <w:t>0.5mg/kg</w:t>
      </w:r>
      <w:r>
        <w:rPr>
          <w:rFonts w:ascii="Times New Roman" w:eastAsia="仿宋_GB2312" w:hAnsi="Times New Roman"/>
          <w:sz w:val="32"/>
          <w:szCs w:val="32"/>
        </w:rPr>
        <w:t>。</w:t>
      </w:r>
    </w:p>
    <w:p w:rsidR="00EC0095" w:rsidRDefault="00F923ED">
      <w:pPr>
        <w:pStyle w:val="2"/>
        <w:spacing w:after="0" w:line="400" w:lineRule="exact"/>
        <w:ind w:leftChars="0" w:left="0" w:firstLine="640"/>
        <w:rPr>
          <w:rFonts w:ascii="黑体" w:eastAsia="黑体" w:hAnsi="黑体" w:cs="黑体"/>
          <w:kern w:val="2"/>
          <w:sz w:val="32"/>
          <w:szCs w:val="32"/>
        </w:rPr>
      </w:pPr>
      <w:r>
        <w:rPr>
          <w:rFonts w:ascii="Times New Roman" w:eastAsia="黑体" w:hAnsi="Times New Roman" w:hint="eastAsia"/>
          <w:sz w:val="32"/>
          <w:szCs w:val="32"/>
        </w:rPr>
        <w:t>十四</w:t>
      </w:r>
      <w:r>
        <w:rPr>
          <w:rFonts w:ascii="黑体" w:eastAsia="黑体" w:hAnsi="黑体" w:cs="黑体" w:hint="eastAsia"/>
          <w:kern w:val="2"/>
          <w:sz w:val="32"/>
          <w:szCs w:val="32"/>
        </w:rPr>
        <w:t>、总酸</w:t>
      </w:r>
    </w:p>
    <w:p w:rsidR="00EC0095" w:rsidRDefault="00F923ED">
      <w:pPr>
        <w:pStyle w:val="2"/>
        <w:spacing w:after="0" w:line="400" w:lineRule="exact"/>
        <w:ind w:leftChars="0" w:left="0" w:firstLine="640"/>
        <w:rPr>
          <w:rFonts w:ascii="仿宋" w:eastAsia="仿宋" w:hAnsi="仿宋" w:cs="仿宋"/>
          <w:kern w:val="2"/>
          <w:sz w:val="32"/>
          <w:szCs w:val="32"/>
        </w:rPr>
      </w:pPr>
      <w:r>
        <w:rPr>
          <w:rFonts w:ascii="仿宋" w:eastAsia="仿宋" w:hAnsi="仿宋" w:cs="仿宋" w:hint="eastAsia"/>
          <w:kern w:val="2"/>
          <w:sz w:val="32"/>
          <w:szCs w:val="32"/>
        </w:rPr>
        <w:t>总酸是食醋的品质指标，反映其特色的重要特征性指标之一。对酿造食醋来说，酸度越高说明发酵程度越高，食醋的酸味也就越浓，质量也就越好。总酸含量未达标的原因，可能是生产过程工艺控制不严或未按标准执行，产品与标签标注等级不匹配等造成。</w:t>
      </w:r>
    </w:p>
    <w:p w:rsidR="00EC0095" w:rsidRDefault="00F923ED">
      <w:pPr>
        <w:spacing w:line="400" w:lineRule="exact"/>
        <w:ind w:firstLineChars="200" w:firstLine="640"/>
        <w:jc w:val="left"/>
        <w:rPr>
          <w:rFonts w:ascii="黑体" w:eastAsia="黑体" w:hAnsi="黑体"/>
          <w:sz w:val="32"/>
          <w:szCs w:val="32"/>
        </w:rPr>
      </w:pPr>
      <w:r>
        <w:rPr>
          <w:rFonts w:ascii="Times New Roman" w:eastAsia="黑体" w:hAnsi="Times New Roman" w:hint="eastAsia"/>
          <w:sz w:val="32"/>
          <w:szCs w:val="32"/>
        </w:rPr>
        <w:t>十五</w:t>
      </w:r>
      <w:r>
        <w:rPr>
          <w:rFonts w:ascii="黑体" w:eastAsia="黑体" w:hAnsi="黑体" w:hint="eastAsia"/>
          <w:sz w:val="32"/>
          <w:szCs w:val="32"/>
        </w:rPr>
        <w:t>、大肠菌群</w:t>
      </w:r>
    </w:p>
    <w:p w:rsidR="00EC0095" w:rsidRDefault="00F923ED">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大肠菌群是国内外通用的食品污染常用指示菌之一。造成</w:t>
      </w:r>
      <w:r>
        <w:rPr>
          <w:rFonts w:ascii="Times New Roman" w:eastAsia="仿宋_GB2312" w:hAnsi="Times New Roman" w:hint="eastAsia"/>
          <w:sz w:val="32"/>
          <w:szCs w:val="32"/>
        </w:rPr>
        <w:t>复用餐饮具</w:t>
      </w:r>
      <w:r>
        <w:rPr>
          <w:rFonts w:ascii="Times New Roman" w:eastAsia="仿宋_GB2312" w:hAnsi="Times New Roman"/>
          <w:sz w:val="32"/>
          <w:szCs w:val="32"/>
        </w:rPr>
        <w:t>大肠菌群</w:t>
      </w:r>
      <w:r>
        <w:rPr>
          <w:rFonts w:ascii="Times New Roman" w:eastAsia="仿宋_GB2312" w:hAnsi="Times New Roman" w:hint="eastAsia"/>
          <w:sz w:val="32"/>
          <w:szCs w:val="32"/>
        </w:rPr>
        <w:t>不合格</w:t>
      </w:r>
      <w:r>
        <w:rPr>
          <w:rFonts w:ascii="Times New Roman" w:eastAsia="仿宋_GB2312" w:hAnsi="Times New Roman"/>
          <w:sz w:val="32"/>
          <w:szCs w:val="32"/>
        </w:rPr>
        <w:t>的原因，可能是</w:t>
      </w:r>
      <w:r>
        <w:rPr>
          <w:rFonts w:ascii="Times New Roman" w:eastAsia="仿宋_GB2312" w:hAnsi="Times New Roman" w:hint="eastAsia"/>
          <w:sz w:val="32"/>
          <w:szCs w:val="32"/>
        </w:rPr>
        <w:t>清洗、消毒不彻底，或存放过程中受到污染等</w:t>
      </w:r>
      <w:r>
        <w:rPr>
          <w:rFonts w:ascii="Times New Roman" w:eastAsia="仿宋_GB2312" w:hAnsi="Times New Roman"/>
          <w:sz w:val="32"/>
          <w:szCs w:val="32"/>
        </w:rPr>
        <w:t>。</w:t>
      </w:r>
    </w:p>
    <w:p w:rsidR="00EC0095" w:rsidRDefault="00F923ED">
      <w:pPr>
        <w:spacing w:line="400" w:lineRule="exact"/>
        <w:ind w:firstLineChars="200" w:firstLine="640"/>
        <w:rPr>
          <w:rFonts w:ascii="黑体" w:eastAsia="黑体" w:hAnsi="黑体" w:cs="黑体"/>
          <w:sz w:val="32"/>
          <w:szCs w:val="32"/>
        </w:rPr>
      </w:pPr>
      <w:r>
        <w:rPr>
          <w:rFonts w:ascii="黑体" w:eastAsia="黑体" w:hAnsi="黑体" w:hint="eastAsia"/>
          <w:sz w:val="32"/>
          <w:szCs w:val="32"/>
        </w:rPr>
        <w:t>十六</w:t>
      </w:r>
      <w:r>
        <w:rPr>
          <w:rFonts w:ascii="黑体" w:eastAsia="黑体" w:hAnsi="黑体" w:hint="eastAsia"/>
          <w:sz w:val="32"/>
          <w:szCs w:val="32"/>
        </w:rPr>
        <w:t>、</w:t>
      </w:r>
      <w:r>
        <w:rPr>
          <w:rFonts w:ascii="黑体" w:eastAsia="黑体" w:hAnsi="黑体" w:cs="黑体" w:hint="eastAsia"/>
          <w:sz w:val="32"/>
          <w:szCs w:val="32"/>
        </w:rPr>
        <w:t>镉</w:t>
      </w:r>
      <w:r>
        <w:rPr>
          <w:rFonts w:ascii="黑体" w:eastAsia="黑体" w:hAnsi="黑体" w:cs="黑体" w:hint="eastAsia"/>
          <w:sz w:val="32"/>
          <w:szCs w:val="32"/>
        </w:rPr>
        <w:t>(</w:t>
      </w:r>
      <w:r>
        <w:rPr>
          <w:rFonts w:ascii="黑体" w:eastAsia="黑体" w:hAnsi="黑体" w:cs="黑体" w:hint="eastAsia"/>
          <w:sz w:val="32"/>
          <w:szCs w:val="32"/>
        </w:rPr>
        <w:t>以</w:t>
      </w:r>
      <w:r>
        <w:rPr>
          <w:rFonts w:ascii="黑体" w:eastAsia="黑体" w:hAnsi="黑体" w:cs="黑体" w:hint="eastAsia"/>
          <w:sz w:val="32"/>
          <w:szCs w:val="32"/>
        </w:rPr>
        <w:t>Cd</w:t>
      </w:r>
      <w:r>
        <w:rPr>
          <w:rFonts w:ascii="黑体" w:eastAsia="黑体" w:hAnsi="黑体" w:cs="黑体" w:hint="eastAsia"/>
          <w:sz w:val="32"/>
          <w:szCs w:val="32"/>
        </w:rPr>
        <w:t>计</w:t>
      </w:r>
      <w:r>
        <w:rPr>
          <w:rFonts w:ascii="黑体" w:eastAsia="黑体" w:hAnsi="黑体" w:cs="黑体" w:hint="eastAsia"/>
          <w:sz w:val="32"/>
          <w:szCs w:val="32"/>
        </w:rPr>
        <w:t>)</w:t>
      </w:r>
    </w:p>
    <w:p w:rsidR="00EC0095" w:rsidRDefault="00F923ED">
      <w:pPr>
        <w:spacing w:line="400" w:lineRule="exact"/>
        <w:ind w:firstLineChars="200" w:firstLine="640"/>
        <w:rPr>
          <w:rFonts w:hint="eastAsia"/>
        </w:rPr>
      </w:pPr>
      <w:r>
        <w:rPr>
          <w:rFonts w:ascii="Times New Roman" w:eastAsia="仿宋_GB2312" w:hAnsi="Times New Roman" w:hint="eastAsia"/>
          <w:sz w:val="32"/>
          <w:szCs w:val="32"/>
        </w:rPr>
        <w:t>镉（以</w:t>
      </w:r>
      <w:r>
        <w:rPr>
          <w:rFonts w:ascii="Times New Roman" w:eastAsia="仿宋_GB2312" w:hAnsi="Times New Roman" w:hint="eastAsia"/>
          <w:sz w:val="32"/>
          <w:szCs w:val="32"/>
        </w:rPr>
        <w:t>Cd</w:t>
      </w:r>
      <w:r>
        <w:rPr>
          <w:rFonts w:ascii="Times New Roman" w:eastAsia="仿宋_GB2312" w:hAnsi="Times New Roman" w:hint="eastAsia"/>
          <w:sz w:val="32"/>
          <w:szCs w:val="32"/>
        </w:rPr>
        <w:t>计）是最常见的重金属元素污染物之一。</w:t>
      </w:r>
      <w:r>
        <w:rPr>
          <w:rFonts w:ascii="Times New Roman" w:eastAsia="仿宋_GB2312" w:hAnsi="Times New Roman" w:hint="eastAsia"/>
          <w:sz w:val="32"/>
          <w:szCs w:val="32"/>
        </w:rPr>
        <w:t>水产品</w:t>
      </w:r>
      <w:r>
        <w:rPr>
          <w:rFonts w:ascii="Times New Roman" w:eastAsia="仿宋_GB2312" w:hAnsi="Times New Roman" w:hint="eastAsia"/>
          <w:sz w:val="32"/>
          <w:szCs w:val="32"/>
        </w:rPr>
        <w:t>镉（以</w:t>
      </w:r>
      <w:r>
        <w:rPr>
          <w:rFonts w:ascii="Times New Roman" w:eastAsia="仿宋_GB2312" w:hAnsi="Times New Roman" w:hint="eastAsia"/>
          <w:sz w:val="32"/>
          <w:szCs w:val="32"/>
        </w:rPr>
        <w:t>Cd</w:t>
      </w:r>
      <w:r>
        <w:rPr>
          <w:rFonts w:ascii="Times New Roman" w:eastAsia="仿宋_GB2312" w:hAnsi="Times New Roman" w:hint="eastAsia"/>
          <w:sz w:val="32"/>
          <w:szCs w:val="32"/>
        </w:rPr>
        <w:t>计）超标的原因可能是对环境中镉元素的富集。</w:t>
      </w:r>
    </w:p>
    <w:p w:rsidR="00EC0095" w:rsidRDefault="00F923ED">
      <w:pPr>
        <w:spacing w:line="400" w:lineRule="exact"/>
        <w:ind w:firstLineChars="200" w:firstLine="592"/>
        <w:rPr>
          <w:rFonts w:ascii="黑体" w:eastAsia="黑体" w:hAnsi="黑体" w:cs="黑体"/>
          <w:sz w:val="32"/>
          <w:szCs w:val="32"/>
        </w:rPr>
      </w:pPr>
      <w:r>
        <w:rPr>
          <w:rFonts w:ascii="Times New Roman" w:eastAsia="黑体" w:hAnsi="黑体" w:hint="eastAsia"/>
          <w:spacing w:val="-12"/>
          <w:sz w:val="32"/>
          <w:szCs w:val="32"/>
        </w:rPr>
        <w:t>十七</w:t>
      </w:r>
      <w:r>
        <w:rPr>
          <w:rFonts w:ascii="黑体" w:eastAsia="黑体" w:hAnsi="黑体" w:cs="黑体" w:hint="eastAsia"/>
          <w:sz w:val="32"/>
          <w:szCs w:val="32"/>
        </w:rPr>
        <w:t>、甜蜜素</w:t>
      </w:r>
    </w:p>
    <w:p w:rsidR="00EC0095" w:rsidRDefault="00F923ED">
      <w:pPr>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甜蜜素，其化学名称为环己基氨基磺酸钠，是一种常用的合成甜味剂。甜蜜素超标的原因，可能是</w:t>
      </w:r>
      <w:r>
        <w:rPr>
          <w:rFonts w:ascii="仿宋" w:eastAsia="仿宋" w:hAnsi="仿宋" w:cs="仿宋" w:hint="eastAsia"/>
          <w:sz w:val="32"/>
          <w:szCs w:val="32"/>
        </w:rPr>
        <w:t>个别企业为降低</w:t>
      </w:r>
      <w:r>
        <w:rPr>
          <w:rFonts w:ascii="仿宋" w:eastAsia="仿宋" w:hAnsi="仿宋" w:cs="仿宋" w:hint="eastAsia"/>
          <w:sz w:val="32"/>
          <w:szCs w:val="32"/>
        </w:rPr>
        <w:lastRenderedPageBreak/>
        <w:t>生产成本，同时为改善产品的口感超限量使用，也有可能是原辅料及生产环节把关不严造成。</w:t>
      </w:r>
    </w:p>
    <w:p w:rsidR="00EC0095" w:rsidRDefault="00F923ED">
      <w:pPr>
        <w:pStyle w:val="NewNewNewNewNewNewNewNewNewNewNewNewNewNewNewNewNewNewNewNewNewNewNewNewNewNewNewNewNewNewNewNewNewNewNewNewNewNewNewNewNewNewNewNewNewNewNewNewNewNewNewNewNewNew"/>
        <w:tabs>
          <w:tab w:val="left" w:pos="2367"/>
        </w:tabs>
        <w:spacing w:line="400" w:lineRule="exact"/>
        <w:ind w:firstLineChars="200" w:firstLine="592"/>
        <w:rPr>
          <w:rFonts w:ascii="Times New Roman" w:eastAsia="黑体" w:hAnsi="黑体" w:cs="Times New Roman"/>
          <w:spacing w:val="-12"/>
          <w:sz w:val="32"/>
          <w:szCs w:val="32"/>
        </w:rPr>
      </w:pPr>
      <w:r>
        <w:rPr>
          <w:rFonts w:ascii="Times New Roman" w:eastAsia="黑体" w:hAnsi="黑体" w:cs="Times New Roman" w:hint="eastAsia"/>
          <w:spacing w:val="-12"/>
          <w:sz w:val="32"/>
          <w:szCs w:val="32"/>
        </w:rPr>
        <w:t>十八、纳他霉素</w:t>
      </w:r>
    </w:p>
    <w:p w:rsidR="00EC0095" w:rsidRDefault="00F923ED">
      <w:pPr>
        <w:pStyle w:val="2"/>
        <w:spacing w:after="0" w:line="400" w:lineRule="exact"/>
        <w:ind w:leftChars="0" w:left="0" w:firstLine="640"/>
        <w:rPr>
          <w:rFonts w:hint="eastAsia"/>
        </w:rPr>
      </w:pPr>
      <w:r>
        <w:rPr>
          <w:rFonts w:ascii="仿宋_GB2312" w:eastAsia="仿宋_GB2312" w:hAnsi="仿宋_GB2312" w:hint="eastAsia"/>
          <w:sz w:val="32"/>
          <w:szCs w:val="28"/>
        </w:rPr>
        <w:t>纳他霉素是一种由链霉菌发酵产生的天然抗真菌化合物，属于多烯大环内酯类，既可以广泛有效的抑制各种霉菌、酵母菌的生长，又能抑制真菌毒素的产生</w:t>
      </w:r>
      <w:r>
        <w:rPr>
          <w:rFonts w:ascii="仿宋_GB2312" w:eastAsia="仿宋_GB2312" w:hAnsi="仿宋_GB2312" w:hint="eastAsia"/>
          <w:sz w:val="32"/>
          <w:szCs w:val="28"/>
        </w:rPr>
        <w:t xml:space="preserve">, </w:t>
      </w:r>
      <w:r>
        <w:rPr>
          <w:rFonts w:ascii="仿宋_GB2312" w:eastAsia="仿宋_GB2312" w:hAnsi="仿宋_GB2312" w:hint="eastAsia"/>
          <w:sz w:val="32"/>
          <w:szCs w:val="28"/>
        </w:rPr>
        <w:t>可广泛用于食品防腐保鲜以及抗真菌治疗。纳他霉素超标的原因可能是企业为防止食品腐败变质，超</w:t>
      </w:r>
      <w:r>
        <w:rPr>
          <w:rFonts w:ascii="仿宋_GB2312" w:eastAsia="仿宋_GB2312" w:hAnsi="仿宋_GB2312" w:hint="eastAsia"/>
          <w:sz w:val="32"/>
          <w:szCs w:val="28"/>
        </w:rPr>
        <w:t>标</w:t>
      </w:r>
      <w:r>
        <w:rPr>
          <w:rFonts w:ascii="仿宋_GB2312" w:eastAsia="仿宋_GB2312" w:hAnsi="仿宋_GB2312" w:hint="eastAsia"/>
          <w:sz w:val="32"/>
          <w:szCs w:val="28"/>
        </w:rPr>
        <w:t>使用了该添加剂。</w:t>
      </w:r>
    </w:p>
    <w:p w:rsidR="00EC0095" w:rsidRDefault="00F923ED">
      <w:pPr>
        <w:spacing w:line="400" w:lineRule="exact"/>
        <w:ind w:firstLineChars="200" w:firstLine="640"/>
        <w:rPr>
          <w:rFonts w:ascii="黑体" w:eastAsia="黑体" w:hAnsi="黑体"/>
          <w:sz w:val="32"/>
          <w:szCs w:val="32"/>
        </w:rPr>
      </w:pPr>
      <w:r>
        <w:rPr>
          <w:rFonts w:ascii="黑体" w:eastAsia="黑体" w:hAnsi="黑体" w:hint="eastAsia"/>
          <w:sz w:val="32"/>
          <w:szCs w:val="32"/>
        </w:rPr>
        <w:t>十九、</w:t>
      </w:r>
      <w:r>
        <w:rPr>
          <w:rFonts w:ascii="黑体" w:eastAsia="黑体" w:hAnsi="黑体"/>
          <w:sz w:val="32"/>
          <w:szCs w:val="32"/>
        </w:rPr>
        <w:t>酸价</w:t>
      </w:r>
    </w:p>
    <w:p w:rsidR="00EC0095" w:rsidRDefault="00F923ED">
      <w:pPr>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酸价主要反映食品中的油脂酸败程度。酸价超标会导致食品有哈喇味</w:t>
      </w:r>
      <w:r>
        <w:rPr>
          <w:rFonts w:ascii="Times New Roman" w:eastAsia="仿宋_GB2312" w:hAnsi="Times New Roman" w:hint="eastAsia"/>
          <w:sz w:val="32"/>
          <w:szCs w:val="32"/>
        </w:rPr>
        <w:t>。</w:t>
      </w:r>
      <w:r>
        <w:rPr>
          <w:rFonts w:ascii="Times New Roman" w:eastAsia="仿宋_GB2312" w:hAnsi="Times New Roman"/>
          <w:sz w:val="32"/>
          <w:szCs w:val="32"/>
        </w:rPr>
        <w:t>酸价</w:t>
      </w:r>
      <w:r>
        <w:rPr>
          <w:rFonts w:ascii="Times New Roman" w:eastAsia="仿宋_GB2312" w:hAnsi="Times New Roman" w:hint="eastAsia"/>
          <w:sz w:val="32"/>
          <w:szCs w:val="32"/>
        </w:rPr>
        <w:t>超标</w:t>
      </w:r>
      <w:r>
        <w:rPr>
          <w:rFonts w:ascii="Times New Roman" w:eastAsia="仿宋_GB2312" w:hAnsi="Times New Roman"/>
          <w:sz w:val="32"/>
          <w:szCs w:val="32"/>
        </w:rPr>
        <w:t>的原因，可能</w:t>
      </w:r>
      <w:r>
        <w:rPr>
          <w:rFonts w:ascii="Times New Roman" w:eastAsia="仿宋_GB2312" w:hAnsi="Times New Roman" w:hint="eastAsia"/>
          <w:sz w:val="32"/>
          <w:szCs w:val="32"/>
        </w:rPr>
        <w:t>与</w:t>
      </w:r>
      <w:r>
        <w:rPr>
          <w:rFonts w:ascii="Times New Roman" w:eastAsia="仿宋_GB2312" w:hAnsi="Times New Roman"/>
          <w:sz w:val="32"/>
          <w:szCs w:val="32"/>
        </w:rPr>
        <w:t>企业原料采购把关不严、生产工艺不达标、产品储藏条件不当</w:t>
      </w:r>
      <w:r>
        <w:rPr>
          <w:rFonts w:ascii="Times New Roman" w:eastAsia="仿宋_GB2312" w:hAnsi="Times New Roman" w:hint="eastAsia"/>
          <w:sz w:val="32"/>
          <w:szCs w:val="32"/>
        </w:rPr>
        <w:t>等</w:t>
      </w:r>
      <w:r>
        <w:rPr>
          <w:rFonts w:ascii="Times New Roman" w:eastAsia="仿宋_GB2312" w:hAnsi="Times New Roman"/>
          <w:sz w:val="32"/>
          <w:szCs w:val="32"/>
        </w:rPr>
        <w:t>有关，特别是存贮温度较高时易导致食品中的脂肪氧化酸败致使酸价超标。</w:t>
      </w:r>
    </w:p>
    <w:p w:rsidR="00EC0095" w:rsidRDefault="00EC0095">
      <w:pPr>
        <w:spacing w:line="440" w:lineRule="exact"/>
        <w:ind w:firstLineChars="200" w:firstLine="640"/>
        <w:rPr>
          <w:rFonts w:ascii="仿宋" w:eastAsia="仿宋" w:hAnsi="仿宋" w:cs="仿宋"/>
          <w:kern w:val="0"/>
          <w:sz w:val="32"/>
          <w:szCs w:val="32"/>
        </w:rPr>
      </w:pPr>
    </w:p>
    <w:p w:rsidR="00EC0095" w:rsidRDefault="00EC0095">
      <w:pPr>
        <w:spacing w:line="440" w:lineRule="exact"/>
        <w:ind w:firstLineChars="200" w:firstLine="480"/>
        <w:rPr>
          <w:rFonts w:ascii="Arial" w:hAnsi="Arial" w:cs="Arial"/>
          <w:color w:val="191919"/>
          <w:sz w:val="24"/>
          <w:szCs w:val="24"/>
          <w:shd w:val="clear" w:color="auto" w:fill="FFFFFF"/>
        </w:rPr>
      </w:pPr>
    </w:p>
    <w:sectPr w:rsidR="00EC0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3ED" w:rsidRDefault="00F923ED" w:rsidP="00176F14">
      <w:pPr>
        <w:rPr>
          <w:rFonts w:hint="eastAsia"/>
        </w:rPr>
      </w:pPr>
      <w:r>
        <w:separator/>
      </w:r>
    </w:p>
  </w:endnote>
  <w:endnote w:type="continuationSeparator" w:id="0">
    <w:p w:rsidR="00F923ED" w:rsidRDefault="00F923ED" w:rsidP="00176F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3ED" w:rsidRDefault="00F923ED" w:rsidP="00176F14">
      <w:pPr>
        <w:rPr>
          <w:rFonts w:hint="eastAsia"/>
        </w:rPr>
      </w:pPr>
      <w:r>
        <w:separator/>
      </w:r>
    </w:p>
  </w:footnote>
  <w:footnote w:type="continuationSeparator" w:id="0">
    <w:p w:rsidR="00F923ED" w:rsidRDefault="00F923ED" w:rsidP="00176F1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014C80"/>
    <w:multiLevelType w:val="singleLevel"/>
    <w:tmpl w:val="FF014C80"/>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176F14"/>
    <w:rsid w:val="00266986"/>
    <w:rsid w:val="00EC0095"/>
    <w:rsid w:val="00F923ED"/>
    <w:rsid w:val="020145AD"/>
    <w:rsid w:val="02461A32"/>
    <w:rsid w:val="049C10E0"/>
    <w:rsid w:val="064F208A"/>
    <w:rsid w:val="091E1E8C"/>
    <w:rsid w:val="096176A1"/>
    <w:rsid w:val="098C4AD6"/>
    <w:rsid w:val="09AD3D2D"/>
    <w:rsid w:val="0A8A135D"/>
    <w:rsid w:val="0AAB3302"/>
    <w:rsid w:val="0C1A7DE6"/>
    <w:rsid w:val="0C4A3A2F"/>
    <w:rsid w:val="0C6647C1"/>
    <w:rsid w:val="0D080EEF"/>
    <w:rsid w:val="0DCD408C"/>
    <w:rsid w:val="109C1D15"/>
    <w:rsid w:val="10AE03F8"/>
    <w:rsid w:val="11540BC8"/>
    <w:rsid w:val="14DD132B"/>
    <w:rsid w:val="15D35D91"/>
    <w:rsid w:val="16293424"/>
    <w:rsid w:val="16A5094C"/>
    <w:rsid w:val="16F16139"/>
    <w:rsid w:val="17844181"/>
    <w:rsid w:val="17D16A01"/>
    <w:rsid w:val="1AAE282B"/>
    <w:rsid w:val="1DC60705"/>
    <w:rsid w:val="1DCA15E8"/>
    <w:rsid w:val="1E653698"/>
    <w:rsid w:val="21267DEF"/>
    <w:rsid w:val="214E7B36"/>
    <w:rsid w:val="241F67F7"/>
    <w:rsid w:val="24DF7C17"/>
    <w:rsid w:val="27441CC2"/>
    <w:rsid w:val="27DE4DFA"/>
    <w:rsid w:val="29527064"/>
    <w:rsid w:val="29CB062A"/>
    <w:rsid w:val="2D873E73"/>
    <w:rsid w:val="2DC9409F"/>
    <w:rsid w:val="2E047006"/>
    <w:rsid w:val="2E375ACA"/>
    <w:rsid w:val="2EF84E53"/>
    <w:rsid w:val="30B03B2F"/>
    <w:rsid w:val="311B2AB5"/>
    <w:rsid w:val="32CB30AC"/>
    <w:rsid w:val="37184F83"/>
    <w:rsid w:val="3ABC1FE1"/>
    <w:rsid w:val="3B551BC6"/>
    <w:rsid w:val="3E0B4B63"/>
    <w:rsid w:val="3EA42C16"/>
    <w:rsid w:val="3FF47B42"/>
    <w:rsid w:val="41036A61"/>
    <w:rsid w:val="41E80A47"/>
    <w:rsid w:val="426A6186"/>
    <w:rsid w:val="43CF2673"/>
    <w:rsid w:val="444C3A23"/>
    <w:rsid w:val="456D64FF"/>
    <w:rsid w:val="45801D20"/>
    <w:rsid w:val="47476A52"/>
    <w:rsid w:val="48117E1B"/>
    <w:rsid w:val="492B5D59"/>
    <w:rsid w:val="4B2702ED"/>
    <w:rsid w:val="4C403DD2"/>
    <w:rsid w:val="4F080B75"/>
    <w:rsid w:val="4F2C65C3"/>
    <w:rsid w:val="5017563D"/>
    <w:rsid w:val="513F6002"/>
    <w:rsid w:val="54662E91"/>
    <w:rsid w:val="54DA4CA8"/>
    <w:rsid w:val="55D67DAA"/>
    <w:rsid w:val="560E5994"/>
    <w:rsid w:val="56666818"/>
    <w:rsid w:val="58BA776A"/>
    <w:rsid w:val="59795EB7"/>
    <w:rsid w:val="598A34A9"/>
    <w:rsid w:val="5A515E52"/>
    <w:rsid w:val="5BAE373B"/>
    <w:rsid w:val="5BC33DA8"/>
    <w:rsid w:val="5C4821F4"/>
    <w:rsid w:val="5DAD2E62"/>
    <w:rsid w:val="6030268C"/>
    <w:rsid w:val="60A26DA1"/>
    <w:rsid w:val="61117A29"/>
    <w:rsid w:val="612175D9"/>
    <w:rsid w:val="61DB1E35"/>
    <w:rsid w:val="61EE24B5"/>
    <w:rsid w:val="645F28A9"/>
    <w:rsid w:val="65031979"/>
    <w:rsid w:val="654C7F27"/>
    <w:rsid w:val="656B0542"/>
    <w:rsid w:val="662B3639"/>
    <w:rsid w:val="66B21B51"/>
    <w:rsid w:val="697C5C95"/>
    <w:rsid w:val="6B5457C1"/>
    <w:rsid w:val="6EF70921"/>
    <w:rsid w:val="72F102A1"/>
    <w:rsid w:val="73832442"/>
    <w:rsid w:val="74895696"/>
    <w:rsid w:val="75EA0C47"/>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5C5CE9-16AF-405F-BB2F-936BAD28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kern w:val="0"/>
      <w:szCs w:val="20"/>
    </w:rPr>
  </w:style>
  <w:style w:type="paragraph" w:styleId="a4">
    <w:name w:val="Normal (Web)"/>
    <w:basedOn w:val="a"/>
    <w:uiPriority w:val="99"/>
    <w:unhideWhenUsed/>
    <w:qFormat/>
    <w:pPr>
      <w:spacing w:beforeAutospacing="1" w:afterAutospacing="1"/>
      <w:jc w:val="left"/>
    </w:pPr>
    <w:rPr>
      <w:kern w:val="0"/>
      <w:sz w:val="24"/>
    </w:rPr>
  </w:style>
  <w:style w:type="character" w:styleId="a5">
    <w:name w:val="Hyperlink"/>
    <w:basedOn w:val="a0"/>
    <w:qFormat/>
    <w:rPr>
      <w:color w:val="0000FF"/>
      <w:u w:val="single"/>
    </w:rPr>
  </w:style>
  <w:style w:type="paragraph" w:customStyle="1" w:styleId="1">
    <w:name w:val="列出段落1"/>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pPr>
      <w:widowControl w:val="0"/>
      <w:jc w:val="both"/>
    </w:pPr>
    <w:rPr>
      <w:rFonts w:ascii="Calibri" w:hAnsi="Calibri" w:cs="黑体"/>
      <w:kern w:val="2"/>
      <w:sz w:val="21"/>
      <w:szCs w:val="22"/>
    </w:rPr>
  </w:style>
  <w:style w:type="paragraph" w:styleId="a6">
    <w:name w:val="header"/>
    <w:basedOn w:val="a"/>
    <w:link w:val="Char"/>
    <w:rsid w:val="00176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6F14"/>
    <w:rPr>
      <w:rFonts w:ascii="Calibri" w:hAnsi="Calibri"/>
      <w:kern w:val="2"/>
      <w:sz w:val="18"/>
      <w:szCs w:val="18"/>
    </w:rPr>
  </w:style>
  <w:style w:type="paragraph" w:styleId="a7">
    <w:name w:val="footer"/>
    <w:basedOn w:val="a"/>
    <w:link w:val="Char0"/>
    <w:rsid w:val="00176F14"/>
    <w:pPr>
      <w:tabs>
        <w:tab w:val="center" w:pos="4153"/>
        <w:tab w:val="right" w:pos="8306"/>
      </w:tabs>
      <w:snapToGrid w:val="0"/>
      <w:jc w:val="left"/>
    </w:pPr>
    <w:rPr>
      <w:sz w:val="18"/>
      <w:szCs w:val="18"/>
    </w:rPr>
  </w:style>
  <w:style w:type="character" w:customStyle="1" w:styleId="Char0">
    <w:name w:val="页脚 Char"/>
    <w:basedOn w:val="a0"/>
    <w:link w:val="a7"/>
    <w:rsid w:val="00176F1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406-yt</dc:creator>
  <cp:lastModifiedBy>Administrator</cp:lastModifiedBy>
  <cp:revision>2</cp:revision>
  <cp:lastPrinted>2019-12-25T06:39:00Z</cp:lastPrinted>
  <dcterms:created xsi:type="dcterms:W3CDTF">2019-10-22T08:11:00Z</dcterms:created>
  <dcterms:modified xsi:type="dcterms:W3CDTF">2020-04-07T09:08:00Z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