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宋体"/>
          <w:b/>
          <w:color w:val="000000" w:themeColor="text1"/>
          <w:sz w:val="84"/>
        </w:rPr>
      </w:pPr>
    </w:p>
    <w:p>
      <w:pPr>
        <w:jc w:val="center"/>
        <w:rPr>
          <w:rFonts w:ascii="Times New Roman" w:hAnsi="宋体"/>
          <w:b/>
          <w:color w:val="000000" w:themeColor="text1"/>
          <w:sz w:val="84"/>
        </w:rPr>
      </w:pPr>
    </w:p>
    <w:p>
      <w:pPr>
        <w:jc w:val="center"/>
        <w:rPr>
          <w:rFonts w:ascii="Times New Roman" w:hAnsi="宋体"/>
          <w:b/>
          <w:color w:val="000000" w:themeColor="text1"/>
          <w:sz w:val="84"/>
        </w:rPr>
      </w:pPr>
    </w:p>
    <w:p>
      <w:pPr>
        <w:rPr>
          <w:rFonts w:ascii="Times New Roman" w:hAnsi="宋体"/>
          <w:b/>
          <w:color w:val="000000" w:themeColor="text1"/>
          <w:sz w:val="84"/>
        </w:rPr>
      </w:pPr>
    </w:p>
    <w:p>
      <w:pPr>
        <w:jc w:val="center"/>
        <w:rPr>
          <w:rFonts w:ascii="Times New Roman" w:hAnsi="宋体"/>
          <w:b/>
          <w:color w:val="000000" w:themeColor="text1"/>
          <w:sz w:val="84"/>
        </w:rPr>
      </w:pPr>
      <w:r>
        <w:rPr>
          <w:rFonts w:ascii="Times New Roman" w:hAnsi="宋体"/>
          <w:b/>
          <w:color w:val="000000" w:themeColor="text1"/>
          <w:sz w:val="84"/>
        </w:rPr>
        <w:t>编制说明</w:t>
      </w:r>
    </w:p>
    <w:p>
      <w:pPr>
        <w:jc w:val="center"/>
        <w:rPr>
          <w:rFonts w:ascii="Times New Roman" w:hAnsi="宋体"/>
          <w:b/>
          <w:color w:val="000000" w:themeColor="text1"/>
          <w:sz w:val="84"/>
        </w:rPr>
      </w:pPr>
    </w:p>
    <w:p>
      <w:pPr>
        <w:rPr>
          <w:rFonts w:ascii="宋体" w:hAnsi="宋体" w:cs="宋体"/>
          <w:b/>
          <w:color w:val="000000" w:themeColor="text1"/>
          <w:sz w:val="28"/>
          <w:szCs w:val="28"/>
        </w:rPr>
      </w:pPr>
    </w:p>
    <w:p>
      <w:pPr>
        <w:jc w:val="center"/>
        <w:rPr>
          <w:rFonts w:ascii="宋体" w:hAnsi="宋体" w:cs="宋体"/>
          <w:b/>
          <w:color w:val="000000" w:themeColor="text1"/>
          <w:sz w:val="28"/>
          <w:szCs w:val="28"/>
        </w:rPr>
      </w:pPr>
    </w:p>
    <w:p>
      <w:pPr>
        <w:ind w:firstLine="1687" w:firstLineChars="600"/>
        <w:rPr>
          <w:rFonts w:ascii="Times New Roman" w:hAnsi="宋体"/>
          <w:b/>
          <w:color w:val="000000" w:themeColor="text1"/>
          <w:sz w:val="28"/>
          <w:u w:val="single"/>
        </w:rPr>
      </w:pPr>
      <w:r>
        <w:rPr>
          <w:rFonts w:hint="eastAsia" w:ascii="宋体" w:hAnsi="宋体" w:cs="宋体"/>
          <w:b/>
          <w:color w:val="000000" w:themeColor="text1"/>
          <w:sz w:val="28"/>
          <w:szCs w:val="28"/>
        </w:rPr>
        <w:t>项目名称：</w:t>
      </w:r>
      <w:r>
        <w:rPr>
          <w:rFonts w:hint="eastAsia" w:ascii="Times New Roman" w:hAnsi="宋体"/>
          <w:b/>
          <w:color w:val="000000" w:themeColor="text1"/>
          <w:sz w:val="28"/>
          <w:u w:val="single"/>
        </w:rPr>
        <w:t xml:space="preserve">动物垫料中肺炎克雷伯氏菌检测方法 </w:t>
      </w:r>
    </w:p>
    <w:p>
      <w:pPr>
        <w:ind w:firstLine="1687" w:firstLineChars="600"/>
        <w:rPr>
          <w:rFonts w:ascii="宋体" w:hAnsi="宋体" w:cs="宋体"/>
          <w:b/>
          <w:color w:val="000000" w:themeColor="text1"/>
          <w:sz w:val="28"/>
          <w:szCs w:val="28"/>
          <w:u w:val="single"/>
        </w:rPr>
      </w:pPr>
      <w:r>
        <w:rPr>
          <w:rFonts w:hint="eastAsia" w:ascii="宋体" w:hAnsi="宋体" w:cs="宋体"/>
          <w:b/>
          <w:color w:val="000000" w:themeColor="text1"/>
          <w:sz w:val="28"/>
          <w:szCs w:val="28"/>
        </w:rPr>
        <w:t>项目编号：</w:t>
      </w:r>
      <w:r>
        <w:rPr>
          <w:rFonts w:hint="eastAsia" w:ascii="Times New Roman" w:hAnsi="宋体"/>
          <w:b/>
          <w:color w:val="000000" w:themeColor="text1"/>
          <w:sz w:val="28"/>
          <w:u w:val="single"/>
        </w:rPr>
        <w:t xml:space="preserve">    </w:t>
      </w:r>
      <w:r>
        <w:rPr>
          <w:rFonts w:ascii="Times New Roman" w:hAnsi="宋体"/>
          <w:b/>
          <w:color w:val="000000" w:themeColor="text1"/>
          <w:sz w:val="28"/>
          <w:u w:val="single"/>
        </w:rPr>
        <w:t>内质监标函（</w:t>
      </w:r>
      <w:r>
        <w:rPr>
          <w:rFonts w:ascii="Times New Roman" w:hAnsi="Times New Roman" w:eastAsia="楷体_GB2312"/>
          <w:b/>
          <w:color w:val="000000" w:themeColor="text1"/>
          <w:sz w:val="28"/>
          <w:u w:val="single"/>
        </w:rPr>
        <w:t>201</w:t>
      </w:r>
      <w:r>
        <w:rPr>
          <w:rFonts w:hint="eastAsia" w:ascii="Times New Roman" w:hAnsi="Times New Roman" w:eastAsia="楷体_GB2312"/>
          <w:b/>
          <w:color w:val="000000" w:themeColor="text1"/>
          <w:sz w:val="28"/>
          <w:u w:val="single"/>
        </w:rPr>
        <w:t>9</w:t>
      </w:r>
      <w:r>
        <w:rPr>
          <w:rFonts w:ascii="Times New Roman" w:hAnsi="宋体"/>
          <w:b/>
          <w:color w:val="000000" w:themeColor="text1"/>
          <w:sz w:val="28"/>
          <w:u w:val="single"/>
        </w:rPr>
        <w:t>）</w:t>
      </w:r>
      <w:r>
        <w:rPr>
          <w:rFonts w:hint="eastAsia" w:ascii="Times New Roman" w:hAnsi="Times New Roman" w:eastAsia="楷体_GB2312"/>
          <w:b/>
          <w:color w:val="000000" w:themeColor="text1"/>
          <w:sz w:val="28"/>
          <w:u w:val="single"/>
        </w:rPr>
        <w:t>170</w:t>
      </w:r>
      <w:r>
        <w:rPr>
          <w:rFonts w:ascii="Times New Roman" w:hAnsi="宋体"/>
          <w:b/>
          <w:color w:val="000000" w:themeColor="text1"/>
          <w:sz w:val="28"/>
          <w:u w:val="single"/>
        </w:rPr>
        <w:t>号</w:t>
      </w:r>
      <w:r>
        <w:rPr>
          <w:rFonts w:hint="eastAsia" w:ascii="Times New Roman" w:hAnsi="宋体"/>
          <w:b/>
          <w:color w:val="000000" w:themeColor="text1"/>
          <w:sz w:val="28"/>
          <w:u w:val="single"/>
        </w:rPr>
        <w:t xml:space="preserve">-2    </w:t>
      </w:r>
    </w:p>
    <w:p>
      <w:pPr>
        <w:ind w:firstLine="1687" w:firstLineChars="600"/>
        <w:rPr>
          <w:rFonts w:ascii="Times New Roman" w:hAnsi="宋体"/>
          <w:b/>
          <w:color w:val="000000" w:themeColor="text1"/>
          <w:sz w:val="28"/>
          <w:u w:val="single"/>
        </w:rPr>
      </w:pPr>
      <w:r>
        <w:rPr>
          <w:rFonts w:hint="eastAsia" w:ascii="宋体" w:hAnsi="宋体" w:cs="宋体"/>
          <w:b/>
          <w:color w:val="000000" w:themeColor="text1"/>
          <w:sz w:val="28"/>
          <w:szCs w:val="28"/>
        </w:rPr>
        <w:t>编制单位：</w:t>
      </w:r>
      <w:r>
        <w:rPr>
          <w:rFonts w:hint="eastAsia" w:ascii="Times New Roman" w:hAnsi="宋体"/>
          <w:b/>
          <w:color w:val="000000" w:themeColor="text1"/>
          <w:sz w:val="28"/>
          <w:u w:val="single"/>
        </w:rPr>
        <w:t xml:space="preserve">           呼和浩特海关          </w:t>
      </w:r>
    </w:p>
    <w:p>
      <w:pPr>
        <w:ind w:firstLine="1687" w:firstLineChars="600"/>
        <w:rPr>
          <w:rFonts w:ascii="宋体" w:hAnsi="宋体" w:cs="宋体"/>
          <w:b/>
          <w:color w:val="000000" w:themeColor="text1"/>
          <w:sz w:val="28"/>
          <w:szCs w:val="28"/>
        </w:rPr>
      </w:pPr>
      <w:r>
        <w:rPr>
          <w:rFonts w:hint="eastAsia" w:ascii="宋体" w:hAnsi="宋体" w:cs="宋体"/>
          <w:b/>
          <w:color w:val="000000" w:themeColor="text1"/>
          <w:sz w:val="28"/>
          <w:szCs w:val="28"/>
        </w:rPr>
        <w:t>编制时间：</w:t>
      </w:r>
      <w:r>
        <w:rPr>
          <w:rFonts w:hint="eastAsia" w:ascii="Times New Roman" w:hAnsi="宋体"/>
          <w:b/>
          <w:color w:val="000000" w:themeColor="text1"/>
          <w:sz w:val="28"/>
          <w:u w:val="single"/>
        </w:rPr>
        <w:t xml:space="preserve">           </w:t>
      </w:r>
      <w:r>
        <w:rPr>
          <w:rFonts w:hint="eastAsia" w:ascii="宋体" w:hAnsi="宋体" w:cs="宋体"/>
          <w:b/>
          <w:color w:val="000000" w:themeColor="text1"/>
          <w:sz w:val="28"/>
          <w:szCs w:val="28"/>
          <w:u w:val="single"/>
        </w:rPr>
        <w:t>2019.5-2020.4</w:t>
      </w:r>
      <w:r>
        <w:rPr>
          <w:rFonts w:hint="eastAsia" w:ascii="Times New Roman" w:hAnsi="宋体"/>
          <w:b/>
          <w:color w:val="000000" w:themeColor="text1"/>
          <w:sz w:val="28"/>
          <w:u w:val="single"/>
        </w:rPr>
        <w:t xml:space="preserve">         </w:t>
      </w: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70"/>
        </w:tabs>
        <w:spacing w:line="360" w:lineRule="auto"/>
        <w:rPr>
          <w:rFonts w:ascii="Times New Roman" w:hAnsi="Times New Roman" w:eastAsia="Times New Roman"/>
          <w:b/>
          <w:color w:val="000000" w:themeColor="text1"/>
          <w:sz w:val="24"/>
          <w:szCs w:val="24"/>
        </w:rPr>
      </w:pPr>
      <w:r>
        <w:rPr>
          <w:rFonts w:hint="eastAsia" w:ascii="Times New Roman" w:hAnsi="Times New Roman"/>
          <w:b/>
          <w:color w:val="000000" w:themeColor="text1"/>
          <w:sz w:val="24"/>
          <w:szCs w:val="24"/>
        </w:rPr>
        <w:t>一、工作</w:t>
      </w:r>
      <w:r>
        <w:rPr>
          <w:rFonts w:ascii="Times New Roman" w:hAnsi="Times New Roman"/>
          <w:b/>
          <w:color w:val="000000" w:themeColor="text1"/>
          <w:sz w:val="24"/>
          <w:szCs w:val="24"/>
        </w:rPr>
        <w:t>简况</w:t>
      </w:r>
    </w:p>
    <w:p>
      <w:pPr>
        <w:pStyle w:val="3"/>
        <w:keepNext w:val="0"/>
        <w:keepLines w:val="0"/>
        <w:pageBreakBefore w:val="0"/>
        <w:kinsoku/>
        <w:wordWrap/>
        <w:overflowPunct/>
        <w:topLinePunct w:val="0"/>
        <w:bidi w:val="0"/>
        <w:adjustRightInd/>
        <w:snapToGrid/>
        <w:spacing w:line="600" w:lineRule="exact"/>
        <w:ind w:left="0" w:leftChars="0" w:right="0" w:rightChars="0" w:firstLine="480" w:firstLineChars="200"/>
        <w:textAlignment w:val="auto"/>
        <w:outlineLvl w:val="9"/>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color w:val="000000" w:themeColor="text1"/>
          <w:kern w:val="0"/>
          <w:sz w:val="24"/>
          <w:szCs w:val="24"/>
          <w:lang w:val="en-US" w:eastAsia="zh-CN" w:bidi="ar-SA"/>
        </w:rPr>
        <w:t>本标准根据《内蒙古自治区市场监督管理局关于下达2019年第一批内蒙古自治区地方标准制修订项目计划的通知》[内市监标准字〔2019〕170号]，本标准是由呼和浩特海关提出并归口，项目计划编号为2。呼和浩特海关牵头成立由相关领域的专业技术人员和具有标准化专业知识的人员组成的标准起草组。起草组在充分调查研究、综合分析和试验验证的基础上，起草标准初稿和编制说明，并广泛征求意见。对意见进行汇总整理，修改完善标准初稿，形成地方标准送审稿。</w:t>
      </w:r>
    </w:p>
    <w:p>
      <w:pPr>
        <w:pStyle w:val="26"/>
        <w:keepNext w:val="0"/>
        <w:keepLines w:val="0"/>
        <w:pageBreakBefore w:val="0"/>
        <w:kinsoku/>
        <w:wordWrap/>
        <w:overflowPunct/>
        <w:topLinePunct w:val="0"/>
        <w:bidi w:val="0"/>
        <w:adjustRightInd/>
        <w:snapToGrid/>
        <w:spacing w:line="600" w:lineRule="exact"/>
        <w:ind w:left="0" w:leftChars="0" w:right="0" w:rightChars="0" w:firstLine="480" w:firstLineChars="200"/>
        <w:textAlignment w:val="auto"/>
        <w:outlineLvl w:val="9"/>
        <w:rPr>
          <w:rFonts w:hint="eastAsia" w:ascii="宋体" w:hAnsi="宋体" w:eastAsia="宋体" w:cs="宋体"/>
          <w:color w:val="000000" w:themeColor="text1"/>
          <w:kern w:val="0"/>
          <w:sz w:val="24"/>
          <w:szCs w:val="24"/>
          <w:lang w:val="en-US" w:eastAsia="zh-CN" w:bidi="ar-SA"/>
        </w:rPr>
      </w:pPr>
      <w:r>
        <w:rPr>
          <w:rFonts w:hint="eastAsia" w:ascii="宋体" w:hAnsi="宋体" w:eastAsia="宋体" w:cs="宋体"/>
          <w:color w:val="000000" w:themeColor="text1"/>
          <w:kern w:val="0"/>
          <w:sz w:val="24"/>
          <w:szCs w:val="24"/>
          <w:lang w:val="en-US" w:eastAsia="zh-CN" w:bidi="ar-SA"/>
        </w:rPr>
        <w:t>起草单位：中华人民共和国呼和浩特海关。主要起草人：王海艳、靳木子、赵治国、郝广福、敖威华、云华、崔强、陈林军、延涵、郭文秀、陈宇飞。</w:t>
      </w:r>
    </w:p>
    <w:p>
      <w:pPr>
        <w:rPr>
          <w:rFonts w:ascii="Times New Roman" w:hAnsi="宋体"/>
          <w:b/>
          <w:color w:val="000000" w:themeColor="text1"/>
          <w:sz w:val="24"/>
          <w:szCs w:val="24"/>
        </w:rPr>
      </w:pPr>
      <w:r>
        <w:rPr>
          <w:rFonts w:hint="eastAsia" w:ascii="Times New Roman" w:hAnsi="宋体"/>
          <w:b/>
          <w:color w:val="000000" w:themeColor="text1"/>
          <w:sz w:val="24"/>
          <w:szCs w:val="24"/>
        </w:rPr>
        <w:t>二、</w:t>
      </w:r>
      <w:r>
        <w:rPr>
          <w:rFonts w:ascii="Times New Roman" w:hAnsi="宋体"/>
          <w:b/>
          <w:color w:val="000000" w:themeColor="text1"/>
          <w:sz w:val="24"/>
          <w:szCs w:val="24"/>
        </w:rPr>
        <w:t>标准制定的背景及意义</w:t>
      </w:r>
    </w:p>
    <w:p>
      <w:pPr>
        <w:spacing w:line="360" w:lineRule="auto"/>
        <w:ind w:firstLine="482" w:firstLineChars="200"/>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动物垫料与动物关系密切。</w:t>
      </w:r>
      <w:r>
        <w:rPr>
          <w:rFonts w:hint="eastAsia" w:ascii="宋体" w:hAnsi="宋体" w:cs="宋体"/>
          <w:color w:val="000000" w:themeColor="text1"/>
          <w:kern w:val="0"/>
          <w:sz w:val="24"/>
          <w:szCs w:val="24"/>
        </w:rPr>
        <w:t>近年来随着生物科学研究的飞速发展，</w:t>
      </w:r>
      <w:bookmarkStart w:id="0" w:name="_GoBack"/>
      <w:bookmarkEnd w:id="0"/>
      <w:r>
        <w:rPr>
          <w:rFonts w:hint="eastAsia" w:ascii="宋体" w:hAnsi="宋体" w:cs="宋体"/>
          <w:color w:val="000000" w:themeColor="text1"/>
          <w:kern w:val="0"/>
          <w:sz w:val="24"/>
          <w:szCs w:val="24"/>
        </w:rPr>
        <w:t>动物作为其研究中不可缺少的重要组成部分，备受各国政府的重视和科学家的关注。垫料是为动物营造舒适的人工环境，进行环境控制的基础条件和必要材料，是对动物产生直接作用和影响的环境因素。动物垫料与动物健康、福利息息相关，同时也对养殖业、动物及其相关科研方面甚至社会经济发展有十分重大的影响。因此，垫料的质量评定与控制非常必要。</w:t>
      </w:r>
    </w:p>
    <w:p>
      <w:pPr>
        <w:spacing w:line="360" w:lineRule="auto"/>
        <w:rPr>
          <w:rFonts w:ascii="宋体" w:hAnsi="宋体" w:cs="宋体"/>
          <w:color w:val="000000" w:themeColor="text1"/>
          <w:kern w:val="0"/>
          <w:sz w:val="24"/>
          <w:szCs w:val="24"/>
        </w:rPr>
      </w:pPr>
      <w:r>
        <w:rPr>
          <w:rFonts w:hint="eastAsia" w:ascii="宋体" w:hAnsi="宋体" w:cs="宋体"/>
          <w:color w:val="000000" w:themeColor="text1"/>
          <w:kern w:val="0"/>
          <w:sz w:val="24"/>
          <w:szCs w:val="24"/>
        </w:rPr>
        <w:t xml:space="preserve">    </w:t>
      </w:r>
      <w:r>
        <w:rPr>
          <w:rFonts w:hint="eastAsia" w:ascii="宋体" w:hAnsi="宋体" w:cs="宋体"/>
          <w:b/>
          <w:bCs/>
          <w:color w:val="000000" w:themeColor="text1"/>
          <w:kern w:val="0"/>
          <w:sz w:val="24"/>
          <w:szCs w:val="24"/>
        </w:rPr>
        <w:t>我国动物垫料标准化、商品化尚处于初级阶段。</w:t>
      </w:r>
      <w:r>
        <w:rPr>
          <w:rFonts w:hint="eastAsia" w:ascii="宋体" w:hAnsi="宋体" w:cs="宋体"/>
          <w:color w:val="000000" w:themeColor="text1"/>
          <w:kern w:val="0"/>
          <w:sz w:val="24"/>
          <w:szCs w:val="24"/>
        </w:rPr>
        <w:t>欧美等发达国家早已实行垫料商品化生产，有专业的工厂，并且各道工序的质量要求非常严格。而我国对动物垫料的研究还处于初级阶段，与垫料相关的文献报道甚少，垫料生产监管环节薄弱，检测标准缺乏。近年来我国政府及从业人员逐渐认识到动物垫料中存在的问题，开始对垫料质量评价方面的问题进行改进。因此要想使动物的质量管理与国际接轨，动物垫料生产的标准化管理就变得至关重要。</w:t>
      </w:r>
    </w:p>
    <w:p>
      <w:pPr>
        <w:spacing w:line="360" w:lineRule="auto"/>
        <w:ind w:firstLine="482" w:firstLineChars="200"/>
        <w:jc w:val="left"/>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我国动物垫料标准化和质量管理相对滞后，影响相关行业发展。</w:t>
      </w:r>
      <w:r>
        <w:rPr>
          <w:rFonts w:hint="eastAsia" w:ascii="宋体" w:hAnsi="宋体" w:cs="宋体"/>
          <w:color w:val="000000" w:themeColor="text1"/>
          <w:kern w:val="0"/>
          <w:sz w:val="24"/>
          <w:szCs w:val="24"/>
        </w:rPr>
        <w:t>我国对动物垫料的研究才刚刚起步，现行的国家标准和实验动物相关管理条例中，对动物垫料的标准化规定几乎空白，稀数资料对于垫料的规定只有：应选用吸湿性好、尘埃少、无异味、无毒性、无油脂的材料；须经消毒、灭菌后方可使用。如此笼统的规定在一定程度上制约了我国动物垫料标准不能紧跟国际标准，同时限制了药品、生物制品、动物等产品的出口，还使科研论文将不能被同行接受。因此要想提高相关学科竞争力，就必须加强垫料标准化和质量管理，从动物垫料微生物指标监测入手。</w:t>
      </w:r>
    </w:p>
    <w:p>
      <w:pPr>
        <w:adjustRightInd w:val="0"/>
        <w:snapToGrid w:val="0"/>
        <w:spacing w:line="360" w:lineRule="auto"/>
        <w:ind w:firstLine="482" w:firstLineChars="200"/>
        <w:rPr>
          <w:rFonts w:ascii="宋体" w:hAnsi="宋体" w:cs="宋体"/>
          <w:color w:val="000000" w:themeColor="text1"/>
          <w:kern w:val="0"/>
          <w:sz w:val="24"/>
          <w:szCs w:val="24"/>
        </w:rPr>
      </w:pPr>
      <w:r>
        <w:rPr>
          <w:rFonts w:hint="eastAsia" w:ascii="宋体" w:hAnsi="宋体" w:cs="宋体"/>
          <w:b/>
          <w:bCs/>
          <w:color w:val="000000" w:themeColor="text1"/>
          <w:sz w:val="24"/>
          <w:szCs w:val="24"/>
        </w:rPr>
        <w:t>我国动物垫料微生物检测标准几乎空白，亟待建立相关标准。</w:t>
      </w:r>
      <w:r>
        <w:rPr>
          <w:rFonts w:hint="eastAsia" w:ascii="宋体" w:hAnsi="宋体" w:cs="宋体"/>
          <w:color w:val="000000" w:themeColor="text1"/>
          <w:kern w:val="0"/>
          <w:sz w:val="24"/>
          <w:szCs w:val="24"/>
        </w:rPr>
        <w:t>近年来，我国政府及从业人员逐渐认识到动物垫料对动物健康及下游产业的重大意义，垫料相关研究报道逐年增多，积累了一定的理论基础。但目前，我国尚未对国内垫料质量建立统一评价体系、风险分析、国家标准及配套法规。其中，垫料中微生物特别是致病微生物对动物健康、福利和产品等影响重大，但目前动物垫料中微生物检测标准属于空白，亟待建立科学完善的动物垫料微生物检测标准，该工作将对国内垫料建立统一质量评价体系、风险分析及产品标准等有力促进。</w:t>
      </w:r>
    </w:p>
    <w:p>
      <w:pPr>
        <w:pStyle w:val="9"/>
        <w:widowControl/>
        <w:wordWrap w:val="0"/>
        <w:adjustRightInd w:val="0"/>
        <w:snapToGrid w:val="0"/>
        <w:spacing w:line="360" w:lineRule="auto"/>
        <w:ind w:firstLine="482" w:firstLineChars="200"/>
        <w:rPr>
          <w:rFonts w:ascii="宋体" w:hAnsi="宋体" w:cs="宋体"/>
          <w:color w:val="000000" w:themeColor="text1"/>
          <w:kern w:val="0"/>
        </w:rPr>
      </w:pPr>
      <w:r>
        <w:rPr>
          <w:rFonts w:hint="eastAsia" w:ascii="宋体" w:hAnsi="宋体" w:cs="宋体"/>
          <w:b/>
          <w:bCs/>
          <w:color w:val="000000" w:themeColor="text1"/>
          <w:kern w:val="0"/>
        </w:rPr>
        <w:t>动物垫料中</w:t>
      </w:r>
      <w:r>
        <w:rPr>
          <w:rFonts w:ascii="宋体" w:hAnsi="宋体" w:cs="宋体"/>
          <w:b/>
          <w:bCs/>
          <w:color w:val="000000" w:themeColor="text1"/>
          <w:kern w:val="0"/>
        </w:rPr>
        <w:t>肺炎克雷伯菌</w:t>
      </w:r>
      <w:r>
        <w:rPr>
          <w:rFonts w:hint="eastAsia" w:ascii="宋体" w:hAnsi="宋体" w:cs="宋体"/>
          <w:b/>
          <w:bCs/>
          <w:color w:val="000000" w:themeColor="text1"/>
          <w:kern w:val="0"/>
        </w:rPr>
        <w:t>对动物的危害极大。</w:t>
      </w:r>
      <w:r>
        <w:rPr>
          <w:rFonts w:ascii="宋体" w:hAnsi="宋体" w:cs="宋体"/>
          <w:color w:val="000000" w:themeColor="text1"/>
          <w:kern w:val="0"/>
        </w:rPr>
        <w:t>肺炎克雷伯菌是肠杆菌科克雷伯氏菌属中最为重要的一类菌（俗称肺炎杆菌），其所致疾病占克雷伯氏菌属感染的95%以上。肺炎克雷伯菌广泛分布于自然界，近年来成为仅次于大肠杆菌的最重要的条件致病菌,主要存在于人和动物肠道、呼吸道、泌尿生殖道，肺炎克雷伯菌可在全身各部位发生感染，但最高的发病率在尿路和呼吸道。当机体免疫力降低或长期大量使用抗生素导致菌群失调时</w:t>
      </w:r>
      <w:r>
        <w:rPr>
          <w:rFonts w:hint="eastAsia" w:ascii="宋体" w:hAnsi="宋体" w:cs="宋体"/>
          <w:color w:val="000000" w:themeColor="text1"/>
          <w:kern w:val="0"/>
        </w:rPr>
        <w:t>可</w:t>
      </w:r>
      <w:r>
        <w:rPr>
          <w:rFonts w:ascii="宋体" w:hAnsi="宋体" w:cs="宋体"/>
          <w:color w:val="000000" w:themeColor="text1"/>
          <w:kern w:val="0"/>
        </w:rPr>
        <w:t>引起感染，引</w:t>
      </w:r>
      <w:r>
        <w:rPr>
          <w:rFonts w:hint="eastAsia" w:ascii="宋体" w:hAnsi="宋体" w:cs="宋体"/>
          <w:color w:val="000000" w:themeColor="text1"/>
          <w:kern w:val="0"/>
        </w:rPr>
        <w:t>发</w:t>
      </w:r>
      <w:r>
        <w:rPr>
          <w:rFonts w:ascii="宋体" w:hAnsi="宋体" w:cs="宋体"/>
          <w:color w:val="000000" w:themeColor="text1"/>
          <w:kern w:val="0"/>
        </w:rPr>
        <w:t>肺炎、脑膜炎、肝脓肿、眼内炎、泌尿系统发炎、伤口感染、全身败血症等，给临床治疗带来了很大困难，发病死亡率极高,肺炎克雷伯菌是新生儿、免疫低下宿主、经外科途径感染的易感患者、糖尿病、肿瘤患者的主要危</w:t>
      </w:r>
      <w:r>
        <w:rPr>
          <w:rFonts w:hint="eastAsia" w:ascii="宋体" w:hAnsi="宋体" w:cs="宋体"/>
          <w:color w:val="000000" w:themeColor="text1"/>
          <w:kern w:val="0"/>
        </w:rPr>
        <w:t>胁。肺炎克雷伯菌是医院获得性肺炎（HAP)的常见致病菌。马来西亚槟城肺炎克雷伯菌为医院获得性肺炎的第二大致病菌，占7.2%。我国肺炎克雷伯菌医院获得性肺炎发病率高，占3.33%,重症加强护理病房是肺炎克雷伯菌肺部感染的高发区，尤其是机械通气的患者，研究表明机械通气相关肺炎（VAP)发生率为9%-45%。南美发展中国家重症加强护理病房内肺炎克雷伯菌肺炎发病率高达27%,俄罗斯早产儿机械通气相关肺炎克雷伯菌检出率更高达31%,新生儿病区也易于发生和流行肺炎克雷伯菌肺炎。在我国台湾地区，造成化脓性肝脓肿的菌株中，以肺炎克雷伯菌最为常见。在糖尿病患者合并肝脓肿的致病菌株分析中发现，肺炎克雷伯菌占所有分离菌株的97%,而大肠杆菌与其他的肠内菌分别只占2%与1%。各种动物均可感染肺炎克雷伯菌，动物体内排出的肺炎克雷伯氏菌，可通过食物食物链传染给人，动物垫料中肺炎克雷伯氏菌对动物的危害极大，是影响动物健康和动物实验结果的国际公认的重要环境因素之一，因此动物垫料中肺炎克雷伯氏菌的检测十分重要。</w:t>
      </w:r>
    </w:p>
    <w:p>
      <w:pPr>
        <w:spacing w:line="360" w:lineRule="auto"/>
        <w:ind w:firstLine="482" w:firstLineChars="200"/>
        <w:rPr>
          <w:rFonts w:ascii="宋体" w:hAnsi="宋体" w:cs="宋体"/>
          <w:color w:val="000000" w:themeColor="text1"/>
          <w:sz w:val="24"/>
          <w:szCs w:val="24"/>
        </w:rPr>
      </w:pPr>
      <w:r>
        <w:rPr>
          <w:rFonts w:hint="eastAsia" w:ascii="宋体" w:hAnsi="宋体" w:cs="宋体"/>
          <w:b/>
          <w:bCs/>
          <w:color w:val="000000" w:themeColor="text1"/>
          <w:kern w:val="0"/>
          <w:sz w:val="24"/>
          <w:szCs w:val="24"/>
        </w:rPr>
        <w:t>建立动物垫料肺炎克雷伯氏菌检测标准，保障动物健康急不可待。</w:t>
      </w:r>
      <w:r>
        <w:rPr>
          <w:rFonts w:hint="eastAsia" w:ascii="宋体" w:hAnsi="宋体" w:cs="宋体"/>
          <w:color w:val="000000" w:themeColor="text1"/>
          <w:kern w:val="0"/>
          <w:sz w:val="24"/>
          <w:szCs w:val="24"/>
        </w:rPr>
        <w:t>动物垫料与动物粪便直接接触，容易滋生细菌，尤其是肠道致病微生物，致使垫料被肺炎克雷伯氏菌污染，从而威胁动物的健康与福利，并且对养殖业的发展与国际间动物及产品贸易带来巨大的影响，甚至威胁到人类社会的生产与生活。但是对于动物垫料肺炎克雷伯氏菌检测标准几乎空白，还没有统一的标准和方法，所以建立动物垫料肺炎克雷伯氏菌检测标准已刻不容缓。</w:t>
      </w:r>
    </w:p>
    <w:p>
      <w:pPr>
        <w:spacing w:line="360" w:lineRule="auto"/>
        <w:ind w:firstLine="480"/>
        <w:rPr>
          <w:rFonts w:ascii="Times New Roman" w:hAnsi="Times New Roman"/>
          <w:color w:val="000000" w:themeColor="text1"/>
          <w:sz w:val="24"/>
          <w:szCs w:val="24"/>
        </w:rPr>
      </w:pPr>
      <w:r>
        <w:rPr>
          <w:rFonts w:hint="eastAsia" w:ascii="Times New Roman" w:hAnsi="宋体"/>
          <w:color w:val="000000" w:themeColor="text1"/>
          <w:sz w:val="24"/>
          <w:szCs w:val="24"/>
        </w:rPr>
        <w:t>本</w:t>
      </w:r>
      <w:r>
        <w:rPr>
          <w:rFonts w:ascii="Times New Roman" w:hAnsi="宋体"/>
          <w:color w:val="000000" w:themeColor="text1"/>
          <w:sz w:val="24"/>
          <w:szCs w:val="24"/>
        </w:rPr>
        <w:t>实验室具有多年</w:t>
      </w:r>
      <w:r>
        <w:rPr>
          <w:rFonts w:hint="eastAsia" w:ascii="Times New Roman" w:hAnsi="宋体"/>
          <w:color w:val="000000" w:themeColor="text1"/>
          <w:sz w:val="24"/>
          <w:szCs w:val="24"/>
        </w:rPr>
        <w:t>微生物检测</w:t>
      </w:r>
      <w:r>
        <w:rPr>
          <w:rFonts w:ascii="Times New Roman" w:hAnsi="宋体"/>
          <w:color w:val="000000" w:themeColor="text1"/>
          <w:sz w:val="24"/>
          <w:szCs w:val="24"/>
        </w:rPr>
        <w:t>的经验，本方法的开发和应用，在检测技术方面填补我区的空白、弥补了</w:t>
      </w:r>
      <w:r>
        <w:rPr>
          <w:rFonts w:hint="eastAsia" w:ascii="Times New Roman" w:hAnsi="宋体"/>
          <w:color w:val="000000" w:themeColor="text1"/>
          <w:sz w:val="24"/>
          <w:szCs w:val="24"/>
        </w:rPr>
        <w:t>自治区</w:t>
      </w:r>
      <w:r>
        <w:rPr>
          <w:rFonts w:ascii="Times New Roman" w:hAnsi="宋体"/>
          <w:color w:val="000000" w:themeColor="text1"/>
          <w:sz w:val="24"/>
          <w:szCs w:val="24"/>
        </w:rPr>
        <w:t>没有现行标准的不足，能够使</w:t>
      </w:r>
      <w:r>
        <w:rPr>
          <w:rFonts w:hint="eastAsia" w:ascii="Times New Roman" w:hAnsi="宋体"/>
          <w:color w:val="000000" w:themeColor="text1"/>
          <w:sz w:val="24"/>
          <w:szCs w:val="24"/>
        </w:rPr>
        <w:t>动物垫料中</w:t>
      </w:r>
      <w:r>
        <w:rPr>
          <w:rFonts w:hint="eastAsia" w:ascii="宋体" w:hAnsi="宋体" w:cs="宋体"/>
          <w:color w:val="000000" w:themeColor="text1"/>
          <w:kern w:val="0"/>
          <w:sz w:val="24"/>
          <w:szCs w:val="24"/>
        </w:rPr>
        <w:t>肺炎克雷伯氏菌</w:t>
      </w:r>
      <w:r>
        <w:rPr>
          <w:rFonts w:hint="eastAsia" w:ascii="Times New Roman" w:hAnsi="宋体"/>
          <w:color w:val="000000" w:themeColor="text1"/>
          <w:sz w:val="24"/>
          <w:szCs w:val="24"/>
        </w:rPr>
        <w:t>的检测</w:t>
      </w:r>
      <w:r>
        <w:rPr>
          <w:rFonts w:ascii="Times New Roman" w:hAnsi="宋体"/>
          <w:color w:val="000000" w:themeColor="text1"/>
          <w:sz w:val="24"/>
          <w:szCs w:val="24"/>
        </w:rPr>
        <w:t>更加高效、准确、安全。本方法的开发和应用将会使我区在</w:t>
      </w:r>
      <w:r>
        <w:rPr>
          <w:rFonts w:hint="eastAsia" w:ascii="Times New Roman" w:hAnsi="宋体"/>
          <w:color w:val="000000" w:themeColor="text1"/>
          <w:sz w:val="24"/>
          <w:szCs w:val="24"/>
        </w:rPr>
        <w:t>动物垫料中</w:t>
      </w:r>
      <w:r>
        <w:rPr>
          <w:rFonts w:hint="eastAsia" w:ascii="宋体" w:hAnsi="宋体" w:cs="宋体"/>
          <w:color w:val="000000" w:themeColor="text1"/>
          <w:kern w:val="0"/>
          <w:sz w:val="24"/>
          <w:szCs w:val="24"/>
        </w:rPr>
        <w:t>肺炎克雷伯氏菌</w:t>
      </w:r>
      <w:r>
        <w:rPr>
          <w:rFonts w:hint="eastAsia" w:ascii="Times New Roman" w:hAnsi="宋体"/>
          <w:color w:val="000000" w:themeColor="text1"/>
          <w:sz w:val="24"/>
          <w:szCs w:val="24"/>
        </w:rPr>
        <w:t>的检测</w:t>
      </w:r>
      <w:r>
        <w:rPr>
          <w:rFonts w:ascii="Times New Roman" w:hAnsi="宋体"/>
          <w:color w:val="000000" w:themeColor="text1"/>
          <w:sz w:val="24"/>
          <w:szCs w:val="24"/>
        </w:rPr>
        <w:t>先进性方面达到国内领先水平，为我区</w:t>
      </w:r>
      <w:r>
        <w:rPr>
          <w:rFonts w:hint="eastAsia" w:ascii="Times New Roman" w:hAnsi="宋体"/>
          <w:color w:val="000000" w:themeColor="text1"/>
          <w:sz w:val="24"/>
          <w:szCs w:val="24"/>
        </w:rPr>
        <w:t>动物垫料</w:t>
      </w:r>
      <w:r>
        <w:rPr>
          <w:rFonts w:ascii="Times New Roman" w:hAnsi="宋体"/>
          <w:color w:val="000000" w:themeColor="text1"/>
          <w:sz w:val="24"/>
          <w:szCs w:val="24"/>
        </w:rPr>
        <w:t>质量安全管理部门更快更好的管控提供可靠保障</w:t>
      </w:r>
      <w:r>
        <w:rPr>
          <w:rFonts w:hint="eastAsia" w:ascii="Times New Roman" w:hAnsi="宋体"/>
          <w:color w:val="000000" w:themeColor="text1"/>
          <w:sz w:val="24"/>
          <w:szCs w:val="24"/>
        </w:rPr>
        <w:t>。</w:t>
      </w:r>
      <w:r>
        <w:rPr>
          <w:rFonts w:ascii="Times New Roman" w:hAnsi="宋体"/>
          <w:color w:val="000000" w:themeColor="text1"/>
          <w:sz w:val="24"/>
          <w:szCs w:val="24"/>
        </w:rPr>
        <w:t>因此</w:t>
      </w:r>
      <w:r>
        <w:rPr>
          <w:rFonts w:hint="eastAsia" w:ascii="Times New Roman" w:hAnsi="宋体"/>
          <w:color w:val="000000" w:themeColor="text1"/>
          <w:sz w:val="24"/>
          <w:szCs w:val="24"/>
        </w:rPr>
        <w:t>，加强动物垫料中</w:t>
      </w:r>
      <w:r>
        <w:rPr>
          <w:rFonts w:hint="eastAsia" w:ascii="宋体" w:hAnsi="宋体" w:cs="宋体"/>
          <w:color w:val="000000" w:themeColor="text1"/>
          <w:kern w:val="0"/>
          <w:sz w:val="24"/>
          <w:szCs w:val="24"/>
        </w:rPr>
        <w:t>肺炎克雷伯氏菌</w:t>
      </w:r>
      <w:r>
        <w:rPr>
          <w:rFonts w:hint="eastAsia" w:ascii="Times New Roman" w:hAnsi="宋体"/>
          <w:color w:val="000000" w:themeColor="text1"/>
          <w:sz w:val="24"/>
          <w:szCs w:val="24"/>
        </w:rPr>
        <w:t>的检测</w:t>
      </w:r>
      <w:r>
        <w:rPr>
          <w:rFonts w:ascii="Times New Roman" w:hAnsi="宋体"/>
          <w:color w:val="000000" w:themeColor="text1"/>
          <w:sz w:val="24"/>
          <w:szCs w:val="24"/>
        </w:rPr>
        <w:t>对确保全区农业持续、健康发展具有重要的现实意义。</w:t>
      </w:r>
    </w:p>
    <w:p>
      <w:pPr>
        <w:tabs>
          <w:tab w:val="left" w:pos="570"/>
        </w:tabs>
        <w:rPr>
          <w:rFonts w:ascii="Times New Roman" w:hAnsi="Times New Roman" w:eastAsia="Times New Roman"/>
          <w:b/>
          <w:color w:val="000000" w:themeColor="text1"/>
          <w:sz w:val="24"/>
          <w:szCs w:val="24"/>
        </w:rPr>
      </w:pPr>
      <w:r>
        <w:rPr>
          <w:rFonts w:hint="eastAsia" w:ascii="Times New Roman" w:hAnsi="宋体"/>
          <w:b/>
          <w:color w:val="000000" w:themeColor="text1"/>
          <w:sz w:val="24"/>
          <w:szCs w:val="24"/>
        </w:rPr>
        <w:t>三、</w:t>
      </w:r>
      <w:r>
        <w:rPr>
          <w:rFonts w:ascii="Times New Roman" w:hAnsi="宋体"/>
          <w:b/>
          <w:color w:val="000000" w:themeColor="text1"/>
          <w:sz w:val="24"/>
          <w:szCs w:val="24"/>
        </w:rPr>
        <w:t>主要起草过程</w:t>
      </w:r>
    </w:p>
    <w:p>
      <w:pPr>
        <w:spacing w:line="360" w:lineRule="auto"/>
        <w:ind w:left="2160" w:hanging="2160"/>
        <w:rPr>
          <w:rFonts w:ascii="Times New Roman" w:hAnsi="Times New Roman"/>
          <w:color w:val="000000" w:themeColor="text1"/>
          <w:sz w:val="24"/>
          <w:szCs w:val="24"/>
        </w:rPr>
      </w:pP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.0</w:t>
      </w:r>
      <w:r>
        <w:rPr>
          <w:rFonts w:hint="eastAsia" w:ascii="Times New Roman" w:hAnsi="Times New Roman"/>
          <w:color w:val="000000" w:themeColor="text1"/>
          <w:sz w:val="24"/>
          <w:szCs w:val="24"/>
        </w:rPr>
        <w:t>5</w:t>
      </w: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.0</w:t>
      </w:r>
      <w:r>
        <w:rPr>
          <w:rFonts w:hint="eastAsia" w:ascii="Times New Roman" w:hAnsi="Times New Roman"/>
          <w:color w:val="000000" w:themeColor="text1"/>
          <w:sz w:val="24"/>
          <w:szCs w:val="24"/>
        </w:rPr>
        <w:t>7</w:t>
      </w:r>
      <w:r>
        <w:rPr>
          <w:rFonts w:ascii="Times New Roman" w:hAnsi="Times New Roman"/>
          <w:color w:val="000000" w:themeColor="text1"/>
          <w:sz w:val="24"/>
          <w:szCs w:val="24"/>
        </w:rPr>
        <w:t xml:space="preserve">  </w:t>
      </w:r>
      <w:r>
        <w:rPr>
          <w:rFonts w:ascii="Times New Roman" w:hAnsi="宋体"/>
          <w:color w:val="000000" w:themeColor="text1"/>
          <w:sz w:val="24"/>
          <w:szCs w:val="24"/>
        </w:rPr>
        <w:t>地标前期基础工作：</w:t>
      </w:r>
      <w:r>
        <w:rPr>
          <w:rFonts w:hint="eastAsia" w:ascii="Times New Roman" w:hAnsi="宋体"/>
          <w:color w:val="000000" w:themeColor="text1"/>
          <w:sz w:val="24"/>
          <w:szCs w:val="24"/>
        </w:rPr>
        <w:t>收集动物垫料样本，</w:t>
      </w:r>
      <w:r>
        <w:rPr>
          <w:rFonts w:ascii="Times New Roman" w:hAnsi="宋体"/>
          <w:color w:val="000000" w:themeColor="text1"/>
          <w:sz w:val="24"/>
          <w:szCs w:val="24"/>
        </w:rPr>
        <w:t>查阅</w:t>
      </w:r>
      <w:r>
        <w:rPr>
          <w:rFonts w:hint="eastAsia" w:ascii="宋体" w:hAnsi="宋体" w:cs="宋体"/>
          <w:color w:val="000000" w:themeColor="text1"/>
          <w:kern w:val="0"/>
          <w:sz w:val="24"/>
          <w:szCs w:val="24"/>
        </w:rPr>
        <w:t>肺炎克雷伯氏菌</w:t>
      </w:r>
      <w:r>
        <w:rPr>
          <w:rFonts w:ascii="Times New Roman" w:hAnsi="宋体"/>
          <w:color w:val="000000" w:themeColor="text1"/>
          <w:sz w:val="24"/>
          <w:szCs w:val="24"/>
        </w:rPr>
        <w:t>资料，检索</w:t>
      </w:r>
      <w:r>
        <w:rPr>
          <w:rFonts w:hint="eastAsia" w:ascii="宋体" w:hAnsi="宋体" w:cs="宋体"/>
          <w:color w:val="000000" w:themeColor="text1"/>
          <w:kern w:val="0"/>
          <w:sz w:val="24"/>
          <w:szCs w:val="24"/>
        </w:rPr>
        <w:t>肺炎克雷伯氏菌</w:t>
      </w:r>
      <w:r>
        <w:rPr>
          <w:rFonts w:hint="eastAsia" w:ascii="Times New Roman" w:hAnsi="宋体"/>
          <w:color w:val="000000" w:themeColor="text1"/>
          <w:sz w:val="24"/>
          <w:szCs w:val="24"/>
        </w:rPr>
        <w:t>检测</w:t>
      </w:r>
      <w:r>
        <w:rPr>
          <w:rFonts w:ascii="Times New Roman" w:hAnsi="宋体"/>
          <w:color w:val="000000" w:themeColor="text1"/>
          <w:sz w:val="24"/>
          <w:szCs w:val="24"/>
        </w:rPr>
        <w:t>的相关文献及标准</w:t>
      </w:r>
      <w:r>
        <w:rPr>
          <w:rFonts w:hint="eastAsia" w:ascii="Times New Roman" w:hAnsi="宋体"/>
          <w:color w:val="000000" w:themeColor="text1"/>
          <w:sz w:val="24"/>
          <w:szCs w:val="24"/>
        </w:rPr>
        <w:t>。</w:t>
      </w:r>
    </w:p>
    <w:p>
      <w:pPr>
        <w:spacing w:line="360" w:lineRule="auto"/>
        <w:ind w:left="2160" w:hanging="2160"/>
        <w:rPr>
          <w:rFonts w:ascii="Times New Roman" w:hAnsi="Times New Roman"/>
          <w:color w:val="000000" w:themeColor="text1"/>
          <w:sz w:val="24"/>
          <w:szCs w:val="24"/>
        </w:rPr>
      </w:pP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w:t>
      </w:r>
      <w:r>
        <w:rPr>
          <w:rFonts w:hint="eastAsia" w:ascii="Times New Roman" w:hAnsi="Times New Roman"/>
          <w:color w:val="000000" w:themeColor="text1"/>
          <w:sz w:val="24"/>
          <w:szCs w:val="24"/>
        </w:rPr>
        <w:t>08</w:t>
      </w: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w:t>
      </w:r>
      <w:r>
        <w:rPr>
          <w:rFonts w:hint="eastAsia" w:ascii="Times New Roman" w:hAnsi="Times New Roman"/>
          <w:color w:val="000000" w:themeColor="text1"/>
          <w:sz w:val="24"/>
          <w:szCs w:val="24"/>
        </w:rPr>
        <w:t>11</w:t>
      </w:r>
      <w:r>
        <w:rPr>
          <w:rFonts w:ascii="Times New Roman" w:hAnsi="Times New Roman"/>
          <w:color w:val="000000" w:themeColor="text1"/>
          <w:sz w:val="24"/>
          <w:szCs w:val="24"/>
        </w:rPr>
        <w:t xml:space="preserve">  </w:t>
      </w:r>
      <w:r>
        <w:rPr>
          <w:rFonts w:ascii="Times New Roman" w:hAnsi="宋体"/>
          <w:color w:val="000000" w:themeColor="text1"/>
          <w:sz w:val="24"/>
          <w:szCs w:val="24"/>
        </w:rPr>
        <w:t>前期实验条件的摸索：包括前处理方法的优化、对照</w:t>
      </w:r>
      <w:r>
        <w:rPr>
          <w:rFonts w:hint="eastAsia" w:ascii="Times New Roman" w:hAnsi="宋体"/>
          <w:color w:val="000000" w:themeColor="text1"/>
          <w:sz w:val="24"/>
          <w:szCs w:val="24"/>
        </w:rPr>
        <w:t>，不同垫料中</w:t>
      </w:r>
      <w:r>
        <w:rPr>
          <w:rFonts w:hint="eastAsia" w:ascii="宋体" w:hAnsi="宋体" w:cs="宋体"/>
          <w:color w:val="000000" w:themeColor="text1"/>
          <w:kern w:val="0"/>
          <w:sz w:val="24"/>
          <w:szCs w:val="24"/>
        </w:rPr>
        <w:t>肺炎克雷伯氏菌</w:t>
      </w:r>
      <w:r>
        <w:rPr>
          <w:rFonts w:hint="eastAsia" w:ascii="Times New Roman" w:hAnsi="宋体"/>
          <w:color w:val="000000" w:themeColor="text1"/>
          <w:sz w:val="24"/>
          <w:szCs w:val="24"/>
        </w:rPr>
        <w:t>的检出率，</w:t>
      </w:r>
      <w:r>
        <w:rPr>
          <w:rFonts w:ascii="Times New Roman" w:hAnsi="宋体"/>
          <w:color w:val="000000" w:themeColor="text1"/>
          <w:sz w:val="24"/>
          <w:szCs w:val="24"/>
        </w:rPr>
        <w:t>最终确定实验方案，编写编制说明</w:t>
      </w:r>
      <w:r>
        <w:rPr>
          <w:rFonts w:hint="eastAsia" w:ascii="Times New Roman" w:hAnsi="宋体"/>
          <w:color w:val="000000" w:themeColor="text1"/>
          <w:sz w:val="24"/>
          <w:szCs w:val="24"/>
        </w:rPr>
        <w:t>。</w:t>
      </w:r>
    </w:p>
    <w:p>
      <w:pPr>
        <w:spacing w:line="360" w:lineRule="auto"/>
        <w:ind w:left="2160" w:hanging="2160"/>
        <w:rPr>
          <w:rFonts w:ascii="Times New Roman" w:hAnsi="宋体"/>
          <w:color w:val="000000" w:themeColor="text1"/>
          <w:sz w:val="24"/>
          <w:szCs w:val="24"/>
        </w:rPr>
      </w:pPr>
      <w:r>
        <w:rPr>
          <w:rFonts w:ascii="Times New Roman" w:hAnsi="Times New Roman"/>
          <w:color w:val="000000" w:themeColor="text1"/>
          <w:sz w:val="24"/>
          <w:szCs w:val="24"/>
        </w:rPr>
        <w:t>20</w:t>
      </w:r>
      <w:r>
        <w:rPr>
          <w:rFonts w:hint="eastAsia" w:ascii="Times New Roman" w:hAnsi="Times New Roman"/>
          <w:color w:val="000000" w:themeColor="text1"/>
          <w:sz w:val="24"/>
          <w:szCs w:val="24"/>
        </w:rPr>
        <w:t>19</w:t>
      </w:r>
      <w:r>
        <w:rPr>
          <w:rFonts w:ascii="Times New Roman" w:hAnsi="Times New Roman"/>
          <w:color w:val="000000" w:themeColor="text1"/>
          <w:sz w:val="24"/>
          <w:szCs w:val="24"/>
        </w:rPr>
        <w:t>.</w:t>
      </w:r>
      <w:r>
        <w:rPr>
          <w:rFonts w:hint="eastAsia" w:ascii="Times New Roman" w:hAnsi="Times New Roman"/>
          <w:color w:val="000000" w:themeColor="text1"/>
          <w:sz w:val="24"/>
          <w:szCs w:val="24"/>
        </w:rPr>
        <w:t>12</w:t>
      </w:r>
      <w:r>
        <w:rPr>
          <w:rFonts w:ascii="Times New Roman" w:hAnsi="Times New Roman"/>
          <w:color w:val="000000" w:themeColor="text1"/>
          <w:sz w:val="24"/>
          <w:szCs w:val="24"/>
        </w:rPr>
        <w:t>-20</w:t>
      </w:r>
      <w:r>
        <w:rPr>
          <w:rFonts w:hint="eastAsia" w:ascii="Times New Roman" w:hAnsi="Times New Roman"/>
          <w:color w:val="000000" w:themeColor="text1"/>
          <w:sz w:val="24"/>
          <w:szCs w:val="24"/>
        </w:rPr>
        <w:t>20</w:t>
      </w:r>
      <w:r>
        <w:rPr>
          <w:rFonts w:ascii="Times New Roman" w:hAnsi="Times New Roman"/>
          <w:color w:val="000000" w:themeColor="text1"/>
          <w:sz w:val="24"/>
          <w:szCs w:val="24"/>
        </w:rPr>
        <w:t>.</w:t>
      </w:r>
      <w:r>
        <w:rPr>
          <w:rFonts w:hint="eastAsia" w:ascii="Times New Roman" w:hAnsi="Times New Roman"/>
          <w:color w:val="000000" w:themeColor="text1"/>
          <w:sz w:val="24"/>
          <w:szCs w:val="24"/>
        </w:rPr>
        <w:t>02</w:t>
      </w:r>
      <w:r>
        <w:rPr>
          <w:rFonts w:ascii="Times New Roman" w:hAnsi="Times New Roman"/>
          <w:color w:val="000000" w:themeColor="text1"/>
          <w:sz w:val="24"/>
          <w:szCs w:val="24"/>
        </w:rPr>
        <w:t xml:space="preserve">   </w:t>
      </w:r>
      <w:r>
        <w:rPr>
          <w:rFonts w:ascii="Times New Roman" w:hAnsi="宋体"/>
          <w:color w:val="000000" w:themeColor="text1"/>
          <w:sz w:val="24"/>
          <w:szCs w:val="24"/>
        </w:rPr>
        <w:t>编写地标并定初稿</w:t>
      </w:r>
      <w:r>
        <w:rPr>
          <w:rFonts w:hint="eastAsia" w:ascii="Times New Roman" w:hAnsi="宋体"/>
          <w:color w:val="000000" w:themeColor="text1"/>
          <w:sz w:val="24"/>
          <w:szCs w:val="24"/>
        </w:rPr>
        <w:t>并征求意见，</w:t>
      </w:r>
      <w:r>
        <w:rPr>
          <w:rFonts w:ascii="Times New Roman" w:hAnsi="宋体"/>
          <w:color w:val="000000" w:themeColor="text1"/>
          <w:sz w:val="24"/>
          <w:szCs w:val="24"/>
        </w:rPr>
        <w:t>验证单位进行验证</w:t>
      </w:r>
      <w:r>
        <w:rPr>
          <w:rFonts w:hint="eastAsia" w:ascii="Times New Roman" w:hAnsi="宋体"/>
          <w:color w:val="000000" w:themeColor="text1"/>
          <w:sz w:val="24"/>
          <w:szCs w:val="24"/>
        </w:rPr>
        <w:t>。</w:t>
      </w:r>
    </w:p>
    <w:p>
      <w:pPr>
        <w:spacing w:line="360" w:lineRule="auto"/>
        <w:ind w:left="2160" w:hanging="2160"/>
        <w:rPr>
          <w:rFonts w:ascii="Times New Roman" w:hAnsi="宋体"/>
          <w:color w:val="000000" w:themeColor="text1"/>
          <w:sz w:val="24"/>
          <w:szCs w:val="24"/>
        </w:rPr>
      </w:pPr>
      <w:r>
        <w:rPr>
          <w:rFonts w:ascii="Times New Roman" w:hAnsi="Times New Roman"/>
          <w:color w:val="000000" w:themeColor="text1"/>
          <w:sz w:val="24"/>
          <w:szCs w:val="24"/>
        </w:rPr>
        <w:t>20</w:t>
      </w:r>
      <w:r>
        <w:rPr>
          <w:rFonts w:hint="eastAsia" w:ascii="Times New Roman" w:hAnsi="Times New Roman"/>
          <w:color w:val="000000" w:themeColor="text1"/>
          <w:sz w:val="24"/>
          <w:szCs w:val="24"/>
        </w:rPr>
        <w:t>20</w:t>
      </w:r>
      <w:r>
        <w:rPr>
          <w:rFonts w:ascii="Times New Roman" w:hAnsi="Times New Roman"/>
          <w:color w:val="000000" w:themeColor="text1"/>
          <w:sz w:val="24"/>
          <w:szCs w:val="24"/>
        </w:rPr>
        <w:t>.</w:t>
      </w:r>
      <w:r>
        <w:rPr>
          <w:rFonts w:hint="eastAsia" w:ascii="Times New Roman" w:hAnsi="Times New Roman"/>
          <w:color w:val="000000" w:themeColor="text1"/>
          <w:sz w:val="24"/>
          <w:szCs w:val="24"/>
        </w:rPr>
        <w:t>03          意见汇总并完善标准，完成标准送审稿送审。</w:t>
      </w:r>
    </w:p>
    <w:p>
      <w:pPr>
        <w:tabs>
          <w:tab w:val="left" w:pos="570"/>
        </w:tabs>
        <w:spacing w:line="360" w:lineRule="auto"/>
        <w:rPr>
          <w:rFonts w:ascii="宋体" w:hAnsi="宋体" w:cs="宋体"/>
          <w:b/>
          <w:color w:val="000000" w:themeColor="text1"/>
          <w:sz w:val="24"/>
          <w:szCs w:val="24"/>
        </w:rPr>
      </w:pPr>
      <w:r>
        <w:rPr>
          <w:rFonts w:hint="eastAsia" w:ascii="宋体" w:hAnsi="宋体" w:cs="宋体"/>
          <w:b/>
          <w:color w:val="000000" w:themeColor="text1"/>
          <w:sz w:val="24"/>
          <w:szCs w:val="24"/>
        </w:rPr>
        <w:t>四、</w:t>
      </w:r>
      <w:r>
        <w:rPr>
          <w:rFonts w:ascii="宋体" w:hAnsi="宋体" w:cs="宋体"/>
          <w:b/>
          <w:color w:val="000000" w:themeColor="text1"/>
          <w:sz w:val="24"/>
          <w:szCs w:val="24"/>
        </w:rPr>
        <w:t>现行法律、法规和强制性标准的关系</w:t>
      </w:r>
    </w:p>
    <w:p>
      <w:pPr>
        <w:widowControl/>
        <w:adjustRightInd w:val="0"/>
        <w:snapToGrid w:val="0"/>
        <w:spacing w:line="360" w:lineRule="auto"/>
        <w:ind w:firstLine="480" w:firstLineChars="200"/>
        <w:jc w:val="left"/>
        <w:rPr>
          <w:rFonts w:ascii="Times New Roman" w:hAnsi="Times New Roman"/>
          <w:color w:val="000000" w:themeColor="text1"/>
          <w:sz w:val="24"/>
          <w:szCs w:val="24"/>
        </w:rPr>
      </w:pPr>
      <w:r>
        <w:rPr>
          <w:rFonts w:hint="eastAsia" w:ascii="宋体" w:hAnsi="宋体" w:cs="宋体"/>
          <w:color w:val="000000" w:themeColor="text1"/>
          <w:kern w:val="0"/>
          <w:sz w:val="24"/>
          <w:szCs w:val="24"/>
        </w:rPr>
        <w:t>本标准遵循</w:t>
      </w:r>
      <w:r>
        <w:rPr>
          <w:rFonts w:hint="eastAsia" w:ascii="Times New Roman" w:hAnsi="Times New Roman"/>
          <w:color w:val="000000" w:themeColor="text1"/>
          <w:sz w:val="24"/>
          <w:szCs w:val="24"/>
        </w:rPr>
        <w:t>GB/T 1.1-2009 《标准化工作导则 第1部分：标准的结构和编写》和GB/T 20001.4-2015 《标准编写规则 第4部分：试验方法标准》的规则编写。还参照相关国家标准编写指南的要求。</w:t>
      </w:r>
    </w:p>
    <w:p>
      <w:pPr>
        <w:widowControl/>
        <w:adjustRightInd w:val="0"/>
        <w:snapToGrid w:val="0"/>
        <w:spacing w:line="360" w:lineRule="auto"/>
        <w:ind w:firstLine="480" w:firstLineChars="200"/>
        <w:jc w:val="left"/>
        <w:rPr>
          <w:rFonts w:ascii="Times New Roman" w:hAnsi="Times New Roman"/>
          <w:color w:val="000000" w:themeColor="text1"/>
          <w:sz w:val="24"/>
          <w:szCs w:val="24"/>
        </w:rPr>
      </w:pPr>
      <w:r>
        <w:rPr>
          <w:rFonts w:hint="eastAsia" w:ascii="宋体" w:hAnsi="宋体" w:cs="宋体"/>
          <w:color w:val="000000" w:themeColor="text1"/>
          <w:kern w:val="0"/>
          <w:sz w:val="24"/>
          <w:szCs w:val="24"/>
        </w:rPr>
        <w:t>在编制本标准的过程中参考了以下标准：</w:t>
      </w:r>
      <w:r>
        <w:rPr>
          <w:rFonts w:hint="eastAsia" w:ascii="Times New Roman" w:hAnsi="Times New Roman"/>
          <w:color w:val="000000" w:themeColor="text1"/>
          <w:sz w:val="24"/>
          <w:szCs w:val="24"/>
        </w:rPr>
        <w:t>GB 14925-2010</w:t>
      </w:r>
      <w:r>
        <w:rPr>
          <w:rFonts w:hint="eastAsia" w:ascii="宋体" w:hAnsi="宋体" w:cs="宋体"/>
          <w:color w:val="000000" w:themeColor="text1"/>
          <w:kern w:val="0"/>
          <w:sz w:val="24"/>
          <w:szCs w:val="24"/>
        </w:rPr>
        <w:t>《实验动物环境及设施》、</w:t>
      </w:r>
      <w:r>
        <w:rPr>
          <w:rFonts w:hint="eastAsia" w:ascii="Times New Roman" w:hAnsi="Times New Roman"/>
          <w:color w:val="000000" w:themeColor="text1"/>
          <w:sz w:val="24"/>
          <w:szCs w:val="24"/>
        </w:rPr>
        <w:t>GB/T 14926.13-2001《实验动物脑炎克雷伯杆菌检测方法》、SN/T 1962-2007《食品中克雷伯氏菌检测方法》、SN/T 25529-2010《乳及乳制品卫生微生物学检验方法 第9部分：克雷伯氏菌检验》、SN/T 27548-2011《出口食品中数病菌环介导检温扩增（LAMP)检测方法》、SN/T 2206.3-2009《化妆品微生物检验方法 第3部分：肺炎克雷伯氏菌》；综合参考了现行与肺炎克雷伯杆菌检测相关的检测标准，力求该标准能够高效准确的检测垫料中脑炎克雷伯杆菌，同时兼顾标准的广泛应用。</w:t>
      </w:r>
    </w:p>
    <w:p>
      <w:pPr>
        <w:widowControl/>
        <w:adjustRightInd w:val="0"/>
        <w:snapToGrid w:val="0"/>
        <w:spacing w:line="360" w:lineRule="auto"/>
        <w:ind w:firstLine="480" w:firstLineChars="200"/>
        <w:jc w:val="left"/>
        <w:rPr>
          <w:rFonts w:ascii="宋体" w:hAnsi="宋体" w:cs="宋体"/>
          <w:color w:val="000000" w:themeColor="text1"/>
          <w:kern w:val="0"/>
          <w:sz w:val="24"/>
          <w:szCs w:val="24"/>
        </w:rPr>
      </w:pPr>
      <w:r>
        <w:rPr>
          <w:rFonts w:hint="eastAsia" w:ascii="宋体" w:hAnsi="宋体" w:cs="宋体"/>
          <w:color w:val="000000" w:themeColor="text1"/>
          <w:kern w:val="0"/>
          <w:sz w:val="24"/>
          <w:szCs w:val="24"/>
        </w:rPr>
        <w:t>本标准完全符合现行法律法规和强制性标准规定，不存在任何与现行法律法规和强制性标准相违背之处。相关强制性标准</w:t>
      </w:r>
      <w:r>
        <w:rPr>
          <w:rFonts w:ascii="Times New Roman" w:hAnsi="Times New Roman"/>
          <w:color w:val="000000" w:themeColor="text1"/>
          <w:kern w:val="0"/>
          <w:sz w:val="24"/>
          <w:szCs w:val="24"/>
        </w:rPr>
        <w:t>2项：GB 14925-2010</w:t>
      </w:r>
      <w:r>
        <w:rPr>
          <w:rFonts w:hint="eastAsia" w:ascii="Times New Roman" w:hAnsi="Times New Roman"/>
          <w:color w:val="000000" w:themeColor="text1"/>
          <w:kern w:val="0"/>
          <w:sz w:val="24"/>
          <w:szCs w:val="24"/>
        </w:rPr>
        <w:t xml:space="preserve"> </w:t>
      </w:r>
      <w:r>
        <w:rPr>
          <w:rFonts w:hint="eastAsia" w:ascii="宋体" w:hAnsi="宋体" w:cs="宋体"/>
          <w:color w:val="000000" w:themeColor="text1"/>
          <w:kern w:val="0"/>
          <w:sz w:val="24"/>
          <w:szCs w:val="24"/>
        </w:rPr>
        <w:t>《实验动物 环境及设施》，本标准规定了实验动物及动物实验设备和环境的技术要求及检测方法，同时规定了垫料、饮水和笼具的原则要求。但针对垫料该标准仅规定了“垫料的材质应符合动物的健康和福利要求，应满足吸湿性好、尘埃少、无异味、无毒性、无油脂、耐高温、耐高压等条件；垫料必须经灭菌处理后方可使用” 。本地标适用于垫料中肺炎克雷伯氏菌检测，明确规定了不同类别垫料取样方法，标准中肺炎克雷伯氏菌鉴定过程增加了新的鉴定手段，确保检测结果更加准确。</w:t>
      </w:r>
    </w:p>
    <w:p>
      <w:pPr>
        <w:numPr>
          <w:ilvl w:val="0"/>
          <w:numId w:val="1"/>
        </w:numPr>
        <w:tabs>
          <w:tab w:val="left" w:pos="570"/>
        </w:tabs>
        <w:rPr>
          <w:rFonts w:ascii="宋体" w:hAnsi="宋体" w:cs="宋体"/>
          <w:b/>
          <w:color w:val="000000" w:themeColor="text1"/>
          <w:sz w:val="24"/>
          <w:szCs w:val="24"/>
        </w:rPr>
      </w:pPr>
      <w:r>
        <w:rPr>
          <w:rFonts w:ascii="宋体" w:hAnsi="宋体" w:cs="宋体"/>
          <w:b/>
          <w:color w:val="000000" w:themeColor="text1"/>
          <w:sz w:val="24"/>
          <w:szCs w:val="24"/>
        </w:rPr>
        <w:t>主要内容及检测方法的确定</w:t>
      </w:r>
    </w:p>
    <w:p>
      <w:pPr>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w:t>
      </w:r>
      <w:r>
        <w:rPr>
          <w:rFonts w:ascii="Times New Roman" w:hAnsi="宋体"/>
          <w:b/>
          <w:bCs/>
          <w:color w:val="000000" w:themeColor="text1"/>
          <w:sz w:val="24"/>
          <w:szCs w:val="24"/>
        </w:rPr>
        <w:t>.1</w:t>
      </w:r>
      <w:r>
        <w:rPr>
          <w:rFonts w:ascii="Times New Roman" w:hAnsi="宋体"/>
          <w:color w:val="000000" w:themeColor="text1"/>
          <w:sz w:val="24"/>
          <w:szCs w:val="24"/>
        </w:rPr>
        <w:t xml:space="preserve"> </w:t>
      </w:r>
      <w:r>
        <w:rPr>
          <w:rFonts w:hint="eastAsia" w:ascii="Times New Roman" w:hAnsi="宋体"/>
          <w:b/>
          <w:bCs/>
          <w:color w:val="000000" w:themeColor="text1"/>
          <w:sz w:val="24"/>
          <w:szCs w:val="24"/>
        </w:rPr>
        <w:t>取样方法</w:t>
      </w:r>
      <w:r>
        <w:rPr>
          <w:rFonts w:ascii="Times New Roman" w:hAnsi="宋体"/>
          <w:b/>
          <w:bCs/>
          <w:color w:val="000000" w:themeColor="text1"/>
          <w:sz w:val="24"/>
          <w:szCs w:val="24"/>
        </w:rPr>
        <w:t>的确定及优化</w:t>
      </w:r>
    </w:p>
    <w:p>
      <w:pPr>
        <w:spacing w:line="360" w:lineRule="auto"/>
        <w:ind w:firstLine="480" w:firstLineChars="200"/>
        <w:rPr>
          <w:rFonts w:ascii="Times New Roman" w:hAnsi="宋体"/>
          <w:color w:val="000000" w:themeColor="text1"/>
          <w:sz w:val="24"/>
          <w:szCs w:val="24"/>
        </w:rPr>
      </w:pPr>
      <w:r>
        <w:rPr>
          <w:rFonts w:hint="eastAsia" w:ascii="Times New Roman" w:hAnsi="宋体"/>
          <w:color w:val="000000" w:themeColor="text1"/>
          <w:sz w:val="24"/>
          <w:szCs w:val="24"/>
        </w:rPr>
        <w:t>根据动物</w:t>
      </w:r>
      <w:r>
        <w:rPr>
          <w:rFonts w:ascii="Times New Roman" w:hAnsi="宋体"/>
          <w:color w:val="000000" w:themeColor="text1"/>
          <w:sz w:val="24"/>
          <w:szCs w:val="24"/>
        </w:rPr>
        <w:t>垫料的物</w:t>
      </w:r>
      <w:r>
        <w:rPr>
          <w:rFonts w:hint="eastAsia" w:ascii="Times New Roman" w:hAnsi="宋体"/>
          <w:color w:val="000000" w:themeColor="text1"/>
          <w:sz w:val="24"/>
          <w:szCs w:val="24"/>
        </w:rPr>
        <w:t>理性状</w:t>
      </w:r>
      <w:r>
        <w:rPr>
          <w:rFonts w:ascii="Times New Roman" w:hAnsi="宋体"/>
          <w:color w:val="000000" w:themeColor="text1"/>
          <w:sz w:val="24"/>
          <w:szCs w:val="24"/>
        </w:rPr>
        <w:t>将其分为颗粒状</w:t>
      </w:r>
      <w:r>
        <w:rPr>
          <w:rFonts w:hint="eastAsia" w:ascii="Times New Roman" w:hAnsi="宋体"/>
          <w:color w:val="000000" w:themeColor="text1"/>
          <w:sz w:val="24"/>
          <w:szCs w:val="24"/>
        </w:rPr>
        <w:t>/粉末状</w:t>
      </w:r>
      <w:r>
        <w:rPr>
          <w:rFonts w:ascii="Times New Roman" w:hAnsi="宋体"/>
          <w:color w:val="000000" w:themeColor="text1"/>
          <w:sz w:val="24"/>
          <w:szCs w:val="24"/>
        </w:rPr>
        <w:t>垫料和</w:t>
      </w:r>
      <w:r>
        <w:rPr>
          <w:rFonts w:hint="eastAsia" w:ascii="Times New Roman" w:hAnsi="宋体"/>
          <w:color w:val="000000" w:themeColor="text1"/>
          <w:sz w:val="24"/>
          <w:szCs w:val="24"/>
        </w:rPr>
        <w:t>平面</w:t>
      </w:r>
      <w:r>
        <w:rPr>
          <w:rFonts w:ascii="Times New Roman" w:hAnsi="宋体"/>
          <w:color w:val="000000" w:themeColor="text1"/>
          <w:sz w:val="24"/>
          <w:szCs w:val="24"/>
        </w:rPr>
        <w:t>状垫料，</w:t>
      </w:r>
      <w:r>
        <w:rPr>
          <w:rFonts w:hint="eastAsia" w:ascii="Times New Roman" w:hAnsi="宋体"/>
          <w:color w:val="000000" w:themeColor="text1"/>
          <w:sz w:val="24"/>
          <w:szCs w:val="24"/>
        </w:rPr>
        <w:t>针对</w:t>
      </w:r>
      <w:r>
        <w:rPr>
          <w:rFonts w:ascii="Times New Roman" w:hAnsi="宋体"/>
          <w:color w:val="000000" w:themeColor="text1"/>
          <w:sz w:val="24"/>
          <w:szCs w:val="24"/>
        </w:rPr>
        <w:t>不同</w:t>
      </w:r>
      <w:r>
        <w:rPr>
          <w:rFonts w:hint="eastAsia" w:ascii="Times New Roman" w:hAnsi="宋体"/>
          <w:color w:val="000000" w:themeColor="text1"/>
          <w:sz w:val="24"/>
          <w:szCs w:val="24"/>
        </w:rPr>
        <w:t>性状</w:t>
      </w:r>
      <w:r>
        <w:rPr>
          <w:rFonts w:ascii="Times New Roman" w:hAnsi="宋体"/>
          <w:color w:val="000000" w:themeColor="text1"/>
          <w:sz w:val="24"/>
          <w:szCs w:val="24"/>
        </w:rPr>
        <w:t>的垫料采取不同的取样方法。</w:t>
      </w:r>
    </w:p>
    <w:p>
      <w:pPr>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5.1.1 颗粒状或粉末垫料</w:t>
      </w:r>
      <w:r>
        <w:rPr>
          <w:rFonts w:ascii="Times New Roman" w:hAnsi="宋体"/>
          <w:b/>
          <w:bCs/>
          <w:color w:val="000000" w:themeColor="text1"/>
          <w:sz w:val="24"/>
          <w:szCs w:val="24"/>
        </w:rPr>
        <w:t>样品</w:t>
      </w:r>
      <w:r>
        <w:rPr>
          <w:rFonts w:hint="eastAsia" w:ascii="Times New Roman" w:hAnsi="宋体"/>
          <w:b/>
          <w:bCs/>
          <w:color w:val="000000" w:themeColor="text1"/>
          <w:sz w:val="24"/>
          <w:szCs w:val="24"/>
        </w:rPr>
        <w:t>取样</w:t>
      </w:r>
      <w:r>
        <w:rPr>
          <w:rFonts w:ascii="Times New Roman" w:hAnsi="宋体"/>
          <w:b/>
          <w:bCs/>
          <w:color w:val="000000" w:themeColor="text1"/>
          <w:sz w:val="24"/>
          <w:szCs w:val="24"/>
        </w:rPr>
        <w:t>方法</w:t>
      </w:r>
    </w:p>
    <w:p>
      <w:pPr>
        <w:spacing w:line="360" w:lineRule="auto"/>
        <w:ind w:firstLine="480" w:firstLineChars="200"/>
        <w:rPr>
          <w:rFonts w:ascii="Times New Roman" w:hAnsi="宋体"/>
          <w:color w:val="000000" w:themeColor="text1"/>
          <w:sz w:val="24"/>
          <w:szCs w:val="24"/>
        </w:rPr>
      </w:pPr>
      <w:r>
        <w:rPr>
          <w:rFonts w:hint="eastAsia" w:ascii="Times New Roman" w:hAnsi="宋体"/>
          <w:color w:val="000000" w:themeColor="text1"/>
          <w:sz w:val="24"/>
          <w:szCs w:val="24"/>
        </w:rPr>
        <w:t>国内外食品</w:t>
      </w:r>
      <w:r>
        <w:rPr>
          <w:rFonts w:ascii="Times New Roman" w:hAnsi="宋体"/>
          <w:color w:val="000000" w:themeColor="text1"/>
          <w:sz w:val="24"/>
          <w:szCs w:val="24"/>
        </w:rPr>
        <w:t>和饲料</w:t>
      </w:r>
      <w:r>
        <w:rPr>
          <w:rFonts w:hint="eastAsia" w:ascii="Times New Roman" w:hAnsi="宋体"/>
          <w:color w:val="000000" w:themeColor="text1"/>
          <w:sz w:val="24"/>
          <w:szCs w:val="24"/>
        </w:rPr>
        <w:t>中</w:t>
      </w:r>
      <w:r>
        <w:rPr>
          <w:rFonts w:hint="eastAsia" w:ascii="宋体" w:hAnsi="宋体" w:cs="宋体"/>
          <w:color w:val="000000" w:themeColor="text1"/>
          <w:kern w:val="0"/>
          <w:sz w:val="24"/>
          <w:szCs w:val="24"/>
        </w:rPr>
        <w:t>肺炎克雷伯氏菌</w:t>
      </w:r>
      <w:r>
        <w:rPr>
          <w:rFonts w:ascii="Times New Roman" w:hAnsi="宋体"/>
          <w:color w:val="000000" w:themeColor="text1"/>
          <w:sz w:val="24"/>
          <w:szCs w:val="24"/>
        </w:rPr>
        <w:t>检测法中</w:t>
      </w:r>
      <w:r>
        <w:rPr>
          <w:rFonts w:hint="eastAsia" w:ascii="Times New Roman" w:hAnsi="宋体"/>
          <w:color w:val="000000" w:themeColor="text1"/>
          <w:sz w:val="24"/>
          <w:szCs w:val="24"/>
        </w:rPr>
        <w:t>常用</w:t>
      </w:r>
      <w:r>
        <w:rPr>
          <w:rFonts w:ascii="Times New Roman" w:hAnsi="宋体"/>
          <w:color w:val="000000" w:themeColor="text1"/>
          <w:sz w:val="24"/>
          <w:szCs w:val="24"/>
        </w:rPr>
        <w:t>的</w:t>
      </w:r>
      <w:r>
        <w:rPr>
          <w:rFonts w:hint="eastAsia" w:ascii="Times New Roman" w:hAnsi="宋体"/>
          <w:color w:val="000000" w:themeColor="text1"/>
          <w:sz w:val="24"/>
          <w:szCs w:val="24"/>
        </w:rPr>
        <w:t>取样</w:t>
      </w:r>
      <w:r>
        <w:rPr>
          <w:rFonts w:ascii="Times New Roman" w:hAnsi="宋体"/>
          <w:color w:val="000000" w:themeColor="text1"/>
          <w:sz w:val="24"/>
          <w:szCs w:val="24"/>
        </w:rPr>
        <w:t>方法为</w:t>
      </w:r>
      <w:r>
        <w:rPr>
          <w:rFonts w:hint="eastAsia" w:ascii="Times New Roman" w:hAnsi="宋体"/>
          <w:color w:val="000000" w:themeColor="text1"/>
          <w:sz w:val="24"/>
          <w:szCs w:val="24"/>
        </w:rPr>
        <w:t>称</w:t>
      </w:r>
      <w:r>
        <w:rPr>
          <w:rFonts w:ascii="Times New Roman" w:hAnsi="宋体"/>
          <w:color w:val="000000" w:themeColor="text1"/>
          <w:sz w:val="24"/>
          <w:szCs w:val="24"/>
        </w:rPr>
        <w:t>取法</w:t>
      </w:r>
      <w:r>
        <w:rPr>
          <w:rFonts w:hint="eastAsia" w:ascii="Times New Roman" w:hAnsi="宋体"/>
          <w:color w:val="000000" w:themeColor="text1"/>
          <w:sz w:val="24"/>
          <w:szCs w:val="24"/>
        </w:rPr>
        <w:t>，本标准中</w:t>
      </w:r>
      <w:r>
        <w:rPr>
          <w:rFonts w:ascii="Times New Roman" w:hAnsi="宋体"/>
          <w:color w:val="000000" w:themeColor="text1"/>
          <w:sz w:val="24"/>
          <w:szCs w:val="24"/>
        </w:rPr>
        <w:t>针对</w:t>
      </w:r>
      <w:r>
        <w:rPr>
          <w:rFonts w:hint="eastAsia" w:ascii="Times New Roman" w:hAnsi="宋体"/>
          <w:color w:val="000000" w:themeColor="text1"/>
          <w:sz w:val="24"/>
          <w:szCs w:val="24"/>
        </w:rPr>
        <w:t>颗粒状或粉末垫料</w:t>
      </w:r>
      <w:r>
        <w:rPr>
          <w:rFonts w:ascii="Times New Roman" w:hAnsi="宋体"/>
          <w:color w:val="000000" w:themeColor="text1"/>
          <w:sz w:val="24"/>
          <w:szCs w:val="24"/>
        </w:rPr>
        <w:t>样品</w:t>
      </w:r>
      <w:r>
        <w:rPr>
          <w:rFonts w:hint="eastAsia" w:ascii="Times New Roman" w:hAnsi="宋体"/>
          <w:color w:val="000000" w:themeColor="text1"/>
          <w:sz w:val="24"/>
          <w:szCs w:val="24"/>
        </w:rPr>
        <w:t>（木屑、玉米芯、秸秆、纸屑等）参考</w:t>
      </w:r>
      <w:r>
        <w:rPr>
          <w:rFonts w:ascii="Times New Roman" w:hAnsi="宋体"/>
          <w:color w:val="000000" w:themeColor="text1"/>
          <w:sz w:val="24"/>
          <w:szCs w:val="24"/>
        </w:rPr>
        <w:t>通用做法</w:t>
      </w:r>
      <w:r>
        <w:rPr>
          <w:rFonts w:hint="eastAsia" w:ascii="Times New Roman" w:hAnsi="宋体"/>
          <w:color w:val="000000" w:themeColor="text1"/>
          <w:sz w:val="24"/>
          <w:szCs w:val="24"/>
        </w:rPr>
        <w:t>采用</w:t>
      </w:r>
      <w:r>
        <w:rPr>
          <w:rFonts w:ascii="Times New Roman" w:hAnsi="宋体"/>
          <w:color w:val="000000" w:themeColor="text1"/>
          <w:sz w:val="24"/>
          <w:szCs w:val="24"/>
        </w:rPr>
        <w:t>称取</w:t>
      </w:r>
      <w:r>
        <w:rPr>
          <w:rFonts w:hint="eastAsia" w:ascii="Times New Roman" w:hAnsi="宋体"/>
          <w:color w:val="000000" w:themeColor="text1"/>
          <w:sz w:val="24"/>
          <w:szCs w:val="24"/>
        </w:rPr>
        <w:t xml:space="preserve">25 </w:t>
      </w:r>
      <w:r>
        <w:rPr>
          <w:rFonts w:ascii="Times New Roman" w:hAnsi="宋体"/>
          <w:color w:val="000000" w:themeColor="text1"/>
          <w:sz w:val="24"/>
          <w:szCs w:val="24"/>
        </w:rPr>
        <w:t>g的方法进行取样</w:t>
      </w:r>
      <w:r>
        <w:rPr>
          <w:rFonts w:hint="eastAsia" w:ascii="Times New Roman" w:hAnsi="宋体"/>
          <w:color w:val="000000" w:themeColor="text1"/>
          <w:sz w:val="24"/>
          <w:szCs w:val="24"/>
        </w:rPr>
        <w:t>。</w:t>
      </w:r>
    </w:p>
    <w:p>
      <w:pPr>
        <w:spacing w:line="360" w:lineRule="auto"/>
        <w:rPr>
          <w:rFonts w:ascii="Times New Roman" w:hAnsi="宋体"/>
          <w:color w:val="000000" w:themeColor="text1"/>
          <w:sz w:val="24"/>
          <w:szCs w:val="24"/>
        </w:rPr>
      </w:pPr>
      <w:r>
        <w:rPr>
          <w:rFonts w:ascii="Times New Roman" w:hAnsi="宋体"/>
          <w:b/>
          <w:bCs/>
          <w:color w:val="000000" w:themeColor="text1"/>
          <w:sz w:val="24"/>
          <w:szCs w:val="24"/>
        </w:rPr>
        <w:t xml:space="preserve">5.1.2 </w:t>
      </w:r>
      <w:r>
        <w:rPr>
          <w:rFonts w:hint="eastAsia" w:ascii="Times New Roman" w:hAnsi="宋体"/>
          <w:b/>
          <w:bCs/>
          <w:color w:val="000000" w:themeColor="text1"/>
          <w:sz w:val="24"/>
          <w:szCs w:val="24"/>
        </w:rPr>
        <w:t>平面垫料样品取样</w:t>
      </w:r>
      <w:r>
        <w:rPr>
          <w:rFonts w:ascii="Times New Roman" w:hAnsi="宋体"/>
          <w:b/>
          <w:bCs/>
          <w:color w:val="000000" w:themeColor="text1"/>
          <w:sz w:val="24"/>
          <w:szCs w:val="24"/>
        </w:rPr>
        <w:t>方法</w:t>
      </w:r>
    </w:p>
    <w:p>
      <w:pPr>
        <w:spacing w:line="360" w:lineRule="auto"/>
        <w:ind w:firstLine="480" w:firstLineChars="200"/>
        <w:rPr>
          <w:rFonts w:ascii="Times New Roman" w:hAnsi="宋体"/>
          <w:color w:val="000000" w:themeColor="text1"/>
          <w:sz w:val="24"/>
          <w:szCs w:val="24"/>
        </w:rPr>
      </w:pPr>
      <w:r>
        <w:rPr>
          <w:rFonts w:hint="eastAsia" w:ascii="Times New Roman" w:hAnsi="宋体"/>
          <w:color w:val="000000" w:themeColor="text1"/>
          <w:sz w:val="24"/>
          <w:szCs w:val="24"/>
        </w:rPr>
        <w:t>针对</w:t>
      </w:r>
      <w:r>
        <w:rPr>
          <w:rFonts w:ascii="Times New Roman" w:hAnsi="宋体"/>
          <w:color w:val="000000" w:themeColor="text1"/>
          <w:sz w:val="24"/>
          <w:szCs w:val="24"/>
        </w:rPr>
        <w:t>平面</w:t>
      </w:r>
      <w:r>
        <w:rPr>
          <w:rFonts w:hint="eastAsia" w:ascii="Times New Roman" w:hAnsi="宋体"/>
          <w:color w:val="000000" w:themeColor="text1"/>
          <w:sz w:val="24"/>
          <w:szCs w:val="24"/>
        </w:rPr>
        <w:t>垫料（胶垫、</w:t>
      </w:r>
      <w:r>
        <w:rPr>
          <w:rFonts w:ascii="Times New Roman" w:hAnsi="宋体"/>
          <w:color w:val="000000" w:themeColor="text1"/>
          <w:sz w:val="24"/>
          <w:szCs w:val="24"/>
        </w:rPr>
        <w:t>托盘等</w:t>
      </w:r>
      <w:r>
        <w:rPr>
          <w:rFonts w:hint="eastAsia" w:ascii="Times New Roman" w:hAnsi="宋体"/>
          <w:color w:val="000000" w:themeColor="text1"/>
          <w:sz w:val="24"/>
          <w:szCs w:val="24"/>
        </w:rPr>
        <w:t>）采用</w:t>
      </w:r>
      <w:r>
        <w:rPr>
          <w:rFonts w:ascii="Times New Roman" w:hAnsi="宋体"/>
          <w:color w:val="000000" w:themeColor="text1"/>
          <w:sz w:val="24"/>
          <w:szCs w:val="24"/>
        </w:rPr>
        <w:t>表面</w:t>
      </w:r>
      <w:r>
        <w:rPr>
          <w:rFonts w:hint="eastAsia" w:ascii="Times New Roman" w:hAnsi="宋体"/>
          <w:color w:val="000000" w:themeColor="text1"/>
          <w:sz w:val="24"/>
          <w:szCs w:val="24"/>
        </w:rPr>
        <w:t>涂抹取样</w:t>
      </w:r>
      <w:r>
        <w:rPr>
          <w:rFonts w:ascii="Times New Roman" w:hAnsi="宋体"/>
          <w:color w:val="000000" w:themeColor="text1"/>
          <w:sz w:val="24"/>
          <w:szCs w:val="24"/>
        </w:rPr>
        <w:t>法，无菌操作将</w:t>
      </w:r>
      <w:r>
        <w:rPr>
          <w:rFonts w:hint="eastAsia" w:ascii="Times New Roman" w:hAnsi="宋体"/>
          <w:color w:val="000000" w:themeColor="text1"/>
          <w:sz w:val="24"/>
          <w:szCs w:val="24"/>
        </w:rPr>
        <w:t>涂抹25 cm</w:t>
      </w:r>
      <w:r>
        <w:rPr>
          <w:rFonts w:hint="eastAsia" w:ascii="Times New Roman" w:hAnsi="宋体"/>
          <w:color w:val="000000" w:themeColor="text1"/>
          <w:sz w:val="24"/>
          <w:szCs w:val="24"/>
          <w:vertAlign w:val="superscript"/>
        </w:rPr>
        <w:t>2</w:t>
      </w:r>
      <w:r>
        <w:rPr>
          <w:rFonts w:hint="eastAsia" w:ascii="宋体" w:hAnsi="宋体" w:cs="宋体"/>
          <w:color w:val="000000" w:themeColor="text1"/>
          <w:kern w:val="0"/>
          <w:sz w:val="24"/>
          <w:szCs w:val="24"/>
        </w:rPr>
        <w:t>～</w:t>
      </w:r>
      <w:r>
        <w:rPr>
          <w:rFonts w:hint="eastAsia" w:ascii="Times New Roman" w:hAnsi="宋体"/>
          <w:color w:val="000000" w:themeColor="text1"/>
          <w:sz w:val="24"/>
          <w:szCs w:val="24"/>
        </w:rPr>
        <w:t>100 cm</w:t>
      </w:r>
      <w:r>
        <w:rPr>
          <w:rFonts w:hint="eastAsia" w:ascii="Times New Roman" w:hAnsi="宋体"/>
          <w:color w:val="000000" w:themeColor="text1"/>
          <w:sz w:val="24"/>
          <w:szCs w:val="24"/>
          <w:vertAlign w:val="superscript"/>
        </w:rPr>
        <w:t>2</w:t>
      </w:r>
      <w:r>
        <w:rPr>
          <w:rFonts w:hint="eastAsia" w:ascii="Times New Roman" w:hAnsi="宋体"/>
          <w:color w:val="000000" w:themeColor="text1"/>
          <w:sz w:val="24"/>
          <w:szCs w:val="24"/>
        </w:rPr>
        <w:t>平面</w:t>
      </w:r>
      <w:r>
        <w:rPr>
          <w:rFonts w:ascii="Times New Roman" w:hAnsi="宋体"/>
          <w:color w:val="000000" w:themeColor="text1"/>
          <w:sz w:val="24"/>
          <w:szCs w:val="24"/>
        </w:rPr>
        <w:t>样品</w:t>
      </w:r>
      <w:r>
        <w:rPr>
          <w:rFonts w:hint="eastAsia" w:ascii="Times New Roman" w:hAnsi="宋体"/>
          <w:color w:val="000000" w:themeColor="text1"/>
          <w:sz w:val="24"/>
          <w:szCs w:val="24"/>
        </w:rPr>
        <w:t>的棉拭子置入装有 25 mL</w:t>
      </w:r>
      <w:r>
        <w:rPr>
          <w:rFonts w:hint="eastAsia" w:ascii="宋体" w:hAnsi="宋体" w:cs="宋体"/>
          <w:color w:val="000000" w:themeColor="text1"/>
          <w:kern w:val="0"/>
          <w:sz w:val="24"/>
          <w:szCs w:val="24"/>
        </w:rPr>
        <w:t>～</w:t>
      </w:r>
      <w:r>
        <w:rPr>
          <w:rFonts w:hint="eastAsia" w:ascii="Times New Roman" w:hAnsi="宋体"/>
          <w:color w:val="000000" w:themeColor="text1"/>
          <w:sz w:val="24"/>
          <w:szCs w:val="24"/>
        </w:rPr>
        <w:t>100 mL 无菌0.85 %生理盐水中</w:t>
      </w:r>
      <w:r>
        <w:rPr>
          <w:rFonts w:ascii="Times New Roman" w:hAnsi="宋体"/>
          <w:color w:val="000000" w:themeColor="text1"/>
          <w:sz w:val="24"/>
          <w:szCs w:val="24"/>
        </w:rPr>
        <w:t>，</w:t>
      </w:r>
      <w:r>
        <w:rPr>
          <w:rFonts w:hint="eastAsia" w:ascii="Times New Roman" w:hAnsi="宋体"/>
          <w:color w:val="000000" w:themeColor="text1"/>
          <w:sz w:val="24"/>
          <w:szCs w:val="24"/>
        </w:rPr>
        <w:t>混匀</w:t>
      </w:r>
      <w:r>
        <w:rPr>
          <w:rFonts w:ascii="Times New Roman" w:hAnsi="宋体"/>
          <w:color w:val="000000" w:themeColor="text1"/>
          <w:sz w:val="24"/>
          <w:szCs w:val="24"/>
        </w:rPr>
        <w:t>作为原液。</w:t>
      </w:r>
    </w:p>
    <w:p>
      <w:pPr>
        <w:spacing w:line="360" w:lineRule="auto"/>
        <w:rPr>
          <w:rFonts w:ascii="Times New Roman" w:hAnsi="宋体"/>
          <w:color w:val="000000" w:themeColor="text1"/>
          <w:sz w:val="24"/>
          <w:szCs w:val="24"/>
        </w:rPr>
      </w:pPr>
      <w:r>
        <w:rPr>
          <w:rFonts w:hint="eastAsia" w:ascii="Times New Roman" w:hAnsi="Times New Roman"/>
          <w:b/>
          <w:bCs/>
          <w:color w:val="000000" w:themeColor="text1"/>
          <w:sz w:val="24"/>
          <w:szCs w:val="24"/>
        </w:rPr>
        <w:t xml:space="preserve">5.2 </w:t>
      </w:r>
      <w:r>
        <w:rPr>
          <w:rFonts w:ascii="Times New Roman" w:hAnsi="Times New Roman"/>
          <w:b/>
          <w:color w:val="000000" w:themeColor="text1"/>
          <w:sz w:val="24"/>
          <w:szCs w:val="24"/>
        </w:rPr>
        <w:t>培养基的选择</w:t>
      </w:r>
    </w:p>
    <w:p>
      <w:pPr>
        <w:tabs>
          <w:tab w:val="left" w:pos="570"/>
        </w:tabs>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5.2.1 选择性</w:t>
      </w:r>
      <w:r>
        <w:rPr>
          <w:rFonts w:ascii="Times New Roman" w:hAnsi="宋体"/>
          <w:b/>
          <w:bCs/>
          <w:color w:val="000000" w:themeColor="text1"/>
          <w:sz w:val="24"/>
          <w:szCs w:val="24"/>
        </w:rPr>
        <w:t>增菌培养基</w:t>
      </w:r>
    </w:p>
    <w:p>
      <w:pPr>
        <w:spacing w:line="360" w:lineRule="auto"/>
        <w:ind w:firstLine="480" w:firstLineChars="200"/>
        <w:rPr>
          <w:rFonts w:ascii="Times New Roman" w:hAnsi="宋体"/>
          <w:color w:val="000000" w:themeColor="text1"/>
          <w:sz w:val="24"/>
          <w:szCs w:val="24"/>
        </w:rPr>
      </w:pPr>
      <w:r>
        <w:rPr>
          <w:rFonts w:hint="eastAsia" w:ascii="Times New Roman" w:hAnsi="宋体"/>
          <w:color w:val="000000" w:themeColor="text1"/>
          <w:sz w:val="24"/>
          <w:szCs w:val="24"/>
        </w:rPr>
        <w:t>国内外标准和资料中用到的选择性增菌培养基主要有：SCDLP液体培养基和肠杆菌增菌肉汤（EE肉汤）。SCDLP液体培养基是肺炎克雷伯氏菌检测法中常用的培养基，且是一步增菌法；肠杆菌增菌肉汤（EE肉汤）主要用于食品样品克雷伯氏菌属细菌的检验，是在预增菌之后使用，目的是使食品加工生产过程中</w:t>
      </w:r>
      <w:r>
        <w:rPr>
          <w:rFonts w:ascii="Times New Roman" w:hAnsi="宋体"/>
          <w:color w:val="000000" w:themeColor="text1"/>
          <w:sz w:val="24"/>
          <w:szCs w:val="24"/>
        </w:rPr>
        <w:t>亚致死损伤</w:t>
      </w:r>
      <w:r>
        <w:rPr>
          <w:rFonts w:hint="eastAsia" w:ascii="Times New Roman" w:hAnsi="宋体"/>
          <w:color w:val="000000" w:themeColor="text1"/>
          <w:sz w:val="24"/>
          <w:szCs w:val="24"/>
        </w:rPr>
        <w:t>的细菌得到修复；而垫料中的细菌损伤程度没有食品加工生产中细菌的损伤程度大，无需预增菌修复，因此为操作简单方便，本标准采用选用SCDLP液体培养基进行选择性增菌。</w:t>
      </w:r>
    </w:p>
    <w:p>
      <w:pPr>
        <w:tabs>
          <w:tab w:val="left" w:pos="570"/>
        </w:tabs>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5.2.2 分离培养基</w:t>
      </w:r>
    </w:p>
    <w:p>
      <w:pPr>
        <w:tabs>
          <w:tab w:val="left" w:pos="570"/>
        </w:tabs>
        <w:spacing w:line="360" w:lineRule="auto"/>
        <w:rPr>
          <w:rFonts w:ascii="Times New Roman" w:hAnsi="宋体"/>
          <w:color w:val="000000" w:themeColor="text1"/>
          <w:sz w:val="24"/>
          <w:szCs w:val="24"/>
        </w:rPr>
      </w:pPr>
      <w:r>
        <w:rPr>
          <w:rFonts w:hint="eastAsia" w:ascii="Times New Roman" w:hAnsi="宋体"/>
          <w:b/>
          <w:bCs/>
          <w:color w:val="000000" w:themeColor="text1"/>
          <w:sz w:val="24"/>
          <w:szCs w:val="24"/>
        </w:rPr>
        <w:t xml:space="preserve">  </w:t>
      </w:r>
      <w:r>
        <w:rPr>
          <w:rFonts w:hint="eastAsia" w:ascii="Times New Roman" w:hAnsi="宋体"/>
          <w:color w:val="000000" w:themeColor="text1"/>
          <w:sz w:val="24"/>
          <w:szCs w:val="24"/>
        </w:rPr>
        <w:t xml:space="preserve">  本标准选用的肺炎克雷伯氏菌分离培养基为目前现行标准通用的胆硫乳琼脂（DHL)，保证检测结果的同时，兼顾所用培养基的一致性，节约实验室成本。</w:t>
      </w:r>
    </w:p>
    <w:p>
      <w:pPr>
        <w:tabs>
          <w:tab w:val="left" w:pos="570"/>
        </w:tabs>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5.3 典型或可疑菌落的鉴定</w:t>
      </w:r>
    </w:p>
    <w:p>
      <w:pPr>
        <w:tabs>
          <w:tab w:val="left" w:pos="570"/>
        </w:tabs>
        <w:spacing w:line="360" w:lineRule="auto"/>
        <w:rPr>
          <w:rFonts w:ascii="Times New Roman" w:hAnsi="宋体"/>
          <w:color w:val="000000" w:themeColor="text1"/>
          <w:sz w:val="24"/>
          <w:szCs w:val="24"/>
        </w:rPr>
      </w:pPr>
      <w:r>
        <w:rPr>
          <w:rFonts w:hint="eastAsia" w:ascii="Times New Roman" w:hAnsi="宋体"/>
          <w:b/>
          <w:bCs/>
          <w:color w:val="000000" w:themeColor="text1"/>
          <w:sz w:val="24"/>
          <w:szCs w:val="24"/>
        </w:rPr>
        <w:t xml:space="preserve">    </w:t>
      </w:r>
      <w:r>
        <w:rPr>
          <w:rFonts w:hint="eastAsia" w:ascii="Times New Roman" w:hAnsi="宋体"/>
          <w:color w:val="000000" w:themeColor="text1"/>
          <w:sz w:val="24"/>
          <w:szCs w:val="24"/>
        </w:rPr>
        <w:t>本标准对典型或可疑菌落的鉴定过程，参考了现行肺炎克雷伯氏菌检测标准等成熟做法，综合了生化反应等必要鉴定过程，并囊括了全自动微生物检测系统快速方法，增加了飞行时间质谱检测方法，做到了与国际接轨，缩短检测时间，增加检测通量，减少检测人员工作量。</w:t>
      </w:r>
    </w:p>
    <w:p>
      <w:pPr>
        <w:tabs>
          <w:tab w:val="left" w:pos="570"/>
        </w:tabs>
        <w:spacing w:line="360" w:lineRule="auto"/>
        <w:rPr>
          <w:rFonts w:ascii="Times New Roman" w:hAnsi="宋体"/>
          <w:color w:val="000000" w:themeColor="text1"/>
          <w:sz w:val="24"/>
          <w:szCs w:val="24"/>
        </w:rPr>
      </w:pPr>
      <w:r>
        <w:rPr>
          <w:rFonts w:hint="eastAsia" w:ascii="Times New Roman" w:hAnsi="宋体"/>
          <w:b/>
          <w:bCs/>
          <w:color w:val="000000" w:themeColor="text1"/>
          <w:sz w:val="24"/>
          <w:szCs w:val="24"/>
        </w:rPr>
        <w:t>5.4 培养时间和温度</w:t>
      </w:r>
    </w:p>
    <w:p>
      <w:pPr>
        <w:tabs>
          <w:tab w:val="left" w:pos="570"/>
        </w:tabs>
        <w:spacing w:line="360" w:lineRule="auto"/>
        <w:ind w:firstLine="480" w:firstLineChars="200"/>
        <w:rPr>
          <w:rFonts w:ascii="Times New Roman" w:hAnsi="宋体"/>
          <w:color w:val="000000" w:themeColor="text1"/>
          <w:sz w:val="24"/>
          <w:szCs w:val="24"/>
        </w:rPr>
      </w:pPr>
      <w:r>
        <w:rPr>
          <w:rFonts w:hint="eastAsia" w:ascii="Times New Roman" w:hAnsi="宋体"/>
          <w:color w:val="000000" w:themeColor="text1"/>
          <w:sz w:val="24"/>
          <w:szCs w:val="24"/>
        </w:rPr>
        <w:t>本标准将继续采用我国常用的36 ℃±1 ℃对肺炎克雷伯氏菌进行检测培养。培养基培养时间也与现行标准相统一。</w:t>
      </w:r>
    </w:p>
    <w:p>
      <w:pPr>
        <w:tabs>
          <w:tab w:val="left" w:pos="570"/>
        </w:tabs>
        <w:spacing w:line="360" w:lineRule="auto"/>
        <w:rPr>
          <w:rFonts w:ascii="Times New Roman" w:hAnsi="宋体"/>
          <w:b/>
          <w:bCs/>
          <w:color w:val="000000" w:themeColor="text1"/>
          <w:sz w:val="24"/>
          <w:szCs w:val="24"/>
        </w:rPr>
      </w:pPr>
      <w:r>
        <w:rPr>
          <w:rFonts w:hint="eastAsia" w:ascii="Times New Roman" w:hAnsi="宋体"/>
          <w:b/>
          <w:bCs/>
          <w:color w:val="000000" w:themeColor="text1"/>
          <w:sz w:val="24"/>
          <w:szCs w:val="24"/>
        </w:rPr>
        <w:t>5.5 其他</w:t>
      </w:r>
    </w:p>
    <w:p>
      <w:pPr>
        <w:tabs>
          <w:tab w:val="left" w:pos="570"/>
        </w:tabs>
        <w:spacing w:line="360" w:lineRule="auto"/>
        <w:rPr>
          <w:rFonts w:ascii="Times New Roman" w:hAnsi="宋体"/>
          <w:color w:val="000000" w:themeColor="text1"/>
          <w:sz w:val="24"/>
          <w:szCs w:val="24"/>
        </w:rPr>
      </w:pPr>
      <w:r>
        <w:rPr>
          <w:rFonts w:hint="eastAsia" w:ascii="Times New Roman" w:hAnsi="宋体"/>
          <w:color w:val="000000" w:themeColor="text1"/>
          <w:sz w:val="24"/>
          <w:szCs w:val="24"/>
        </w:rPr>
        <w:t xml:space="preserve">    本标准增加了肺炎克雷伯氏菌检测常用培养基保存期限与保存方式，对检测人员具有实际指导意义，确保检测结果质量。</w:t>
      </w:r>
    </w:p>
    <w:p>
      <w:pPr>
        <w:tabs>
          <w:tab w:val="left" w:pos="570"/>
        </w:tabs>
        <w:rPr>
          <w:rFonts w:ascii="Times New Roman" w:hAnsi="Times New Roman"/>
          <w:b/>
          <w:color w:val="000000" w:themeColor="text1"/>
          <w:sz w:val="24"/>
          <w:szCs w:val="24"/>
        </w:rPr>
      </w:pPr>
      <w:r>
        <w:rPr>
          <w:rFonts w:hint="eastAsia" w:ascii="Times New Roman" w:hAnsi="宋体"/>
          <w:b/>
          <w:color w:val="000000" w:themeColor="text1"/>
          <w:sz w:val="24"/>
          <w:szCs w:val="24"/>
        </w:rPr>
        <w:t>六、</w:t>
      </w:r>
      <w:r>
        <w:rPr>
          <w:rFonts w:ascii="Times New Roman" w:hAnsi="宋体"/>
          <w:b/>
          <w:color w:val="000000" w:themeColor="text1"/>
          <w:sz w:val="24"/>
          <w:szCs w:val="24"/>
        </w:rPr>
        <w:t>方法验证</w:t>
      </w:r>
    </w:p>
    <w:p>
      <w:pPr>
        <w:spacing w:line="360" w:lineRule="auto"/>
        <w:ind w:firstLine="555"/>
        <w:rPr>
          <w:rFonts w:ascii="Times New Roman" w:hAnsi="Times New Roman"/>
          <w:color w:val="000000" w:themeColor="text1"/>
          <w:sz w:val="24"/>
          <w:szCs w:val="24"/>
        </w:rPr>
      </w:pPr>
      <w:r>
        <w:rPr>
          <w:rFonts w:hint="eastAsia" w:ascii="Times New Roman" w:hAnsi="宋体"/>
          <w:color w:val="000000" w:themeColor="text1"/>
          <w:sz w:val="24"/>
          <w:szCs w:val="24"/>
        </w:rPr>
        <w:t>为验证本方法的有效性和适用性，选择5家不同行业的检测机构对本方法进行验证，验证内容为方法的适用性、准确度、检出率</w:t>
      </w:r>
      <w:r>
        <w:rPr>
          <w:rFonts w:ascii="Times New Roman" w:hAnsi="宋体"/>
          <w:color w:val="000000" w:themeColor="text1"/>
          <w:sz w:val="24"/>
          <w:szCs w:val="24"/>
        </w:rPr>
        <w:t>及相关样品的检测</w:t>
      </w:r>
      <w:r>
        <w:rPr>
          <w:rFonts w:hint="eastAsia" w:ascii="Times New Roman" w:hAnsi="宋体"/>
          <w:color w:val="000000" w:themeColor="text1"/>
          <w:sz w:val="24"/>
          <w:szCs w:val="24"/>
        </w:rPr>
        <w:t>，结果显示该方法稳定可靠，</w:t>
      </w:r>
      <w:r>
        <w:rPr>
          <w:rFonts w:hint="eastAsia" w:ascii="宋体" w:hAnsi="宋体"/>
          <w:color w:val="000000" w:themeColor="text1"/>
          <w:sz w:val="24"/>
          <w:szCs w:val="24"/>
        </w:rPr>
        <w:t>符合相关要求。</w:t>
      </w:r>
    </w:p>
    <w:p>
      <w:pPr>
        <w:tabs>
          <w:tab w:val="left" w:pos="570"/>
        </w:tabs>
        <w:rPr>
          <w:rFonts w:ascii="Times New Roman" w:hAnsi="宋体"/>
          <w:b/>
          <w:color w:val="000000" w:themeColor="text1"/>
          <w:sz w:val="24"/>
          <w:szCs w:val="24"/>
        </w:rPr>
      </w:pPr>
      <w:r>
        <w:rPr>
          <w:rFonts w:hint="eastAsia" w:ascii="Times New Roman" w:hAnsi="宋体"/>
          <w:b/>
          <w:color w:val="000000" w:themeColor="text1"/>
          <w:sz w:val="24"/>
          <w:szCs w:val="24"/>
        </w:rPr>
        <w:t>七、结论</w:t>
      </w:r>
    </w:p>
    <w:p>
      <w:pPr>
        <w:spacing w:line="360" w:lineRule="auto"/>
        <w:ind w:firstLine="480" w:firstLineChars="200"/>
        <w:rPr>
          <w:rFonts w:ascii="Times New Roman" w:hAnsi="Times New Roman"/>
          <w:color w:val="000000" w:themeColor="text1"/>
          <w:sz w:val="24"/>
          <w:szCs w:val="24"/>
        </w:rPr>
      </w:pPr>
      <w:r>
        <w:rPr>
          <w:rFonts w:ascii="Times New Roman" w:hAnsi="Times New Roman"/>
          <w:color w:val="000000" w:themeColor="text1"/>
          <w:sz w:val="24"/>
          <w:szCs w:val="24"/>
        </w:rPr>
        <w:t>综上所述，本标准在制定过程中所涉及到的各项技术指标均经过方法学的验证，并切实可行，完全达到了编制标准的要求。</w:t>
      </w:r>
    </w:p>
    <w:p>
      <w:pPr>
        <w:tabs>
          <w:tab w:val="left" w:pos="570"/>
        </w:tabs>
        <w:spacing w:line="360" w:lineRule="auto"/>
        <w:rPr>
          <w:rFonts w:ascii="宋体" w:hAnsi="宋体" w:cs="宋体"/>
          <w:b/>
          <w:color w:val="000000" w:themeColor="text1"/>
          <w:sz w:val="24"/>
          <w:szCs w:val="24"/>
        </w:rPr>
      </w:pPr>
      <w:r>
        <w:rPr>
          <w:rFonts w:hint="eastAsia" w:ascii="宋体" w:hAnsi="宋体" w:cs="宋体"/>
          <w:b/>
          <w:color w:val="000000" w:themeColor="text1"/>
          <w:sz w:val="24"/>
          <w:szCs w:val="24"/>
        </w:rPr>
        <w:t>八、重大意见分歧的处理依据和结果</w:t>
      </w:r>
    </w:p>
    <w:p>
      <w:pPr>
        <w:spacing w:line="360" w:lineRule="auto"/>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未发生。</w:t>
      </w:r>
    </w:p>
    <w:p>
      <w:pPr>
        <w:spacing w:line="360" w:lineRule="auto"/>
        <w:rPr>
          <w:rFonts w:ascii="宋体" w:hAnsi="宋体" w:cs="宋体"/>
          <w:b/>
          <w:color w:val="000000" w:themeColor="text1"/>
          <w:sz w:val="24"/>
          <w:szCs w:val="24"/>
        </w:rPr>
      </w:pPr>
      <w:r>
        <w:rPr>
          <w:rFonts w:hint="eastAsia" w:ascii="宋体" w:hAnsi="宋体" w:cs="宋体"/>
          <w:b/>
          <w:color w:val="000000" w:themeColor="text1"/>
          <w:sz w:val="24"/>
          <w:szCs w:val="24"/>
        </w:rPr>
        <w:t>九</w:t>
      </w:r>
      <w:r>
        <w:rPr>
          <w:rFonts w:ascii="宋体" w:hAnsi="宋体" w:cs="宋体"/>
          <w:b/>
          <w:color w:val="000000" w:themeColor="text1"/>
          <w:sz w:val="24"/>
          <w:szCs w:val="24"/>
        </w:rPr>
        <w:t>、</w:t>
      </w:r>
      <w:r>
        <w:rPr>
          <w:rFonts w:hint="eastAsia" w:ascii="宋体" w:hAnsi="宋体" w:cs="宋体"/>
          <w:b/>
          <w:color w:val="000000" w:themeColor="text1"/>
          <w:sz w:val="24"/>
          <w:szCs w:val="24"/>
        </w:rPr>
        <w:t>国内外情况简要说明</w:t>
      </w:r>
    </w:p>
    <w:p>
      <w:pPr>
        <w:spacing w:line="360" w:lineRule="auto"/>
        <w:ind w:firstLine="480" w:firstLineChars="200"/>
        <w:rPr>
          <w:rFonts w:ascii="Times New Roman" w:hAnsi="Times New Roman"/>
          <w:color w:val="000000" w:themeColor="text1"/>
          <w:sz w:val="24"/>
          <w:szCs w:val="24"/>
        </w:rPr>
      </w:pPr>
      <w:r>
        <w:rPr>
          <w:rFonts w:hint="eastAsia" w:ascii="Times New Roman" w:hAnsi="Times New Roman"/>
          <w:color w:val="000000" w:themeColor="text1"/>
          <w:sz w:val="24"/>
          <w:szCs w:val="24"/>
        </w:rPr>
        <w:t>国内尚没有建立统一的标准检测方法。检索国家标准1项和地方标准</w:t>
      </w:r>
      <w:r>
        <w:rPr>
          <w:rFonts w:ascii="Times New Roman" w:hAnsi="Times New Roman"/>
          <w:color w:val="000000" w:themeColor="text1"/>
          <w:sz w:val="24"/>
          <w:szCs w:val="24"/>
        </w:rPr>
        <w:t>2</w:t>
      </w:r>
      <w:r>
        <w:rPr>
          <w:rFonts w:hint="eastAsia" w:ascii="Times New Roman" w:hAnsi="Times New Roman"/>
          <w:color w:val="000000" w:themeColor="text1"/>
          <w:sz w:val="24"/>
          <w:szCs w:val="24"/>
        </w:rPr>
        <w:t xml:space="preserve">项：GB 14925-2010 </w:t>
      </w:r>
      <w:r>
        <w:rPr>
          <w:rFonts w:hint="eastAsia" w:ascii="Times New Roman" w:hAnsi="宋体"/>
          <w:color w:val="000000" w:themeColor="text1"/>
          <w:sz w:val="24"/>
          <w:szCs w:val="24"/>
        </w:rPr>
        <w:t>《</w:t>
      </w:r>
      <w:r>
        <w:rPr>
          <w:rFonts w:hint="eastAsia" w:ascii="Times New Roman" w:hAnsi="Times New Roman"/>
          <w:color w:val="000000" w:themeColor="text1"/>
          <w:sz w:val="24"/>
          <w:szCs w:val="24"/>
        </w:rPr>
        <w:t>实验动物 环境及设施</w:t>
      </w:r>
      <w:r>
        <w:rPr>
          <w:rFonts w:hint="eastAsia" w:ascii="Times New Roman" w:hAnsi="宋体"/>
          <w:color w:val="000000" w:themeColor="text1"/>
          <w:sz w:val="24"/>
          <w:szCs w:val="24"/>
        </w:rPr>
        <w:t>》、江苏</w:t>
      </w:r>
      <w:r>
        <w:rPr>
          <w:rFonts w:ascii="Times New Roman" w:hAnsi="宋体"/>
          <w:color w:val="000000" w:themeColor="text1"/>
          <w:sz w:val="24"/>
          <w:szCs w:val="24"/>
        </w:rPr>
        <w:t xml:space="preserve">省地方标准DB32/T 2129-2012 </w:t>
      </w:r>
      <w:r>
        <w:rPr>
          <w:rFonts w:hint="eastAsia" w:ascii="Times New Roman" w:hAnsi="宋体"/>
          <w:color w:val="000000" w:themeColor="text1"/>
          <w:sz w:val="24"/>
          <w:szCs w:val="24"/>
        </w:rPr>
        <w:t>《实验动物 垫料》、</w:t>
      </w:r>
      <w:r>
        <w:rPr>
          <w:rFonts w:hint="eastAsia" w:ascii="Times New Roman" w:hAnsi="Times New Roman"/>
          <w:color w:val="000000" w:themeColor="text1"/>
          <w:sz w:val="24"/>
          <w:szCs w:val="24"/>
        </w:rPr>
        <w:t>北京市地方标准DB11/T 1126-2014《实验动物 垫料》。</w:t>
      </w:r>
    </w:p>
    <w:p>
      <w:pPr>
        <w:spacing w:line="360" w:lineRule="auto"/>
        <w:rPr>
          <w:rFonts w:ascii="Times New Roman" w:hAnsi="Times New Roman"/>
          <w:color w:val="000000" w:themeColor="text1"/>
          <w:sz w:val="24"/>
          <w:szCs w:val="24"/>
        </w:rPr>
      </w:pPr>
      <w:r>
        <w:rPr>
          <w:rFonts w:hint="eastAsia" w:ascii="Times New Roman" w:hAnsi="Times New Roman"/>
          <w:color w:val="000000" w:themeColor="text1"/>
          <w:sz w:val="24"/>
          <w:szCs w:val="24"/>
        </w:rPr>
        <w:t>根据文献报道尚未发现内蒙古自治区内有相关单位从事这项研究。</w:t>
      </w:r>
    </w:p>
    <w:p>
      <w:pPr>
        <w:numPr>
          <w:ilvl w:val="0"/>
          <w:numId w:val="2"/>
        </w:numPr>
        <w:spacing w:line="360" w:lineRule="auto"/>
        <w:rPr>
          <w:rFonts w:ascii="宋体" w:hAnsi="宋体" w:cs="宋体"/>
          <w:b/>
          <w:color w:val="000000" w:themeColor="text1"/>
          <w:sz w:val="24"/>
          <w:szCs w:val="24"/>
        </w:rPr>
      </w:pPr>
      <w:r>
        <w:rPr>
          <w:rFonts w:hint="eastAsia" w:ascii="宋体" w:hAnsi="宋体" w:cs="宋体"/>
          <w:b/>
          <w:color w:val="000000" w:themeColor="text1"/>
          <w:sz w:val="24"/>
          <w:szCs w:val="24"/>
        </w:rPr>
        <w:t>标准草稿征求意见情况汇总表</w:t>
      </w:r>
    </w:p>
    <w:tbl>
      <w:tblPr>
        <w:tblStyle w:val="23"/>
        <w:tblW w:w="8781" w:type="dxa"/>
        <w:jc w:val="center"/>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
      <w:tblGrid>
        <w:gridCol w:w="1000"/>
        <w:gridCol w:w="2073"/>
        <w:gridCol w:w="2410"/>
        <w:gridCol w:w="1559"/>
        <w:gridCol w:w="1739"/>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序号</w:t>
            </w:r>
          </w:p>
        </w:tc>
        <w:tc>
          <w:tcPr>
            <w:tcW w:w="207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意见</w:t>
            </w:r>
          </w:p>
        </w:tc>
        <w:tc>
          <w:tcPr>
            <w:tcW w:w="241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提出单位/专家</w:t>
            </w:r>
          </w:p>
        </w:tc>
        <w:tc>
          <w:tcPr>
            <w:tcW w:w="155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采纳</w:t>
            </w:r>
          </w:p>
        </w:tc>
        <w:tc>
          <w:tcPr>
            <w:tcW w:w="173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不采纳（说明原因）</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1</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建议在</w:t>
            </w:r>
            <w:r>
              <w:rPr>
                <w:rFonts w:ascii="Helvetica" w:hAnsi="Helvetica" w:cs="Helvetica"/>
                <w:color w:val="000000" w:themeColor="text1"/>
                <w:kern w:val="0"/>
                <w:sz w:val="24"/>
                <w:szCs w:val="24"/>
              </w:rPr>
              <w:t>标准适当位置增加检测流程图</w:t>
            </w:r>
            <w:r>
              <w:rPr>
                <w:rFonts w:hint="eastAsia" w:ascii="Helvetica" w:hAnsi="Helvetica" w:cs="Helvetica"/>
                <w:color w:val="000000" w:themeColor="text1"/>
                <w:kern w:val="0"/>
                <w:sz w:val="24"/>
                <w:szCs w:val="24"/>
              </w:rPr>
              <w:t xml:space="preserve"> </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包头</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w:t>
            </w:r>
            <w:r>
              <w:rPr>
                <w:rFonts w:ascii="Helvetica" w:hAnsi="Helvetica" w:cs="Helvetica"/>
                <w:color w:val="000000" w:themeColor="text1"/>
                <w:kern w:val="0"/>
                <w:sz w:val="24"/>
                <w:szCs w:val="24"/>
              </w:rPr>
              <w:t>包头出入境检验检疫局技术中心）</w:t>
            </w:r>
            <w:r>
              <w:rPr>
                <w:rFonts w:hint="eastAsia" w:ascii="Helvetica" w:hAnsi="Helvetica" w:cs="Helvetica"/>
                <w:color w:val="000000" w:themeColor="text1"/>
                <w:kern w:val="0"/>
                <w:sz w:val="24"/>
                <w:szCs w:val="24"/>
              </w:rPr>
              <w:t>/张</w:t>
            </w:r>
            <w:r>
              <w:rPr>
                <w:rFonts w:ascii="Helvetica" w:hAnsi="Helvetica" w:cs="Helvetica"/>
                <w:color w:val="000000" w:themeColor="text1"/>
                <w:kern w:val="0"/>
                <w:sz w:val="24"/>
                <w:szCs w:val="24"/>
              </w:rPr>
              <w:t>鹏翔</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2</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建议将</w:t>
            </w:r>
            <w:r>
              <w:rPr>
                <w:rFonts w:hint="eastAsia" w:ascii="宋体" w:hAnsi="宋体"/>
                <w:color w:val="000000" w:themeColor="text1"/>
                <w:sz w:val="24"/>
                <w:szCs w:val="24"/>
              </w:rPr>
              <w:t>附录A培养基和试剂配制中每种成分的数量单位靠后对齐</w:t>
            </w:r>
            <w:r>
              <w:rPr>
                <w:rFonts w:ascii="宋体" w:hAnsi="宋体"/>
                <w:color w:val="000000" w:themeColor="text1"/>
                <w:sz w:val="24"/>
                <w:szCs w:val="24"/>
              </w:rPr>
              <w:t>。</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赤峰</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原赤峰</w:t>
            </w:r>
            <w:r>
              <w:rPr>
                <w:rFonts w:ascii="Helvetica" w:hAnsi="Helvetica" w:cs="Helvetica"/>
                <w:color w:val="000000" w:themeColor="text1"/>
                <w:kern w:val="0"/>
                <w:sz w:val="24"/>
                <w:szCs w:val="24"/>
              </w:rPr>
              <w:t>出入境检验检疫局技术中心）</w:t>
            </w:r>
            <w:r>
              <w:rPr>
                <w:rFonts w:hint="eastAsia" w:ascii="Helvetica" w:hAnsi="Helvetica" w:cs="Helvetica"/>
                <w:color w:val="000000" w:themeColor="text1"/>
                <w:kern w:val="0"/>
                <w:sz w:val="24"/>
                <w:szCs w:val="24"/>
              </w:rPr>
              <w:t>/曹旭</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3</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建议文中数量和单位之间空一格</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r>
              <w:rPr>
                <w:rFonts w:hint="eastAsia" w:ascii="Times New Roman" w:hAnsi="Times New Roman"/>
                <w:color w:val="000000" w:themeColor="text1"/>
                <w:kern w:val="0"/>
                <w:sz w:val="24"/>
                <w:szCs w:val="24"/>
              </w:rPr>
              <w:t>兰州</w:t>
            </w:r>
            <w:r>
              <w:rPr>
                <w:rFonts w:ascii="Times New Roman" w:hAnsi="Times New Roman"/>
                <w:color w:val="000000" w:themeColor="text1"/>
                <w:kern w:val="0"/>
                <w:sz w:val="24"/>
                <w:szCs w:val="24"/>
              </w:rPr>
              <w:t>海关技术中心（</w:t>
            </w:r>
            <w:r>
              <w:rPr>
                <w:rFonts w:hint="eastAsia" w:ascii="Times New Roman" w:hAnsi="Times New Roman"/>
                <w:color w:val="000000" w:themeColor="text1"/>
                <w:kern w:val="0"/>
                <w:sz w:val="24"/>
                <w:szCs w:val="24"/>
              </w:rPr>
              <w:t>原</w:t>
            </w:r>
            <w:r>
              <w:rPr>
                <w:rFonts w:ascii="Times New Roman" w:hAnsi="Times New Roman"/>
                <w:color w:val="000000" w:themeColor="text1"/>
                <w:kern w:val="0"/>
                <w:sz w:val="24"/>
                <w:szCs w:val="24"/>
              </w:rPr>
              <w:t>甘肃出入境检验检疫局技术中心）</w:t>
            </w:r>
            <w:r>
              <w:rPr>
                <w:rFonts w:hint="eastAsia" w:ascii="Times New Roman" w:hAnsi="Times New Roman"/>
                <w:color w:val="000000" w:themeColor="text1"/>
                <w:kern w:val="0"/>
                <w:sz w:val="24"/>
                <w:szCs w:val="24"/>
              </w:rPr>
              <w:t>/张宇霞</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4</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建议按照《</w:t>
            </w:r>
            <w:r>
              <w:rPr>
                <w:rFonts w:ascii="Times New Roman" w:hAnsi="Times New Roman"/>
                <w:color w:val="000000" w:themeColor="text1"/>
                <w:sz w:val="24"/>
                <w:szCs w:val="24"/>
              </w:rPr>
              <w:t>标准编写规则</w:t>
            </w:r>
            <w:r>
              <w:rPr>
                <w:rFonts w:hint="eastAsia" w:ascii="Helvetica" w:hAnsi="Helvetica" w:cs="Helvetica"/>
                <w:color w:val="000000" w:themeColor="text1"/>
                <w:kern w:val="0"/>
                <w:sz w:val="24"/>
                <w:szCs w:val="24"/>
              </w:rPr>
              <w:t>》</w:t>
            </w:r>
            <w:r>
              <w:rPr>
                <w:rFonts w:hint="eastAsia" w:ascii="Times New Roman" w:hAnsi="Times New Roman"/>
                <w:color w:val="000000" w:themeColor="text1"/>
                <w:sz w:val="24"/>
                <w:szCs w:val="24"/>
              </w:rPr>
              <w:t>的要求</w:t>
            </w:r>
            <w:r>
              <w:rPr>
                <w:rFonts w:hint="eastAsia" w:ascii="Helvetica" w:hAnsi="Helvetica" w:cs="Helvetica"/>
                <w:color w:val="000000" w:themeColor="text1"/>
                <w:kern w:val="0"/>
                <w:sz w:val="24"/>
                <w:szCs w:val="24"/>
              </w:rPr>
              <w:t>修改标准格式</w:t>
            </w:r>
            <w:r>
              <w:rPr>
                <w:rFonts w:ascii="Helvetica" w:hAnsi="Helvetica" w:cs="Helvetica"/>
                <w:color w:val="000000" w:themeColor="text1"/>
                <w:kern w:val="0"/>
                <w:sz w:val="24"/>
                <w:szCs w:val="24"/>
              </w:rPr>
              <w:t>。</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二连</w:t>
            </w:r>
            <w:r>
              <w:rPr>
                <w:rFonts w:ascii="Helvetica" w:hAnsi="Helvetica" w:cs="Helvetica"/>
                <w:color w:val="000000" w:themeColor="text1"/>
                <w:kern w:val="0"/>
                <w:sz w:val="24"/>
                <w:szCs w:val="24"/>
              </w:rPr>
              <w:t>浩特海关技术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原二连</w:t>
            </w:r>
            <w:r>
              <w:rPr>
                <w:rFonts w:ascii="Helvetica" w:hAnsi="Helvetica" w:cs="Helvetica"/>
                <w:color w:val="000000" w:themeColor="text1"/>
                <w:kern w:val="0"/>
                <w:sz w:val="24"/>
                <w:szCs w:val="24"/>
              </w:rPr>
              <w:t>浩特出入境检验检疫局技术中心）</w:t>
            </w:r>
            <w:r>
              <w:rPr>
                <w:rFonts w:hint="eastAsia" w:ascii="Helvetica" w:hAnsi="Helvetica" w:cs="Helvetica"/>
                <w:color w:val="000000" w:themeColor="text1"/>
                <w:kern w:val="0"/>
                <w:sz w:val="24"/>
                <w:szCs w:val="24"/>
              </w:rPr>
              <w:t>/杨帆</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5</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无</w:t>
            </w:r>
            <w:r>
              <w:rPr>
                <w:rFonts w:ascii="Helvetica" w:hAnsi="Helvetica" w:cs="Helvetica"/>
                <w:color w:val="000000" w:themeColor="text1"/>
                <w:kern w:val="0"/>
                <w:sz w:val="24"/>
                <w:szCs w:val="24"/>
              </w:rPr>
              <w:t>修改建议。</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满洲里</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原满洲里</w:t>
            </w:r>
            <w:r>
              <w:rPr>
                <w:rFonts w:ascii="Helvetica" w:hAnsi="Helvetica" w:cs="Helvetica"/>
                <w:color w:val="000000" w:themeColor="text1"/>
                <w:kern w:val="0"/>
                <w:sz w:val="24"/>
                <w:szCs w:val="24"/>
              </w:rPr>
              <w:t>出入境检验检疫局技术中心）</w:t>
            </w:r>
            <w:r>
              <w:rPr>
                <w:rFonts w:hint="eastAsia" w:ascii="Helvetica" w:hAnsi="Helvetica" w:cs="Helvetica"/>
                <w:color w:val="000000" w:themeColor="text1"/>
                <w:kern w:val="0"/>
                <w:sz w:val="24"/>
                <w:szCs w:val="24"/>
              </w:rPr>
              <w:t>/杨东来</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jc w:val="center"/>
              <w:rPr>
                <w:rFonts w:ascii="Helvetica" w:hAnsi="Helvetica" w:cs="Helvetica"/>
                <w:color w:val="000000" w:themeColor="text1"/>
                <w:kern w:val="0"/>
                <w:sz w:val="24"/>
                <w:szCs w:val="24"/>
              </w:rPr>
            </w:pP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widowControl/>
              <w:jc w:val="left"/>
              <w:rPr>
                <w:rFonts w:ascii="Helvetica" w:hAnsi="Helvetica" w:cs="Helvetica"/>
                <w:color w:val="000000" w:themeColor="text1"/>
                <w:kern w:val="0"/>
                <w:sz w:val="24"/>
                <w:szCs w:val="24"/>
              </w:rPr>
            </w:pPr>
          </w:p>
        </w:tc>
      </w:tr>
    </w:tbl>
    <w:p>
      <w:pPr>
        <w:spacing w:line="360" w:lineRule="auto"/>
        <w:rPr>
          <w:rFonts w:ascii="宋体" w:hAnsi="宋体" w:cs="宋体"/>
          <w:b/>
          <w:color w:val="000000" w:themeColor="text1"/>
          <w:sz w:val="24"/>
          <w:szCs w:val="24"/>
        </w:rPr>
      </w:pPr>
    </w:p>
    <w:p>
      <w:pPr>
        <w:spacing w:line="360" w:lineRule="auto"/>
        <w:rPr>
          <w:rFonts w:ascii="Times New Roman" w:hAnsi="Times New Roman"/>
          <w:color w:val="000000" w:themeColor="text1"/>
          <w:sz w:val="24"/>
          <w:szCs w:val="24"/>
        </w:rPr>
      </w:pPr>
      <w:r>
        <w:rPr>
          <w:rFonts w:hint="eastAsia" w:ascii="宋体" w:hAnsi="宋体" w:cs="宋体"/>
          <w:b/>
          <w:color w:val="000000" w:themeColor="text1"/>
          <w:sz w:val="24"/>
          <w:szCs w:val="24"/>
        </w:rPr>
        <w:t>参考文献：</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w:t>
      </w:r>
      <w:r>
        <w:rPr>
          <w:rFonts w:hint="eastAsia" w:ascii="Times New Roman" w:hAnsi="Times New Roman"/>
          <w:color w:val="000000" w:themeColor="text1"/>
          <w:sz w:val="24"/>
          <w:szCs w:val="24"/>
        </w:rPr>
        <w:t>1</w:t>
      </w:r>
      <w:r>
        <w:rPr>
          <w:rFonts w:ascii="Times New Roman" w:hAnsi="Times New Roman"/>
          <w:color w:val="000000" w:themeColor="text1"/>
          <w:sz w:val="24"/>
          <w:szCs w:val="24"/>
        </w:rPr>
        <w:t>]</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GB/T 1.1-2009</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标准化工作导则 第1部分：标准的结构和编写规则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spacing w:line="360" w:lineRule="auto"/>
        <w:rPr>
          <w:rFonts w:ascii="Times New Roman" w:hAnsi="Times New Roman"/>
          <w:color w:val="000000" w:themeColor="text1"/>
          <w:sz w:val="24"/>
          <w:szCs w:val="24"/>
        </w:rPr>
      </w:pPr>
      <w:r>
        <w:rPr>
          <w:rFonts w:ascii="Times New Roman" w:hAnsi="Times New Roman"/>
          <w:color w:val="000000" w:themeColor="text1"/>
          <w:sz w:val="24"/>
          <w:szCs w:val="24"/>
        </w:rPr>
        <w:t>[2] GB/T 20001.4-2015</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标准编写规则 第4部分：试验方法标准</w:t>
      </w:r>
      <w:r>
        <w:rPr>
          <w:rFonts w:hint="eastAsia" w:ascii="Times New Roman" w:hAnsi="Times New Roman"/>
          <w:color w:val="000000" w:themeColor="text1"/>
          <w:sz w:val="24"/>
          <w:szCs w:val="24"/>
        </w:rPr>
        <w:t>[S]</w:t>
      </w:r>
      <w:r>
        <w:rPr>
          <w:rFonts w:ascii="宋体" w:hAnsi="宋体"/>
          <w:color w:val="000000" w:themeColor="text1"/>
          <w:sz w:val="24"/>
          <w:szCs w:val="24"/>
        </w:rPr>
        <w:t>.</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[3] GB 14925-2010</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环境及设施</w:t>
      </w:r>
      <w:r>
        <w:rPr>
          <w:rFonts w:hint="eastAsia" w:ascii="Times New Roman" w:hAnsi="Times New Roman"/>
          <w:color w:val="000000" w:themeColor="text1"/>
          <w:sz w:val="24"/>
          <w:szCs w:val="24"/>
        </w:rPr>
        <w:t>[S]</w:t>
      </w:r>
      <w:r>
        <w:rPr>
          <w:rFonts w:ascii="宋体" w:hAnsi="宋体"/>
          <w:color w:val="000000" w:themeColor="text1"/>
          <w:sz w:val="24"/>
          <w:szCs w:val="24"/>
        </w:rPr>
        <w:t>.</w:t>
      </w:r>
    </w:p>
    <w:p>
      <w:pPr>
        <w:spacing w:line="36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Pr>
          <w:rFonts w:hint="eastAsia" w:ascii="Times New Roman" w:hAnsi="Times New Roman"/>
          <w:color w:val="000000" w:themeColor="text1"/>
          <w:sz w:val="24"/>
          <w:szCs w:val="24"/>
        </w:rPr>
        <w:t>GB/T 14926.13-2001,实验动物脑炎克雷伯杆菌检测方法[S].</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 xml:space="preserve">[5] </w:t>
      </w:r>
      <w:r>
        <w:rPr>
          <w:rFonts w:hint="eastAsia" w:ascii="Times New Roman" w:hAnsi="Times New Roman"/>
          <w:color w:val="000000" w:themeColor="text1"/>
          <w:sz w:val="24"/>
          <w:szCs w:val="24"/>
        </w:rPr>
        <w:t>SN/T1962-2007 , 食品中克雷伯氏菌检测方法[S]</w:t>
      </w:r>
      <w:r>
        <w:rPr>
          <w:rFonts w:ascii="宋体" w:hAnsi="宋体"/>
          <w:color w:val="000000" w:themeColor="text1"/>
          <w:sz w:val="24"/>
          <w:szCs w:val="24"/>
        </w:rPr>
        <w:t>.</w:t>
      </w:r>
    </w:p>
    <w:p>
      <w:pPr>
        <w:spacing w:line="36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[6] </w:t>
      </w:r>
      <w:r>
        <w:rPr>
          <w:rFonts w:hint="eastAsia" w:ascii="Times New Roman" w:hAnsi="Times New Roman"/>
          <w:color w:val="000000" w:themeColor="text1"/>
          <w:sz w:val="24"/>
          <w:szCs w:val="24"/>
        </w:rPr>
        <w:t>SN/T 25529-2010, 乳及乳制品卫生微生物学检验方法 第9部分：克雷伯氏菌检验[S]</w:t>
      </w:r>
      <w:r>
        <w:rPr>
          <w:rFonts w:ascii="宋体" w:hAnsi="宋体"/>
          <w:color w:val="000000" w:themeColor="text1"/>
          <w:sz w:val="24"/>
          <w:szCs w:val="24"/>
        </w:rPr>
        <w:t>.</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 xml:space="preserve">[7] </w:t>
      </w:r>
      <w:r>
        <w:rPr>
          <w:rFonts w:hint="eastAsia" w:ascii="Times New Roman" w:hAnsi="Times New Roman"/>
          <w:color w:val="000000" w:themeColor="text1"/>
          <w:sz w:val="24"/>
          <w:szCs w:val="24"/>
        </w:rPr>
        <w:t>SN/T 27548-2011, 出口食品中数病菌环介导检温扩增（LAMP)检测方法[S]</w:t>
      </w:r>
      <w:r>
        <w:rPr>
          <w:rFonts w:ascii="宋体" w:hAnsi="宋体"/>
          <w:color w:val="000000" w:themeColor="text1"/>
          <w:sz w:val="24"/>
          <w:szCs w:val="24"/>
        </w:rPr>
        <w:t>.</w:t>
      </w:r>
    </w:p>
    <w:p>
      <w:pPr>
        <w:spacing w:line="360" w:lineRule="auto"/>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Pr>
          <w:rFonts w:hint="eastAsia" w:ascii="Times New Roman" w:hAnsi="Times New Roman"/>
          <w:color w:val="000000" w:themeColor="text1"/>
          <w:sz w:val="24"/>
          <w:szCs w:val="24"/>
        </w:rPr>
        <w:t>SN/T 2206.3-2009, 化妆品微生物检验方法 第3部分：肺炎克雷伯氏菌[S]</w:t>
      </w:r>
      <w:r>
        <w:rPr>
          <w:rFonts w:ascii="宋体" w:hAnsi="宋体"/>
          <w:color w:val="000000" w:themeColor="text1"/>
          <w:sz w:val="24"/>
          <w:szCs w:val="24"/>
        </w:rPr>
        <w:t>.</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[9] DB32/T 2129-2012</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垫料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spacing w:line="360" w:lineRule="auto"/>
        <w:rPr>
          <w:rFonts w:ascii="宋体" w:hAnsi="宋体"/>
          <w:color w:val="000000" w:themeColor="text1"/>
          <w:sz w:val="24"/>
          <w:szCs w:val="24"/>
        </w:rPr>
      </w:pPr>
      <w:r>
        <w:rPr>
          <w:rFonts w:ascii="Times New Roman" w:hAnsi="Times New Roman"/>
          <w:color w:val="000000" w:themeColor="text1"/>
          <w:sz w:val="24"/>
          <w:szCs w:val="24"/>
        </w:rPr>
        <w:t>[10]</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DB11/T 1126-2014</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垫料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spacing w:line="360" w:lineRule="auto"/>
        <w:rPr>
          <w:rFonts w:ascii="Times New Roman" w:hAnsi="Times New Roman"/>
          <w:color w:val="000000" w:themeColor="text1"/>
          <w:sz w:val="24"/>
          <w:szCs w:val="24"/>
        </w:rPr>
      </w:pPr>
    </w:p>
    <w:p>
      <w:pPr>
        <w:spacing w:line="480" w:lineRule="auto"/>
        <w:rPr>
          <w:rFonts w:ascii="Times New Roman" w:hAnsi="Times New Roman"/>
          <w:b/>
          <w:bCs/>
          <w:color w:val="000000" w:themeColor="text1"/>
          <w:sz w:val="24"/>
          <w:szCs w:val="24"/>
        </w:rPr>
      </w:pPr>
    </w:p>
    <w:sectPr>
      <w:headerReference r:id="rId3" w:type="default"/>
      <w:footerReference r:id="rId4" w:type="default"/>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rPr>
        <w:rFonts w:hint="eastAsia"/>
      </w:rPr>
      <w:t>I</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t>DB15/</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4D626D"/>
    <w:multiLevelType w:val="singleLevel"/>
    <w:tmpl w:val="B14D626D"/>
    <w:lvl w:ilvl="0" w:tentative="0">
      <w:start w:val="10"/>
      <w:numFmt w:val="chineseCounting"/>
      <w:suff w:val="nothing"/>
      <w:lvlText w:val="%1、"/>
      <w:lvlJc w:val="left"/>
      <w:rPr>
        <w:rFonts w:hint="eastAsia"/>
      </w:rPr>
    </w:lvl>
  </w:abstractNum>
  <w:abstractNum w:abstractNumId="1">
    <w:nsid w:val="5AAF25F6"/>
    <w:multiLevelType w:val="singleLevel"/>
    <w:tmpl w:val="5AAF25F6"/>
    <w:lvl w:ilvl="0" w:tentative="0">
      <w:start w:val="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D24EB"/>
    <w:rsid w:val="00172A27"/>
    <w:rsid w:val="00190C05"/>
    <w:rsid w:val="00191BCD"/>
    <w:rsid w:val="001B3768"/>
    <w:rsid w:val="001C4C09"/>
    <w:rsid w:val="0023648F"/>
    <w:rsid w:val="00242916"/>
    <w:rsid w:val="0025755A"/>
    <w:rsid w:val="002F631F"/>
    <w:rsid w:val="00321B3D"/>
    <w:rsid w:val="00326BB8"/>
    <w:rsid w:val="0034253E"/>
    <w:rsid w:val="0036557A"/>
    <w:rsid w:val="00370DE6"/>
    <w:rsid w:val="004A5ADD"/>
    <w:rsid w:val="005028DE"/>
    <w:rsid w:val="0053133A"/>
    <w:rsid w:val="0054247D"/>
    <w:rsid w:val="005D33D9"/>
    <w:rsid w:val="006018AB"/>
    <w:rsid w:val="00640E2A"/>
    <w:rsid w:val="00661E4E"/>
    <w:rsid w:val="006A1167"/>
    <w:rsid w:val="006E2A5E"/>
    <w:rsid w:val="00707E52"/>
    <w:rsid w:val="007205CB"/>
    <w:rsid w:val="00787ECD"/>
    <w:rsid w:val="007B5E9C"/>
    <w:rsid w:val="0080069D"/>
    <w:rsid w:val="00810319"/>
    <w:rsid w:val="008A7E1C"/>
    <w:rsid w:val="008B5729"/>
    <w:rsid w:val="008D26C2"/>
    <w:rsid w:val="008F3619"/>
    <w:rsid w:val="00936F70"/>
    <w:rsid w:val="00950060"/>
    <w:rsid w:val="00952569"/>
    <w:rsid w:val="009566EB"/>
    <w:rsid w:val="00963388"/>
    <w:rsid w:val="0096638C"/>
    <w:rsid w:val="00A306ED"/>
    <w:rsid w:val="00A66EC5"/>
    <w:rsid w:val="00AE3578"/>
    <w:rsid w:val="00AE4AEF"/>
    <w:rsid w:val="00AE5BCA"/>
    <w:rsid w:val="00B35E64"/>
    <w:rsid w:val="00B7241A"/>
    <w:rsid w:val="00BC0FCA"/>
    <w:rsid w:val="00BC1515"/>
    <w:rsid w:val="00BE10D5"/>
    <w:rsid w:val="00C06410"/>
    <w:rsid w:val="00C145C3"/>
    <w:rsid w:val="00CC52FC"/>
    <w:rsid w:val="00CE1721"/>
    <w:rsid w:val="00D11E79"/>
    <w:rsid w:val="00D217E9"/>
    <w:rsid w:val="00D34E6A"/>
    <w:rsid w:val="00E507C1"/>
    <w:rsid w:val="00ED2129"/>
    <w:rsid w:val="00F24D15"/>
    <w:rsid w:val="00F25C69"/>
    <w:rsid w:val="00F3571F"/>
    <w:rsid w:val="00F745B2"/>
    <w:rsid w:val="00FC072C"/>
    <w:rsid w:val="00FD1DB8"/>
    <w:rsid w:val="014E2833"/>
    <w:rsid w:val="017D4D1D"/>
    <w:rsid w:val="01CD0375"/>
    <w:rsid w:val="01F37FD9"/>
    <w:rsid w:val="01FF4BE7"/>
    <w:rsid w:val="034F7172"/>
    <w:rsid w:val="037713FB"/>
    <w:rsid w:val="04A44D46"/>
    <w:rsid w:val="04B13186"/>
    <w:rsid w:val="04BE6171"/>
    <w:rsid w:val="05C473BB"/>
    <w:rsid w:val="060816EE"/>
    <w:rsid w:val="06625E84"/>
    <w:rsid w:val="0765519E"/>
    <w:rsid w:val="078F2E6C"/>
    <w:rsid w:val="08300355"/>
    <w:rsid w:val="098C0709"/>
    <w:rsid w:val="0B1A521D"/>
    <w:rsid w:val="0BAE64F3"/>
    <w:rsid w:val="0C6968D1"/>
    <w:rsid w:val="0C9E4DE8"/>
    <w:rsid w:val="0DB808D1"/>
    <w:rsid w:val="0DBB639B"/>
    <w:rsid w:val="0E953310"/>
    <w:rsid w:val="0ECE47C3"/>
    <w:rsid w:val="102A67EA"/>
    <w:rsid w:val="10A50AA6"/>
    <w:rsid w:val="10FC720B"/>
    <w:rsid w:val="10FF41A1"/>
    <w:rsid w:val="11D25879"/>
    <w:rsid w:val="12D8423D"/>
    <w:rsid w:val="13464A4E"/>
    <w:rsid w:val="13E571B4"/>
    <w:rsid w:val="14993CC8"/>
    <w:rsid w:val="15B931BC"/>
    <w:rsid w:val="162D37D6"/>
    <w:rsid w:val="16457737"/>
    <w:rsid w:val="176B3003"/>
    <w:rsid w:val="178306D2"/>
    <w:rsid w:val="178D12B3"/>
    <w:rsid w:val="180D3EC6"/>
    <w:rsid w:val="18573088"/>
    <w:rsid w:val="18DB0E65"/>
    <w:rsid w:val="1A312F28"/>
    <w:rsid w:val="1A3A606B"/>
    <w:rsid w:val="1A54429E"/>
    <w:rsid w:val="1B064C03"/>
    <w:rsid w:val="1B1F1F8D"/>
    <w:rsid w:val="1B2709C6"/>
    <w:rsid w:val="1B2A119E"/>
    <w:rsid w:val="1B7A74BE"/>
    <w:rsid w:val="1B7D6C1A"/>
    <w:rsid w:val="1BCD0FA3"/>
    <w:rsid w:val="1C46433A"/>
    <w:rsid w:val="1C82659F"/>
    <w:rsid w:val="1D9F0FF8"/>
    <w:rsid w:val="1E7B0518"/>
    <w:rsid w:val="1EE12AFC"/>
    <w:rsid w:val="1F7D6152"/>
    <w:rsid w:val="218727A7"/>
    <w:rsid w:val="22A4573B"/>
    <w:rsid w:val="22F17A42"/>
    <w:rsid w:val="23675D57"/>
    <w:rsid w:val="24002724"/>
    <w:rsid w:val="24A73EE9"/>
    <w:rsid w:val="2551313C"/>
    <w:rsid w:val="25DA71D8"/>
    <w:rsid w:val="263634E0"/>
    <w:rsid w:val="27B16F5D"/>
    <w:rsid w:val="27C44307"/>
    <w:rsid w:val="27FE1A7C"/>
    <w:rsid w:val="28FD1D5E"/>
    <w:rsid w:val="295F3DA6"/>
    <w:rsid w:val="2B46656A"/>
    <w:rsid w:val="2B953B10"/>
    <w:rsid w:val="2C0031FA"/>
    <w:rsid w:val="2CC632B2"/>
    <w:rsid w:val="2D1B59D1"/>
    <w:rsid w:val="2D6E77A8"/>
    <w:rsid w:val="2E126501"/>
    <w:rsid w:val="2EAE7E68"/>
    <w:rsid w:val="2EFE33A8"/>
    <w:rsid w:val="2F7A208A"/>
    <w:rsid w:val="2FC57ECA"/>
    <w:rsid w:val="3060008C"/>
    <w:rsid w:val="30746109"/>
    <w:rsid w:val="30FA2084"/>
    <w:rsid w:val="31270CC7"/>
    <w:rsid w:val="31CC4A8C"/>
    <w:rsid w:val="31DE6A88"/>
    <w:rsid w:val="31F60F03"/>
    <w:rsid w:val="31F74033"/>
    <w:rsid w:val="325640FF"/>
    <w:rsid w:val="3303017D"/>
    <w:rsid w:val="331C0634"/>
    <w:rsid w:val="33FC7C85"/>
    <w:rsid w:val="349E2A31"/>
    <w:rsid w:val="34FC1B69"/>
    <w:rsid w:val="36020625"/>
    <w:rsid w:val="36BA0799"/>
    <w:rsid w:val="39C70A4F"/>
    <w:rsid w:val="3B876114"/>
    <w:rsid w:val="3BDF61CA"/>
    <w:rsid w:val="3C41417B"/>
    <w:rsid w:val="3E587526"/>
    <w:rsid w:val="427534AB"/>
    <w:rsid w:val="42A059AA"/>
    <w:rsid w:val="43AC2548"/>
    <w:rsid w:val="43CB687F"/>
    <w:rsid w:val="45E14087"/>
    <w:rsid w:val="45F67877"/>
    <w:rsid w:val="464F5B0C"/>
    <w:rsid w:val="47067D32"/>
    <w:rsid w:val="47503848"/>
    <w:rsid w:val="48F37073"/>
    <w:rsid w:val="49A62F6E"/>
    <w:rsid w:val="4A96360E"/>
    <w:rsid w:val="4B0035DA"/>
    <w:rsid w:val="4B696C17"/>
    <w:rsid w:val="4C21565B"/>
    <w:rsid w:val="4C3D3054"/>
    <w:rsid w:val="4CB22BAD"/>
    <w:rsid w:val="4CC95413"/>
    <w:rsid w:val="4D401885"/>
    <w:rsid w:val="4D641903"/>
    <w:rsid w:val="4E020653"/>
    <w:rsid w:val="4ED10F90"/>
    <w:rsid w:val="4EFE63C7"/>
    <w:rsid w:val="500837D9"/>
    <w:rsid w:val="50393364"/>
    <w:rsid w:val="51160789"/>
    <w:rsid w:val="515C316E"/>
    <w:rsid w:val="51747324"/>
    <w:rsid w:val="518F2ABE"/>
    <w:rsid w:val="51AE20C5"/>
    <w:rsid w:val="534529B5"/>
    <w:rsid w:val="54A92887"/>
    <w:rsid w:val="54FC6852"/>
    <w:rsid w:val="5682566C"/>
    <w:rsid w:val="57372AEF"/>
    <w:rsid w:val="57E96616"/>
    <w:rsid w:val="582B0928"/>
    <w:rsid w:val="591C6AA9"/>
    <w:rsid w:val="5985770F"/>
    <w:rsid w:val="59E3529B"/>
    <w:rsid w:val="5AC005F1"/>
    <w:rsid w:val="5AFC2DB2"/>
    <w:rsid w:val="5B0C6676"/>
    <w:rsid w:val="5B743A2F"/>
    <w:rsid w:val="5B8B0401"/>
    <w:rsid w:val="5C0953DE"/>
    <w:rsid w:val="5CD47209"/>
    <w:rsid w:val="5D2D23CA"/>
    <w:rsid w:val="5E6E64D8"/>
    <w:rsid w:val="5E810B70"/>
    <w:rsid w:val="5E9157E2"/>
    <w:rsid w:val="5F4D4A16"/>
    <w:rsid w:val="5FCF2440"/>
    <w:rsid w:val="60084081"/>
    <w:rsid w:val="602A35F0"/>
    <w:rsid w:val="603C16C4"/>
    <w:rsid w:val="604B0536"/>
    <w:rsid w:val="60744440"/>
    <w:rsid w:val="60EB5B6E"/>
    <w:rsid w:val="60F33310"/>
    <w:rsid w:val="61632B83"/>
    <w:rsid w:val="62142F7A"/>
    <w:rsid w:val="626F55F0"/>
    <w:rsid w:val="62922768"/>
    <w:rsid w:val="62D50932"/>
    <w:rsid w:val="637A4B2B"/>
    <w:rsid w:val="63DF5115"/>
    <w:rsid w:val="64DA4E0F"/>
    <w:rsid w:val="65057068"/>
    <w:rsid w:val="656024AC"/>
    <w:rsid w:val="66930110"/>
    <w:rsid w:val="66AF3C9C"/>
    <w:rsid w:val="675F4BDC"/>
    <w:rsid w:val="67794A33"/>
    <w:rsid w:val="68343278"/>
    <w:rsid w:val="68E2656B"/>
    <w:rsid w:val="69242B0B"/>
    <w:rsid w:val="694F7F76"/>
    <w:rsid w:val="6A5D0E39"/>
    <w:rsid w:val="6B6130BA"/>
    <w:rsid w:val="6BF1467B"/>
    <w:rsid w:val="6BFB57FF"/>
    <w:rsid w:val="6C3526BE"/>
    <w:rsid w:val="6D070725"/>
    <w:rsid w:val="6D072171"/>
    <w:rsid w:val="6D8B024A"/>
    <w:rsid w:val="6DFB2197"/>
    <w:rsid w:val="6E600E76"/>
    <w:rsid w:val="6EA01BB6"/>
    <w:rsid w:val="6ECB29A8"/>
    <w:rsid w:val="70226759"/>
    <w:rsid w:val="702F3B31"/>
    <w:rsid w:val="72293D7B"/>
    <w:rsid w:val="725B5569"/>
    <w:rsid w:val="72CD6BAC"/>
    <w:rsid w:val="72E63FC3"/>
    <w:rsid w:val="73290842"/>
    <w:rsid w:val="73C23107"/>
    <w:rsid w:val="74084AAE"/>
    <w:rsid w:val="74754790"/>
    <w:rsid w:val="749F5E46"/>
    <w:rsid w:val="75123E15"/>
    <w:rsid w:val="75B21D2E"/>
    <w:rsid w:val="76356BEA"/>
    <w:rsid w:val="76E6048D"/>
    <w:rsid w:val="77E537EC"/>
    <w:rsid w:val="7800005F"/>
    <w:rsid w:val="783E4C3D"/>
    <w:rsid w:val="78FD1DD1"/>
    <w:rsid w:val="7AED0C68"/>
    <w:rsid w:val="7BC2138E"/>
    <w:rsid w:val="7C765A1C"/>
    <w:rsid w:val="7D817E2C"/>
    <w:rsid w:val="7DCE3CFC"/>
    <w:rsid w:val="7F312C03"/>
    <w:rsid w:val="7F4C7007"/>
    <w:rsid w:val="7FCE6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30"/>
    <w:qFormat/>
    <w:uiPriority w:val="0"/>
    <w:rPr>
      <w:b/>
      <w:bCs/>
    </w:rPr>
  </w:style>
  <w:style w:type="paragraph" w:styleId="3">
    <w:name w:val="annotation text"/>
    <w:basedOn w:val="1"/>
    <w:link w:val="29"/>
    <w:qFormat/>
    <w:uiPriority w:val="0"/>
    <w:pPr>
      <w:jc w:val="left"/>
    </w:pPr>
  </w:style>
  <w:style w:type="paragraph" w:styleId="4">
    <w:name w:val="Date"/>
    <w:basedOn w:val="1"/>
    <w:next w:val="1"/>
    <w:link w:val="25"/>
    <w:qFormat/>
    <w:uiPriority w:val="0"/>
    <w:pPr>
      <w:ind w:left="100" w:leftChars="2500"/>
    </w:pPr>
  </w:style>
  <w:style w:type="paragraph" w:styleId="5">
    <w:name w:val="endnote text"/>
    <w:basedOn w:val="1"/>
    <w:qFormat/>
    <w:uiPriority w:val="0"/>
    <w:pPr>
      <w:snapToGrid w:val="0"/>
      <w:jc w:val="left"/>
    </w:pPr>
  </w:style>
  <w:style w:type="paragraph" w:styleId="6">
    <w:name w:val="Balloon Text"/>
    <w:basedOn w:val="1"/>
    <w:link w:val="31"/>
    <w:qFormat/>
    <w:uiPriority w:val="0"/>
    <w:rPr>
      <w:sz w:val="18"/>
      <w:szCs w:val="18"/>
    </w:rPr>
  </w:style>
  <w:style w:type="paragraph" w:styleId="7">
    <w:name w:val="footer"/>
    <w:basedOn w:val="1"/>
    <w:link w:val="28"/>
    <w:qFormat/>
    <w:uiPriority w:val="0"/>
    <w:pPr>
      <w:tabs>
        <w:tab w:val="center" w:pos="4153"/>
        <w:tab w:val="right" w:pos="8306"/>
      </w:tabs>
      <w:snapToGrid w:val="0"/>
      <w:jc w:val="left"/>
    </w:pPr>
    <w:rPr>
      <w:sz w:val="18"/>
      <w:szCs w:val="18"/>
    </w:rPr>
  </w:style>
  <w:style w:type="paragraph" w:styleId="8">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szCs w:val="24"/>
    </w:rPr>
  </w:style>
  <w:style w:type="character" w:styleId="11">
    <w:name w:val="Strong"/>
    <w:basedOn w:val="10"/>
    <w:qFormat/>
    <w:uiPriority w:val="0"/>
    <w:rPr>
      <w:b/>
    </w:rPr>
  </w:style>
  <w:style w:type="character" w:styleId="12">
    <w:name w:val="endnote reference"/>
    <w:basedOn w:val="10"/>
    <w:qFormat/>
    <w:uiPriority w:val="0"/>
    <w:rPr>
      <w:vertAlign w:val="superscript"/>
    </w:rPr>
  </w:style>
  <w:style w:type="character" w:styleId="13">
    <w:name w:val="FollowedHyperlink"/>
    <w:basedOn w:val="10"/>
    <w:qFormat/>
    <w:uiPriority w:val="0"/>
    <w:rPr>
      <w:color w:val="338DE6"/>
      <w:u w:val="none"/>
    </w:rPr>
  </w:style>
  <w:style w:type="character" w:styleId="14">
    <w:name w:val="Emphasis"/>
    <w:basedOn w:val="10"/>
    <w:qFormat/>
    <w:uiPriority w:val="20"/>
    <w:rPr>
      <w:i/>
      <w:iCs/>
    </w:rPr>
  </w:style>
  <w:style w:type="character" w:styleId="15">
    <w:name w:val="HTML Definition"/>
    <w:basedOn w:val="10"/>
    <w:qFormat/>
    <w:uiPriority w:val="0"/>
  </w:style>
  <w:style w:type="character" w:styleId="16">
    <w:name w:val="HTML Variable"/>
    <w:basedOn w:val="10"/>
    <w:qFormat/>
    <w:uiPriority w:val="0"/>
  </w:style>
  <w:style w:type="character" w:styleId="17">
    <w:name w:val="Hyperlink"/>
    <w:basedOn w:val="10"/>
    <w:qFormat/>
    <w:uiPriority w:val="0"/>
    <w:rPr>
      <w:color w:val="338DE6"/>
      <w:u w:val="none"/>
    </w:rPr>
  </w:style>
  <w:style w:type="character" w:styleId="18">
    <w:name w:val="HTML Code"/>
    <w:basedOn w:val="10"/>
    <w:qFormat/>
    <w:uiPriority w:val="0"/>
    <w:rPr>
      <w:rFonts w:ascii="serif" w:hAnsi="serif" w:eastAsia="serif" w:cs="serif"/>
      <w:sz w:val="21"/>
      <w:szCs w:val="21"/>
    </w:rPr>
  </w:style>
  <w:style w:type="character" w:styleId="19">
    <w:name w:val="annotation reference"/>
    <w:basedOn w:val="10"/>
    <w:qFormat/>
    <w:uiPriority w:val="0"/>
    <w:rPr>
      <w:sz w:val="21"/>
      <w:szCs w:val="21"/>
    </w:rPr>
  </w:style>
  <w:style w:type="character" w:styleId="20">
    <w:name w:val="HTML Cite"/>
    <w:basedOn w:val="10"/>
    <w:qFormat/>
    <w:uiPriority w:val="0"/>
  </w:style>
  <w:style w:type="character" w:styleId="21">
    <w:name w:val="HTML Keyboard"/>
    <w:basedOn w:val="10"/>
    <w:qFormat/>
    <w:uiPriority w:val="0"/>
    <w:rPr>
      <w:rFonts w:hint="default" w:ascii="serif" w:hAnsi="serif" w:eastAsia="serif" w:cs="serif"/>
      <w:sz w:val="21"/>
      <w:szCs w:val="21"/>
      <w:shd w:val="clear" w:color="auto" w:fill="FFFFFF"/>
    </w:rPr>
  </w:style>
  <w:style w:type="character" w:styleId="22">
    <w:name w:val="HTML Sample"/>
    <w:basedOn w:val="10"/>
    <w:qFormat/>
    <w:uiPriority w:val="0"/>
    <w:rPr>
      <w:rFonts w:hint="default" w:ascii="serif" w:hAnsi="serif" w:eastAsia="serif" w:cs="serif"/>
      <w:sz w:val="21"/>
      <w:szCs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日期 Char"/>
    <w:basedOn w:val="10"/>
    <w:link w:val="4"/>
    <w:qFormat/>
    <w:uiPriority w:val="0"/>
    <w:rPr>
      <w:rFonts w:ascii="Calibri" w:hAnsi="Calibri"/>
      <w:kern w:val="2"/>
      <w:sz w:val="21"/>
      <w:szCs w:val="22"/>
    </w:r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7">
    <w:name w:val="页眉 Char"/>
    <w:basedOn w:val="10"/>
    <w:link w:val="8"/>
    <w:qFormat/>
    <w:uiPriority w:val="0"/>
    <w:rPr>
      <w:rFonts w:ascii="Calibri" w:hAnsi="Calibri"/>
      <w:kern w:val="2"/>
      <w:sz w:val="18"/>
      <w:szCs w:val="18"/>
    </w:rPr>
  </w:style>
  <w:style w:type="character" w:customStyle="1" w:styleId="28">
    <w:name w:val="页脚 Char"/>
    <w:basedOn w:val="10"/>
    <w:link w:val="7"/>
    <w:qFormat/>
    <w:uiPriority w:val="0"/>
    <w:rPr>
      <w:rFonts w:ascii="Calibri" w:hAnsi="Calibri"/>
      <w:kern w:val="2"/>
      <w:sz w:val="18"/>
      <w:szCs w:val="18"/>
    </w:rPr>
  </w:style>
  <w:style w:type="character" w:customStyle="1" w:styleId="29">
    <w:name w:val="批注文字 Char"/>
    <w:basedOn w:val="10"/>
    <w:link w:val="3"/>
    <w:qFormat/>
    <w:uiPriority w:val="0"/>
    <w:rPr>
      <w:rFonts w:ascii="Calibri" w:hAnsi="Calibri"/>
      <w:kern w:val="2"/>
      <w:sz w:val="21"/>
      <w:szCs w:val="22"/>
    </w:rPr>
  </w:style>
  <w:style w:type="character" w:customStyle="1" w:styleId="30">
    <w:name w:val="批注主题 Char"/>
    <w:basedOn w:val="29"/>
    <w:link w:val="2"/>
    <w:qFormat/>
    <w:uiPriority w:val="0"/>
    <w:rPr>
      <w:b/>
      <w:bCs/>
    </w:rPr>
  </w:style>
  <w:style w:type="character" w:customStyle="1" w:styleId="31">
    <w:name w:val="批注框文本 Char"/>
    <w:basedOn w:val="10"/>
    <w:link w:val="6"/>
    <w:qFormat/>
    <w:uiPriority w:val="0"/>
    <w:rPr>
      <w:rFonts w:ascii="Calibri" w:hAnsi="Calibri"/>
      <w:kern w:val="2"/>
      <w:sz w:val="18"/>
      <w:szCs w:val="18"/>
    </w:rPr>
  </w:style>
  <w:style w:type="character" w:customStyle="1" w:styleId="32">
    <w:name w:val="fontstrikethrough"/>
    <w:basedOn w:val="10"/>
    <w:qFormat/>
    <w:uiPriority w:val="0"/>
    <w:rPr>
      <w:strike/>
    </w:rPr>
  </w:style>
  <w:style w:type="character" w:customStyle="1" w:styleId="33">
    <w:name w:val="fontborder"/>
    <w:basedOn w:val="10"/>
    <w:qFormat/>
    <w:uiPriority w:val="0"/>
    <w:rPr>
      <w:bdr w:val="single" w:color="000000" w:sz="6" w:space="0"/>
    </w:rPr>
  </w:style>
  <w:style w:type="character" w:customStyle="1" w:styleId="34">
    <w:name w:val="description5"/>
    <w:basedOn w:val="10"/>
    <w:qFormat/>
    <w:uiPriority w:val="0"/>
  </w:style>
  <w:style w:type="character" w:customStyle="1" w:styleId="35">
    <w:name w:val="c-icon14"/>
    <w:basedOn w:val="10"/>
    <w:qFormat/>
    <w:uiPriority w:val="0"/>
  </w:style>
  <w:style w:type="paragraph" w:customStyle="1" w:styleId="3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810</Words>
  <Characters>4620</Characters>
  <Lines>38</Lines>
  <Paragraphs>10</Paragraphs>
  <TotalTime>0</TotalTime>
  <ScaleCrop>false</ScaleCrop>
  <LinksUpToDate>false</LinksUpToDate>
  <CharactersWithSpaces>5420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2018-03-19T02:15:00Z</dcterms:created>
  <dc:creator>王强</dc:creator>
  <cp:lastModifiedBy>HCH</cp:lastModifiedBy>
  <dcterms:modified xsi:type="dcterms:W3CDTF">2020-04-08T07:08:54Z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KSORubyTemplateID" linkTarget="0">
    <vt:lpwstr>6</vt:lpwstr>
  </property>
</Properties>
</file>