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pacing w:val="-10"/>
          <w:sz w:val="36"/>
          <w:szCs w:val="36"/>
        </w:rPr>
      </w:pPr>
      <w:r>
        <w:rPr>
          <w:rFonts w:hint="eastAsia" w:ascii="黑体" w:hAnsi="黑体" w:eastAsia="黑体"/>
          <w:spacing w:val="-10"/>
          <w:sz w:val="36"/>
          <w:szCs w:val="36"/>
        </w:rPr>
        <w:t>内蒙古自治区地方标准</w:t>
      </w:r>
    </w:p>
    <w:p>
      <w:pPr>
        <w:jc w:val="center"/>
        <w:rPr>
          <w:rFonts w:ascii="黑体" w:hAnsi="宋体" w:eastAsia="黑体"/>
          <w:bCs/>
          <w:sz w:val="32"/>
          <w:szCs w:val="30"/>
        </w:rPr>
      </w:pPr>
      <w:r>
        <w:rPr>
          <w:rFonts w:hint="eastAsia" w:ascii="黑体" w:hAnsi="黑体" w:eastAsia="黑体"/>
          <w:spacing w:val="-10"/>
          <w:sz w:val="32"/>
          <w:szCs w:val="30"/>
        </w:rPr>
        <w:t>《</w:t>
      </w:r>
      <w:r>
        <w:rPr>
          <w:rFonts w:hint="eastAsia" w:ascii="黑体" w:hAnsi="宋体" w:eastAsia="黑体"/>
          <w:bCs/>
          <w:sz w:val="32"/>
          <w:szCs w:val="30"/>
        </w:rPr>
        <w:t>天然青干草收储技术规程》编制说明</w:t>
      </w:r>
    </w:p>
    <w:p>
      <w:pPr>
        <w:ind w:firstLine="420" w:firstLineChars="200"/>
        <w:rPr>
          <w:rFonts w:ascii="宋体" w:hAnsi="宋体" w:cs="宋体"/>
          <w:kern w:val="0"/>
          <w:szCs w:val="21"/>
        </w:rPr>
      </w:pPr>
    </w:p>
    <w:p>
      <w:pPr>
        <w:spacing w:line="360" w:lineRule="auto"/>
        <w:ind w:firstLine="480" w:firstLineChars="200"/>
        <w:rPr>
          <w:rFonts w:hAnsi="宋体"/>
          <w:sz w:val="24"/>
        </w:rPr>
      </w:pPr>
      <w:r>
        <w:rPr>
          <w:rFonts w:hint="eastAsia" w:hAnsi="宋体"/>
          <w:sz w:val="24"/>
        </w:rPr>
        <w:t>为了规范天然青干草收储技术，提高单位面积经济效益，特制订本规程，用以指导天然草原青干草收储问题，同时为</w:t>
      </w:r>
      <w:r>
        <w:rPr>
          <w:rFonts w:hint="eastAsia"/>
          <w:sz w:val="24"/>
        </w:rPr>
        <w:t>我区有机天然青干草的数量和质量提供实践价值，促进我区草产业的规范化、机械化、规模化和标准化</w:t>
      </w:r>
      <w:r>
        <w:rPr>
          <w:rFonts w:hint="eastAsia" w:hAnsi="宋体"/>
          <w:sz w:val="24"/>
        </w:rPr>
        <w:t>。本规程对天然青干草收储技术的机械设备、收获、割草、搂草、打捆、储藏、倒运等，依据现行国家标准，结合天然青干草种植地区的生产实际做出了规定。本规范在编制过程中广泛征求了有关科研、大学、生产企业专家和农业技术人员的意见，最后经审查定稿。</w:t>
      </w:r>
    </w:p>
    <w:p>
      <w:pPr>
        <w:pStyle w:val="2"/>
        <w:spacing w:before="120" w:after="120" w:line="360" w:lineRule="auto"/>
        <w:rPr>
          <w:sz w:val="28"/>
        </w:rPr>
      </w:pPr>
      <w:r>
        <w:rPr>
          <w:rFonts w:hint="eastAsia"/>
          <w:sz w:val="28"/>
        </w:rPr>
        <w:t>一、工作简况</w:t>
      </w:r>
    </w:p>
    <w:p>
      <w:pPr>
        <w:spacing w:line="360" w:lineRule="auto"/>
        <w:rPr>
          <w:kern w:val="0"/>
          <w:sz w:val="24"/>
        </w:rPr>
      </w:pPr>
      <w:r>
        <w:rPr>
          <w:rFonts w:hint="eastAsia" w:hAnsi="宋体"/>
          <w:sz w:val="24"/>
        </w:rPr>
        <w:t xml:space="preserve">    1. </w:t>
      </w:r>
      <w:r>
        <w:rPr>
          <w:rFonts w:hint="eastAsia"/>
          <w:kern w:val="0"/>
          <w:sz w:val="24"/>
        </w:rPr>
        <w:t>任务来源：“内蒙古市场监督管理局关于下达2018年第二批内蒙古自治区地方标准制修订项目计划的通知”（内质监标函〔2018〕154号）。</w:t>
      </w:r>
    </w:p>
    <w:p>
      <w:pPr>
        <w:spacing w:line="360" w:lineRule="auto"/>
        <w:ind w:firstLine="480" w:firstLineChars="200"/>
        <w:rPr>
          <w:kern w:val="0"/>
          <w:sz w:val="24"/>
        </w:rPr>
      </w:pPr>
      <w:r>
        <w:rPr>
          <w:rFonts w:hint="eastAsia"/>
          <w:kern w:val="0"/>
          <w:sz w:val="24"/>
        </w:rPr>
        <w:t>2. 起草单位：内蒙古草都草牧业股份有限公司、内蒙古草都饲草料研究院、内蒙古农业大学、内蒙古自治区农牧业科学院、中国农业大学。</w:t>
      </w:r>
    </w:p>
    <w:p>
      <w:pPr>
        <w:spacing w:line="360" w:lineRule="auto"/>
        <w:ind w:firstLine="480" w:firstLineChars="200"/>
        <w:rPr>
          <w:kern w:val="0"/>
          <w:sz w:val="24"/>
        </w:rPr>
      </w:pPr>
      <w:r>
        <w:rPr>
          <w:rFonts w:hint="eastAsia"/>
          <w:kern w:val="0"/>
          <w:sz w:val="24"/>
        </w:rPr>
        <w:t>3. 起草人：李国成、赵和平、刘芳、李青丰、李国才、张志贤、李志强、王辉、马星、白春利、丁海君、姚振东、李玲玲、宝音陶格涛、薛艳林、孙林、殷国梅、孙洪仁、刘公社、魏晓远、格根图、高玉洁。</w:t>
      </w:r>
    </w:p>
    <w:p>
      <w:pPr>
        <w:pStyle w:val="2"/>
        <w:spacing w:before="120" w:after="120" w:line="360" w:lineRule="auto"/>
        <w:rPr>
          <w:sz w:val="28"/>
        </w:rPr>
      </w:pPr>
      <w:r>
        <w:rPr>
          <w:rFonts w:hint="eastAsia"/>
          <w:sz w:val="28"/>
        </w:rPr>
        <w:t>二、制定技术规程的目的意义</w:t>
      </w:r>
    </w:p>
    <w:p>
      <w:pPr>
        <w:spacing w:line="360" w:lineRule="auto"/>
        <w:ind w:firstLine="480" w:firstLineChars="200"/>
        <w:rPr>
          <w:kern w:val="0"/>
          <w:sz w:val="24"/>
        </w:rPr>
      </w:pPr>
      <w:r>
        <w:rPr>
          <w:rFonts w:hint="eastAsia"/>
          <w:kern w:val="0"/>
          <w:sz w:val="24"/>
        </w:rPr>
        <w:t>内蒙古拥有草地资源8800万公顷，共分九大类，其中可以打草的有四大类，即：温性草甸草原类、温性典型草原类、低平地草甸类和沼泽类。目前比较固定的打草场是温性草甸草原类，主要分布在呼伦贝尔草原和锡林郭勒草原的东部，产量高而稳定；温性典型草原类由于受年景的影响较大，丰年并保护好的地段可以打草，大多数是以放牧为主；低地草甸类过去是很好的打草场，有些改为高产人工草地，目前还在打草利用的不多；沼泽类草地目前大多为湿地，过去小规模的打草，现在作为打草场利用的已经不多见。</w:t>
      </w:r>
    </w:p>
    <w:p>
      <w:pPr>
        <w:spacing w:line="360" w:lineRule="auto"/>
        <w:ind w:firstLine="480" w:firstLineChars="200"/>
        <w:rPr>
          <w:sz w:val="24"/>
        </w:rPr>
      </w:pPr>
      <w:r>
        <w:rPr>
          <w:rFonts w:hint="eastAsia"/>
          <w:sz w:val="24"/>
        </w:rPr>
        <w:t>草甸草原是打草场的主体部分，草甸草原是由中旱生多年生丛生、根茎禾草及杂类草等组成，如以贝加尔针茅、羊草、线叶菊等组成的各类草场，主要分布在呼伦贝尔和锡林郭勒草原，在兴安盟和通辽市、赤峰市还有些分布。80年代温性草甸草原面积760万公顷，可以打草利用的大约在200万公顷，目前可以打草利用的估计在50-100万公顷左右；温性典型草原类的主要牧草组成由羊草、大针茅、克氏针茅、糙隐子草等。</w:t>
      </w:r>
    </w:p>
    <w:p>
      <w:pPr>
        <w:spacing w:line="360" w:lineRule="auto"/>
        <w:ind w:firstLine="480" w:firstLineChars="200"/>
        <w:rPr>
          <w:sz w:val="24"/>
        </w:rPr>
      </w:pPr>
      <w:r>
        <w:rPr>
          <w:rFonts w:hint="eastAsia"/>
          <w:sz w:val="24"/>
        </w:rPr>
        <w:t>天然青干草是我区最重要的有机牧草来源之一，供给量大，质量稳定，是生产高端乳肉的主要牧草之一。目前关于天然青干草收储技术规程的标准还没有制定，各地在青干草收获、储藏和运输还缺乏统一的技术标准。</w:t>
      </w:r>
    </w:p>
    <w:p>
      <w:pPr>
        <w:spacing w:line="360" w:lineRule="auto"/>
        <w:ind w:firstLine="480" w:firstLineChars="200"/>
        <w:rPr>
          <w:sz w:val="24"/>
        </w:rPr>
      </w:pPr>
      <w:r>
        <w:rPr>
          <w:rFonts w:hint="eastAsia"/>
          <w:sz w:val="24"/>
        </w:rPr>
        <w:t>由于技术标准的缺失，各地生产企业、合作社和个人还是按照自己的经验进行生产和储运，生产的草产品质量不统一，产品包装和规格不统一，由此造成储藏、运输的混乱，进而造成市场价格低，没有竞争力，收益收到很大影响。</w:t>
      </w:r>
    </w:p>
    <w:p>
      <w:pPr>
        <w:spacing w:line="360" w:lineRule="auto"/>
        <w:ind w:firstLine="480" w:firstLineChars="200"/>
        <w:rPr>
          <w:sz w:val="24"/>
        </w:rPr>
      </w:pPr>
      <w:r>
        <w:rPr>
          <w:rFonts w:hint="eastAsia"/>
          <w:sz w:val="24"/>
        </w:rPr>
        <w:t>由于技术标准的缺失，打草场利用不规范、刈割制度设计不合理，对牧草的产量和打草场生态影响较大，也严重制约着草地的可持续利用。</w:t>
      </w:r>
    </w:p>
    <w:p>
      <w:pPr>
        <w:spacing w:line="360" w:lineRule="auto"/>
        <w:ind w:firstLine="480" w:firstLineChars="200"/>
        <w:rPr>
          <w:sz w:val="24"/>
        </w:rPr>
      </w:pPr>
      <w:r>
        <w:rPr>
          <w:rFonts w:hint="eastAsia"/>
          <w:sz w:val="24"/>
        </w:rPr>
        <w:t>由于技术标准的缺失，严重影响草产业的标准化、规模化、机械化水平的发挥。</w:t>
      </w:r>
    </w:p>
    <w:p>
      <w:pPr>
        <w:spacing w:line="360" w:lineRule="auto"/>
        <w:ind w:firstLine="480" w:firstLineChars="200"/>
        <w:rPr>
          <w:sz w:val="24"/>
        </w:rPr>
      </w:pPr>
      <w:r>
        <w:rPr>
          <w:rFonts w:hint="eastAsia"/>
          <w:sz w:val="24"/>
        </w:rPr>
        <w:t>该技术规程的编制、发布和推广应用，作为内蒙古的地方标准，指导和规范我区的打草场合理保护和可持续利用意义重大；对提高我区有机天然青干草的数量和质量具有重要实践价值；同时对促进我区草产业的规范化、机械化、规模化和标准化上一个大台阶。</w:t>
      </w:r>
    </w:p>
    <w:p>
      <w:pPr>
        <w:pStyle w:val="2"/>
        <w:spacing w:before="120" w:after="120" w:line="360" w:lineRule="auto"/>
        <w:rPr>
          <w:sz w:val="28"/>
        </w:rPr>
      </w:pPr>
      <w:r>
        <w:rPr>
          <w:rFonts w:hint="eastAsia"/>
          <w:sz w:val="28"/>
        </w:rPr>
        <w:t>三、主要工作过程</w:t>
      </w:r>
    </w:p>
    <w:p>
      <w:pPr>
        <w:spacing w:after="120" w:line="360" w:lineRule="auto"/>
        <w:ind w:firstLine="472" w:firstLineChars="196"/>
        <w:rPr>
          <w:b/>
          <w:sz w:val="24"/>
        </w:rPr>
      </w:pPr>
      <w:r>
        <w:rPr>
          <w:rFonts w:hint="eastAsia"/>
          <w:b/>
          <w:sz w:val="24"/>
        </w:rPr>
        <w:t>1、成立编制小组</w:t>
      </w:r>
    </w:p>
    <w:p>
      <w:pPr>
        <w:spacing w:after="120" w:line="360" w:lineRule="auto"/>
        <w:ind w:firstLine="480" w:firstLineChars="200"/>
        <w:rPr>
          <w:sz w:val="24"/>
        </w:rPr>
      </w:pPr>
      <w:r>
        <w:rPr>
          <w:rFonts w:hint="eastAsia"/>
          <w:sz w:val="24"/>
        </w:rPr>
        <w:t>2018年7月标准编制任务正式下达后，</w:t>
      </w:r>
      <w:r>
        <w:rPr>
          <w:sz w:val="24"/>
        </w:rPr>
        <w:t>由</w:t>
      </w:r>
      <w:r>
        <w:rPr>
          <w:rFonts w:hint="eastAsia"/>
          <w:sz w:val="24"/>
        </w:rPr>
        <w:t>内蒙古草都草牧业股份有限公司、内蒙古草都饲草料研究院、内蒙古农业大学、内蒙古自治区农牧业科学院等相关专家、技术人员</w:t>
      </w:r>
      <w:r>
        <w:rPr>
          <w:sz w:val="24"/>
        </w:rPr>
        <w:t>成立标准起草小组，</w:t>
      </w:r>
      <w:r>
        <w:rPr>
          <w:rFonts w:hint="eastAsia"/>
          <w:sz w:val="24"/>
        </w:rPr>
        <w:t>内蒙古草都饲草料研究院</w:t>
      </w:r>
      <w:r>
        <w:rPr>
          <w:sz w:val="24"/>
        </w:rPr>
        <w:t>负责标准撰写的组织、协调工作，并且承担资料的收集、整理、起草和意见汇总工作。</w:t>
      </w:r>
    </w:p>
    <w:p>
      <w:pPr>
        <w:spacing w:after="120" w:line="360" w:lineRule="auto"/>
        <w:ind w:firstLine="472" w:firstLineChars="196"/>
        <w:rPr>
          <w:b/>
          <w:sz w:val="24"/>
        </w:rPr>
      </w:pPr>
      <w:r>
        <w:rPr>
          <w:rFonts w:hint="eastAsia"/>
          <w:b/>
          <w:sz w:val="24"/>
        </w:rPr>
        <w:t>2、相关资料查找</w:t>
      </w:r>
    </w:p>
    <w:p>
      <w:pPr>
        <w:spacing w:after="120" w:line="360" w:lineRule="auto"/>
        <w:ind w:firstLine="480" w:firstLineChars="200"/>
        <w:rPr>
          <w:sz w:val="24"/>
        </w:rPr>
      </w:pPr>
      <w:r>
        <w:rPr>
          <w:rFonts w:hint="eastAsia"/>
          <w:sz w:val="24"/>
        </w:rPr>
        <w:t>2018年8月—9月，标准编写组成员对青干草收储情况开展了详细的调查研究，在</w:t>
      </w:r>
      <w:r>
        <w:rPr>
          <w:sz w:val="24"/>
        </w:rPr>
        <w:t>查阅</w:t>
      </w:r>
      <w:r>
        <w:rPr>
          <w:rFonts w:hint="eastAsia"/>
          <w:sz w:val="24"/>
        </w:rPr>
        <w:t>、收集、整理</w:t>
      </w:r>
      <w:r>
        <w:rPr>
          <w:sz w:val="24"/>
        </w:rPr>
        <w:t>大量的</w:t>
      </w:r>
      <w:r>
        <w:rPr>
          <w:rFonts w:hint="eastAsia"/>
          <w:sz w:val="24"/>
        </w:rPr>
        <w:t>技术</w:t>
      </w:r>
      <w:r>
        <w:rPr>
          <w:sz w:val="24"/>
        </w:rPr>
        <w:t>资料</w:t>
      </w:r>
      <w:r>
        <w:rPr>
          <w:rFonts w:hint="eastAsia"/>
          <w:sz w:val="24"/>
        </w:rPr>
        <w:t>基础之上</w:t>
      </w:r>
      <w:r>
        <w:rPr>
          <w:sz w:val="24"/>
        </w:rPr>
        <w:t>，</w:t>
      </w:r>
      <w:r>
        <w:rPr>
          <w:rFonts w:hint="eastAsia"/>
          <w:sz w:val="24"/>
        </w:rPr>
        <w:t>提出了标准制定具体方案。</w:t>
      </w:r>
      <w:r>
        <w:rPr>
          <w:sz w:val="24"/>
        </w:rPr>
        <w:t>通过资料的收集，发现在</w:t>
      </w:r>
      <w:r>
        <w:rPr>
          <w:rFonts w:hint="eastAsia"/>
          <w:sz w:val="24"/>
        </w:rPr>
        <w:t>天然青干草收储技术</w:t>
      </w:r>
      <w:r>
        <w:rPr>
          <w:sz w:val="24"/>
        </w:rPr>
        <w:t>规程方面没有专门的国家、行业、地方标准。</w:t>
      </w:r>
    </w:p>
    <w:p>
      <w:pPr>
        <w:spacing w:after="120" w:line="360" w:lineRule="auto"/>
        <w:ind w:firstLine="472" w:firstLineChars="196"/>
        <w:rPr>
          <w:b/>
          <w:sz w:val="24"/>
        </w:rPr>
      </w:pPr>
      <w:r>
        <w:rPr>
          <w:rFonts w:hint="eastAsia"/>
          <w:b/>
          <w:sz w:val="24"/>
        </w:rPr>
        <w:t>3、形成征求意见稿</w:t>
      </w:r>
    </w:p>
    <w:p>
      <w:pPr>
        <w:spacing w:line="360" w:lineRule="auto"/>
        <w:ind w:firstLine="480" w:firstLineChars="200"/>
        <w:rPr>
          <w:sz w:val="24"/>
        </w:rPr>
      </w:pPr>
      <w:r>
        <w:rPr>
          <w:rFonts w:hint="eastAsia"/>
          <w:sz w:val="24"/>
        </w:rPr>
        <w:t>2018年10月—12月，以积累的</w:t>
      </w:r>
      <w:r>
        <w:rPr>
          <w:sz w:val="24"/>
        </w:rPr>
        <w:t>大量第一手资料</w:t>
      </w:r>
      <w:r>
        <w:rPr>
          <w:rFonts w:hint="eastAsia"/>
          <w:sz w:val="24"/>
        </w:rPr>
        <w:t>为基础</w:t>
      </w:r>
      <w:r>
        <w:rPr>
          <w:sz w:val="24"/>
        </w:rPr>
        <w:t>，</w:t>
      </w:r>
      <w:r>
        <w:rPr>
          <w:rFonts w:hint="eastAsia"/>
          <w:sz w:val="24"/>
        </w:rPr>
        <w:t>并广泛</w:t>
      </w:r>
      <w:r>
        <w:rPr>
          <w:sz w:val="24"/>
        </w:rPr>
        <w:t>咨询</w:t>
      </w:r>
      <w:r>
        <w:rPr>
          <w:rFonts w:hint="eastAsia"/>
          <w:sz w:val="24"/>
        </w:rPr>
        <w:t>了</w:t>
      </w:r>
      <w:r>
        <w:rPr>
          <w:sz w:val="24"/>
        </w:rPr>
        <w:t>有关专家意见</w:t>
      </w:r>
      <w:r>
        <w:rPr>
          <w:rFonts w:hint="eastAsia"/>
          <w:sz w:val="24"/>
        </w:rPr>
        <w:t>的基础之上，对《天然青干草收储技术规程》进行了规范化、标准化整理，形成了本技术标准的初稿。在初稿制定过程中，不断征求有关专家的意见，修改形成了征求意见稿。</w:t>
      </w:r>
    </w:p>
    <w:p>
      <w:pPr>
        <w:spacing w:after="120" w:line="360" w:lineRule="auto"/>
        <w:ind w:firstLine="472" w:firstLineChars="196"/>
        <w:rPr>
          <w:b/>
          <w:sz w:val="24"/>
        </w:rPr>
      </w:pPr>
      <w:r>
        <w:rPr>
          <w:rFonts w:hint="eastAsia"/>
          <w:b/>
          <w:sz w:val="24"/>
        </w:rPr>
        <w:t>4、完善征求意见稿，形成送审稿</w:t>
      </w:r>
    </w:p>
    <w:p>
      <w:pPr>
        <w:spacing w:line="360" w:lineRule="auto"/>
        <w:ind w:firstLine="480" w:firstLineChars="200"/>
        <w:rPr>
          <w:sz w:val="24"/>
        </w:rPr>
      </w:pPr>
      <w:r>
        <w:rPr>
          <w:rFonts w:hint="eastAsia"/>
          <w:sz w:val="24"/>
        </w:rPr>
        <w:t>征求意见稿形成后，编写组将标准的纸质或者电子版发送给XXXX等科研院所、高等院校、牧草生产企业的相关专家以及牧草生产第一线的管理和技术人员征求意见，发送征求意见稿，然后仔细整理、分析汇总各单位的意见，对标准进行了认真详细的修改，最终形成《天然青干草收储技术规程》送审稿。</w:t>
      </w:r>
    </w:p>
    <w:p>
      <w:pPr>
        <w:spacing w:after="120" w:line="360" w:lineRule="auto"/>
        <w:ind w:firstLine="472" w:firstLineChars="196"/>
        <w:rPr>
          <w:b/>
          <w:sz w:val="24"/>
        </w:rPr>
      </w:pPr>
      <w:r>
        <w:rPr>
          <w:rFonts w:hint="eastAsia"/>
          <w:b/>
          <w:sz w:val="24"/>
        </w:rPr>
        <w:t>5、整理评审意见，清稿形成报批稿</w:t>
      </w:r>
    </w:p>
    <w:p>
      <w:pPr>
        <w:spacing w:line="360" w:lineRule="auto"/>
        <w:ind w:firstLine="480" w:firstLineChars="200"/>
        <w:rPr>
          <w:sz w:val="24"/>
        </w:rPr>
      </w:pPr>
      <w:r>
        <w:rPr>
          <w:rFonts w:hint="eastAsia"/>
          <w:sz w:val="24"/>
        </w:rPr>
        <w:t>2019年xx月xx日，内蒙古自治区质量技术监督局会同自治区农业厅主持召开了《天然青干草收储技术规程》地方标准审定会，编写组按会议专家的意见对标准进行了再次整理和修改，最终清稿形成了报批稿。</w:t>
      </w:r>
    </w:p>
    <w:p>
      <w:pPr>
        <w:pStyle w:val="2"/>
        <w:spacing w:before="120" w:after="120" w:line="360" w:lineRule="auto"/>
        <w:rPr>
          <w:sz w:val="28"/>
        </w:rPr>
      </w:pPr>
      <w:r>
        <w:rPr>
          <w:rFonts w:hint="eastAsia"/>
          <w:sz w:val="28"/>
        </w:rPr>
        <w:t>四、标准制定的原则和依据</w:t>
      </w:r>
    </w:p>
    <w:p>
      <w:pPr>
        <w:spacing w:after="120" w:line="360" w:lineRule="auto"/>
        <w:ind w:firstLine="472" w:firstLineChars="196"/>
        <w:rPr>
          <w:b/>
          <w:sz w:val="24"/>
        </w:rPr>
      </w:pPr>
      <w:r>
        <w:rPr>
          <w:rFonts w:hint="eastAsia"/>
          <w:b/>
          <w:sz w:val="24"/>
        </w:rPr>
        <w:t>1、</w:t>
      </w:r>
      <w:r>
        <w:rPr>
          <w:b/>
          <w:sz w:val="24"/>
        </w:rPr>
        <w:t>编制原则</w:t>
      </w:r>
    </w:p>
    <w:p>
      <w:pPr>
        <w:spacing w:line="360" w:lineRule="auto"/>
        <w:ind w:firstLine="480" w:firstLineChars="200"/>
        <w:rPr>
          <w:sz w:val="24"/>
        </w:rPr>
      </w:pPr>
      <w:r>
        <w:rPr>
          <w:sz w:val="24"/>
        </w:rPr>
        <w:fldChar w:fldCharType="begin"/>
      </w:r>
      <w:r>
        <w:rPr>
          <w:rFonts w:hint="eastAsia"/>
          <w:sz w:val="24"/>
        </w:rPr>
        <w:instrText xml:space="preserve">= 1 \* GB3</w:instrText>
      </w:r>
      <w:r>
        <w:rPr>
          <w:sz w:val="24"/>
        </w:rPr>
        <w:fldChar w:fldCharType="separate"/>
      </w:r>
      <w:r>
        <w:rPr>
          <w:rFonts w:hint="eastAsia"/>
          <w:sz w:val="24"/>
        </w:rPr>
        <w:t>①</w:t>
      </w:r>
      <w:r>
        <w:rPr>
          <w:sz w:val="24"/>
        </w:rPr>
        <w:fldChar w:fldCharType="end"/>
      </w:r>
      <w:r>
        <w:rPr>
          <w:rFonts w:hint="eastAsia"/>
          <w:sz w:val="24"/>
        </w:rPr>
        <w:t>本标准按照GB/T 1.1-2009 《标准化工作导则第1部分：标准的结构和编写》编制。</w:t>
      </w:r>
    </w:p>
    <w:p>
      <w:pPr>
        <w:spacing w:line="360" w:lineRule="auto"/>
        <w:ind w:firstLine="480" w:firstLineChars="200"/>
        <w:rPr>
          <w:sz w:val="24"/>
        </w:rPr>
      </w:pPr>
      <w:r>
        <w:rPr>
          <w:sz w:val="24"/>
        </w:rPr>
        <w:fldChar w:fldCharType="begin"/>
      </w:r>
      <w:r>
        <w:rPr>
          <w:rFonts w:hint="eastAsia"/>
          <w:sz w:val="24"/>
        </w:rPr>
        <w:instrText xml:space="preserve">= 2 \* GB3</w:instrText>
      </w:r>
      <w:r>
        <w:rPr>
          <w:sz w:val="24"/>
        </w:rPr>
        <w:fldChar w:fldCharType="separate"/>
      </w:r>
      <w:r>
        <w:rPr>
          <w:rFonts w:hint="eastAsia"/>
          <w:sz w:val="24"/>
        </w:rPr>
        <w:t>②</w:t>
      </w:r>
      <w:r>
        <w:rPr>
          <w:sz w:val="24"/>
        </w:rPr>
        <w:fldChar w:fldCharType="end"/>
      </w:r>
      <w:r>
        <w:rPr>
          <w:rFonts w:hint="eastAsia"/>
          <w:sz w:val="24"/>
        </w:rPr>
        <w:t>本标准参考了省内外有关牧草调制、收储方面的标准和技术资料，增强了标准的科学性和先进性。</w:t>
      </w:r>
    </w:p>
    <w:p>
      <w:pPr>
        <w:spacing w:line="360" w:lineRule="auto"/>
        <w:ind w:firstLine="480" w:firstLineChars="200"/>
        <w:rPr>
          <w:sz w:val="24"/>
        </w:rPr>
      </w:pPr>
      <w:r>
        <w:rPr>
          <w:sz w:val="24"/>
        </w:rPr>
        <w:fldChar w:fldCharType="begin"/>
      </w:r>
      <w:r>
        <w:rPr>
          <w:rFonts w:hint="eastAsia"/>
          <w:sz w:val="24"/>
        </w:rPr>
        <w:instrText xml:space="preserve">= 3 \* GB3</w:instrText>
      </w:r>
      <w:r>
        <w:rPr>
          <w:sz w:val="24"/>
        </w:rPr>
        <w:fldChar w:fldCharType="separate"/>
      </w:r>
      <w:r>
        <w:rPr>
          <w:rFonts w:hint="eastAsia"/>
          <w:sz w:val="24"/>
        </w:rPr>
        <w:t>③</w:t>
      </w:r>
      <w:r>
        <w:rPr>
          <w:sz w:val="24"/>
        </w:rPr>
        <w:fldChar w:fldCharType="end"/>
      </w:r>
      <w:r>
        <w:rPr>
          <w:rFonts w:hint="eastAsia"/>
          <w:sz w:val="24"/>
        </w:rPr>
        <w:t>标准编制</w:t>
      </w:r>
      <w:r>
        <w:rPr>
          <w:sz w:val="24"/>
        </w:rPr>
        <w:t>坚持</w:t>
      </w:r>
      <w:r>
        <w:rPr>
          <w:rFonts w:hint="eastAsia"/>
          <w:sz w:val="24"/>
        </w:rPr>
        <w:t>“</w:t>
      </w:r>
      <w:r>
        <w:rPr>
          <w:sz w:val="24"/>
        </w:rPr>
        <w:t>通俗性、实用性、科学性、</w:t>
      </w:r>
      <w:r>
        <w:rPr>
          <w:rFonts w:hint="eastAsia"/>
          <w:sz w:val="24"/>
        </w:rPr>
        <w:t>准确性、</w:t>
      </w:r>
      <w:r>
        <w:rPr>
          <w:sz w:val="24"/>
        </w:rPr>
        <w:t>合理性</w:t>
      </w:r>
      <w:r>
        <w:rPr>
          <w:rFonts w:hint="eastAsia"/>
          <w:sz w:val="24"/>
        </w:rPr>
        <w:t>”</w:t>
      </w:r>
      <w:r>
        <w:rPr>
          <w:sz w:val="24"/>
        </w:rPr>
        <w:t>原则，</w:t>
      </w:r>
      <w:r>
        <w:rPr>
          <w:rFonts w:hint="eastAsia"/>
          <w:sz w:val="24"/>
        </w:rPr>
        <w:t>保证</w:t>
      </w:r>
      <w:r>
        <w:rPr>
          <w:sz w:val="24"/>
        </w:rPr>
        <w:t>各单项标准内容</w:t>
      </w:r>
      <w:r>
        <w:rPr>
          <w:rFonts w:hint="eastAsia"/>
          <w:sz w:val="24"/>
        </w:rPr>
        <w:t>通俗易懂，具有较强的可操作性和实用性。</w:t>
      </w:r>
    </w:p>
    <w:p>
      <w:pPr>
        <w:spacing w:after="120" w:line="360" w:lineRule="auto"/>
        <w:ind w:firstLine="472" w:firstLineChars="196"/>
        <w:rPr>
          <w:b/>
          <w:sz w:val="24"/>
        </w:rPr>
      </w:pPr>
      <w:r>
        <w:rPr>
          <w:rFonts w:hint="eastAsia"/>
          <w:b/>
          <w:sz w:val="24"/>
        </w:rPr>
        <w:t>2、标准主要参数和检验规则的确定依据</w:t>
      </w:r>
    </w:p>
    <w:p>
      <w:pPr>
        <w:spacing w:line="360" w:lineRule="auto"/>
        <w:ind w:firstLine="480" w:firstLineChars="200"/>
        <w:rPr>
          <w:sz w:val="24"/>
        </w:rPr>
      </w:pPr>
      <w:r>
        <w:rPr>
          <w:rFonts w:hint="eastAsia"/>
          <w:sz w:val="24"/>
        </w:rPr>
        <w:t>本标准在编制过程中，主要参考了以下信息和文献资料，从而确保标准内容符合国内吸纳够法律法规，并与国内现有相关标准协调一致。</w:t>
      </w:r>
    </w:p>
    <w:p>
      <w:pPr>
        <w:spacing w:line="360" w:lineRule="auto"/>
        <w:ind w:firstLine="480" w:firstLineChars="200"/>
        <w:rPr>
          <w:sz w:val="24"/>
        </w:rPr>
      </w:pPr>
      <w:r>
        <w:rPr>
          <w:sz w:val="24"/>
        </w:rPr>
        <w:fldChar w:fldCharType="begin"/>
      </w:r>
      <w:r>
        <w:rPr>
          <w:rFonts w:hint="eastAsia"/>
          <w:sz w:val="24"/>
        </w:rPr>
        <w:instrText xml:space="preserve">= 1 \* GB3</w:instrText>
      </w:r>
      <w:r>
        <w:rPr>
          <w:sz w:val="24"/>
        </w:rPr>
        <w:fldChar w:fldCharType="separate"/>
      </w:r>
      <w:r>
        <w:rPr>
          <w:rFonts w:hint="eastAsia"/>
          <w:sz w:val="24"/>
        </w:rPr>
        <w:t>①</w:t>
      </w:r>
      <w:r>
        <w:rPr>
          <w:sz w:val="24"/>
        </w:rPr>
        <w:fldChar w:fldCharType="end"/>
      </w:r>
      <w:r>
        <w:rPr>
          <w:rFonts w:hint="eastAsia"/>
          <w:sz w:val="24"/>
        </w:rPr>
        <w:t xml:space="preserve"> </w:t>
      </w:r>
      <w:r>
        <w:rPr>
          <w:sz w:val="24"/>
        </w:rPr>
        <w:t>GB/T 6435-2014 饲料中水分的测定</w:t>
      </w:r>
    </w:p>
    <w:p>
      <w:pPr>
        <w:spacing w:line="360" w:lineRule="auto"/>
        <w:ind w:firstLine="480" w:firstLineChars="200"/>
        <w:rPr>
          <w:sz w:val="24"/>
        </w:rPr>
      </w:pPr>
      <w:r>
        <w:rPr>
          <w:sz w:val="24"/>
        </w:rPr>
        <w:fldChar w:fldCharType="begin"/>
      </w:r>
      <w:r>
        <w:rPr>
          <w:rFonts w:hint="eastAsia"/>
          <w:sz w:val="24"/>
        </w:rPr>
        <w:instrText xml:space="preserve">= 2 \* GB3</w:instrText>
      </w:r>
      <w:r>
        <w:rPr>
          <w:sz w:val="24"/>
        </w:rPr>
        <w:fldChar w:fldCharType="separate"/>
      </w:r>
      <w:r>
        <w:rPr>
          <w:rFonts w:hint="eastAsia"/>
          <w:sz w:val="24"/>
        </w:rPr>
        <w:t>②</w:t>
      </w:r>
      <w:r>
        <w:rPr>
          <w:sz w:val="24"/>
        </w:rPr>
        <w:fldChar w:fldCharType="end"/>
      </w:r>
      <w:r>
        <w:rPr>
          <w:rFonts w:hint="eastAsia"/>
          <w:sz w:val="24"/>
        </w:rPr>
        <w:t xml:space="preserve"> </w:t>
      </w:r>
      <w:r>
        <w:rPr>
          <w:sz w:val="24"/>
        </w:rPr>
        <w:t>GB 50016-2014  建筑设计防火规范</w:t>
      </w:r>
    </w:p>
    <w:p>
      <w:pPr>
        <w:spacing w:line="360" w:lineRule="auto"/>
        <w:ind w:firstLine="480" w:firstLineChars="200"/>
        <w:rPr>
          <w:rFonts w:hint="eastAsia"/>
          <w:sz w:val="24"/>
        </w:rPr>
      </w:pPr>
      <w:r>
        <w:rPr>
          <w:sz w:val="24"/>
        </w:rPr>
        <w:fldChar w:fldCharType="begin"/>
      </w:r>
      <w:r>
        <w:rPr>
          <w:rFonts w:hint="eastAsia"/>
          <w:sz w:val="24"/>
        </w:rPr>
        <w:instrText xml:space="preserve">= 3 \* GB3</w:instrText>
      </w:r>
      <w:r>
        <w:rPr>
          <w:sz w:val="24"/>
        </w:rPr>
        <w:fldChar w:fldCharType="separate"/>
      </w:r>
      <w:r>
        <w:rPr>
          <w:rFonts w:hint="eastAsia"/>
          <w:sz w:val="24"/>
        </w:rPr>
        <w:t>③</w:t>
      </w:r>
      <w:r>
        <w:rPr>
          <w:sz w:val="24"/>
        </w:rPr>
        <w:fldChar w:fldCharType="end"/>
      </w:r>
      <w:r>
        <w:rPr>
          <w:rFonts w:hint="eastAsia"/>
          <w:sz w:val="24"/>
        </w:rPr>
        <w:t xml:space="preserve"> NYT1177-2006 牧区干草贮藏设施建设技术规范</w:t>
      </w:r>
    </w:p>
    <w:p>
      <w:pPr>
        <w:pStyle w:val="2"/>
        <w:spacing w:before="120" w:after="120" w:line="360" w:lineRule="auto"/>
        <w:rPr>
          <w:sz w:val="28"/>
        </w:rPr>
      </w:pPr>
      <w:r>
        <w:rPr>
          <w:rFonts w:hint="eastAsia"/>
          <w:sz w:val="28"/>
        </w:rPr>
        <w:t>五、标准主要内容的说明</w:t>
      </w:r>
    </w:p>
    <w:p>
      <w:pPr>
        <w:spacing w:line="360" w:lineRule="auto"/>
        <w:ind w:firstLine="480" w:firstLineChars="200"/>
        <w:rPr>
          <w:sz w:val="24"/>
        </w:rPr>
      </w:pPr>
      <w:r>
        <w:rPr>
          <w:rFonts w:hint="eastAsia" w:hAnsi="宋体"/>
          <w:sz w:val="24"/>
        </w:rPr>
        <w:t>天然青干草收储技术通过对青干草收获、割草、搂草、打捆、贮藏、倒运等环节进行大量生产实践验证和总结分析，制定了本项技术规程。该规程的主要内容包括：</w:t>
      </w:r>
    </w:p>
    <w:p>
      <w:pPr>
        <w:spacing w:line="360" w:lineRule="auto"/>
        <w:ind w:firstLine="480" w:firstLineChars="200"/>
        <w:rPr>
          <w:rFonts w:hAnsi="宋体"/>
          <w:sz w:val="24"/>
        </w:rPr>
      </w:pPr>
      <w:r>
        <w:rPr>
          <w:rFonts w:hint="eastAsia" w:hAnsi="宋体"/>
          <w:sz w:val="24"/>
        </w:rPr>
        <w:t>1、术语：提出天然青干草、针茅、五花草、羊草、包型等的定义。</w:t>
      </w:r>
    </w:p>
    <w:p>
      <w:pPr>
        <w:spacing w:line="360" w:lineRule="auto"/>
        <w:ind w:firstLine="480" w:firstLineChars="200"/>
        <w:rPr>
          <w:rFonts w:hAnsi="宋体"/>
          <w:sz w:val="24"/>
        </w:rPr>
      </w:pPr>
      <w:r>
        <w:rPr>
          <w:rFonts w:hint="eastAsia" w:hAnsi="宋体"/>
          <w:sz w:val="24"/>
        </w:rPr>
        <w:t>（1）包型：为了便于装卸和运输，在生产中通常把青干草压缩为20kg、40kg及200kg等重量不等的长方包型，如果单位面积产草量比较高，水分在16-20之间，建议改用圆包型，后期拉运时再转化为方包型。本规程定义为：把青干草压缩成草捆的形状，如圆捆和方捆。</w:t>
      </w:r>
    </w:p>
    <w:p>
      <w:pPr>
        <w:spacing w:line="360" w:lineRule="auto"/>
        <w:ind w:firstLine="480" w:firstLineChars="200"/>
        <w:rPr>
          <w:rFonts w:hint="eastAsia" w:hAnsi="宋体"/>
          <w:sz w:val="24"/>
        </w:rPr>
      </w:pPr>
      <w:r>
        <w:rPr>
          <w:rFonts w:hint="eastAsia" w:hAnsi="宋体"/>
          <w:sz w:val="24"/>
        </w:rPr>
        <w:t>2、牧草收获：收货前准备包括关注政府文件、防火培训及机械选择等，指出割草、搂草、打捆等机械选择要求。</w:t>
      </w:r>
    </w:p>
    <w:p>
      <w:pPr>
        <w:spacing w:line="360" w:lineRule="auto"/>
        <w:ind w:firstLine="480" w:firstLineChars="200"/>
        <w:rPr>
          <w:rFonts w:hAnsi="宋体"/>
          <w:sz w:val="24"/>
        </w:rPr>
      </w:pPr>
      <w:r>
        <w:rPr>
          <w:rFonts w:hint="eastAsia" w:hAnsi="宋体"/>
          <w:sz w:val="24"/>
        </w:rPr>
        <w:t>收获后要及时晾晒以防发生霉变，因此要提前关注天气变化，选择连续4-10天的晴朗天气进行收割，错开雨季。针茅草根据地域不同，最好在灌浆期收割，避免狼针的危害；五花草含水量大，不易干燥，因此要错开雨期，选择7-10天连续晴朗的天气；羊草在孕穗至开花初期刈割，此时根部养分蓄积量较多。</w:t>
      </w:r>
    </w:p>
    <w:p>
      <w:pPr>
        <w:spacing w:line="360" w:lineRule="auto"/>
        <w:ind w:firstLine="480" w:firstLineChars="200"/>
        <w:rPr>
          <w:rFonts w:hint="eastAsia"/>
        </w:rPr>
      </w:pPr>
      <w:r>
        <w:rPr>
          <w:rFonts w:hint="eastAsia" w:hAnsi="宋体"/>
          <w:sz w:val="24"/>
        </w:rPr>
        <w:t>3、割草：根据《锡盟打草场规则》第三章“天然打草场刈割规则”：</w:t>
      </w:r>
      <w:r>
        <w:rPr>
          <w:rFonts w:hint="eastAsia"/>
        </w:rPr>
        <w:t xml:space="preserve"> </w:t>
      </w:r>
    </w:p>
    <w:p>
      <w:pPr>
        <w:spacing w:line="360" w:lineRule="auto"/>
        <w:ind w:firstLine="480" w:firstLineChars="200"/>
        <w:rPr>
          <w:rFonts w:hint="eastAsia" w:hAnsi="宋体"/>
          <w:sz w:val="24"/>
        </w:rPr>
      </w:pPr>
      <w:r>
        <w:rPr>
          <w:rFonts w:hint="eastAsia" w:hAnsi="宋体"/>
          <w:sz w:val="24"/>
        </w:rPr>
        <w:t xml:space="preserve">（1）天然打草场刈割时间一般应在每年8月15日以后开始，一年只刈割一次。特殊年份、特殊种群草要根据当年的监测结果来确定适宜刈割时间。        </w:t>
      </w:r>
    </w:p>
    <w:p>
      <w:pPr>
        <w:spacing w:line="360" w:lineRule="auto"/>
        <w:ind w:firstLine="480" w:firstLineChars="200"/>
        <w:rPr>
          <w:rFonts w:hint="eastAsia" w:hAnsi="宋体"/>
          <w:sz w:val="24"/>
        </w:rPr>
      </w:pPr>
      <w:r>
        <w:rPr>
          <w:rFonts w:hint="eastAsia" w:hAnsi="宋体"/>
          <w:sz w:val="24"/>
        </w:rPr>
        <w:t xml:space="preserve">（2）为保水保墒，避免地表过度裸露，刈割高度(留茬高度)不得低于6厘米，严禁强度搂杷，搂杷高度不得低于6厘米。        </w:t>
      </w:r>
    </w:p>
    <w:p>
      <w:pPr>
        <w:spacing w:line="360" w:lineRule="auto"/>
        <w:ind w:firstLine="480" w:firstLineChars="200"/>
        <w:rPr>
          <w:rFonts w:hAnsi="宋体"/>
          <w:sz w:val="24"/>
        </w:rPr>
      </w:pPr>
      <w:r>
        <w:rPr>
          <w:rFonts w:hint="eastAsia" w:hAnsi="宋体"/>
          <w:sz w:val="24"/>
        </w:rPr>
        <w:t xml:space="preserve">（3）天然打草场刈割方式采用以下两种方式之一进行刈割。第一种要采取划区分片轮刈方式进行刈割，即四区四年或五区五年轮刈制度，每年至少有一区休闲，使打草场得到休养生息。第二种暂时做不到轮刈的，每打草300米宽，需保留20米以上的草场植被作为草籽带。        </w:t>
      </w:r>
    </w:p>
    <w:p>
      <w:pPr>
        <w:spacing w:line="360" w:lineRule="auto"/>
        <w:ind w:firstLine="480" w:firstLineChars="200"/>
        <w:rPr>
          <w:rFonts w:hint="eastAsia" w:hAnsi="宋体"/>
          <w:sz w:val="24"/>
        </w:rPr>
      </w:pPr>
      <w:r>
        <w:rPr>
          <w:rFonts w:hint="eastAsia" w:hAnsi="宋体"/>
          <w:sz w:val="24"/>
        </w:rPr>
        <w:t>4、打捆：打捆时的压力可根据水分而定，水分相对高，压力就小一些，打包后按标准及时上垛；若水分合格，可加大打捆压力，降低捆草和拉运成本，见表1。8.2　针茅、羊草等禾本科牧草打捆时，根据装运情况选择圆捆或方捆两种包型；五花草打捆迟了会有大量叶片脱落，所以必须掌握好打包时间。五花草因很难掌握草捆水分，通常为小方捆，重量在15-20kg/捆，便于通风。</w:t>
      </w:r>
    </w:p>
    <w:p>
      <w:pPr>
        <w:pStyle w:val="25"/>
        <w:ind w:firstLine="0" w:firstLineChars="0"/>
        <w:jc w:val="center"/>
        <w:rPr>
          <w:rFonts w:hint="eastAsia" w:asciiTheme="minorEastAsia" w:hAnsiTheme="minorEastAsia" w:eastAsiaTheme="minorEastAsia"/>
        </w:rPr>
      </w:pPr>
    </w:p>
    <w:p>
      <w:pPr>
        <w:pStyle w:val="25"/>
        <w:ind w:firstLine="0" w:firstLineChars="0"/>
        <w:jc w:val="center"/>
        <w:rPr>
          <w:rFonts w:asciiTheme="minorEastAsia" w:hAnsiTheme="minorEastAsia" w:eastAsiaTheme="minorEastAsia"/>
        </w:rPr>
      </w:pPr>
      <w:r>
        <w:rPr>
          <w:rFonts w:hint="eastAsia" w:asciiTheme="minorEastAsia" w:hAnsiTheme="minorEastAsia" w:eastAsiaTheme="minorEastAsia"/>
        </w:rPr>
        <w:t>表1 打捆压力与含水量关系表</w:t>
      </w:r>
    </w:p>
    <w:tbl>
      <w:tblPr>
        <w:tblStyle w:val="16"/>
        <w:tblW w:w="7177" w:type="dxa"/>
        <w:jc w:val="center"/>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92"/>
        <w:gridCol w:w="2392"/>
        <w:gridCol w:w="2393"/>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92" w:type="dxa"/>
            <w:tcBorders>
              <w:bottom w:val="single" w:color="auto" w:sz="4" w:space="0"/>
            </w:tcBorders>
            <w:vAlign w:val="center"/>
          </w:tcPr>
          <w:p>
            <w:pPr>
              <w:pStyle w:val="25"/>
              <w:ind w:firstLine="0" w:firstLineChars="0"/>
              <w:jc w:val="center"/>
              <w:rPr>
                <w:rFonts w:ascii="Times New Roman"/>
              </w:rPr>
            </w:pPr>
            <w:r>
              <w:rPr>
                <w:rFonts w:ascii="Times New Roman"/>
              </w:rPr>
              <w:t>含水量/（%）</w:t>
            </w:r>
          </w:p>
        </w:tc>
        <w:tc>
          <w:tcPr>
            <w:tcW w:w="2392" w:type="dxa"/>
            <w:tcBorders>
              <w:bottom w:val="single" w:color="auto" w:sz="4" w:space="0"/>
            </w:tcBorders>
            <w:vAlign w:val="center"/>
          </w:tcPr>
          <w:p>
            <w:pPr>
              <w:pStyle w:val="25"/>
              <w:ind w:firstLine="0" w:firstLineChars="0"/>
              <w:jc w:val="center"/>
              <w:rPr>
                <w:rFonts w:ascii="Times New Roman"/>
              </w:rPr>
            </w:pPr>
            <w:r>
              <w:rPr>
                <w:rFonts w:ascii="Times New Roman"/>
              </w:rPr>
              <w:t>打捆压力/kpa</w:t>
            </w:r>
          </w:p>
        </w:tc>
        <w:tc>
          <w:tcPr>
            <w:tcW w:w="2393" w:type="dxa"/>
            <w:tcBorders>
              <w:bottom w:val="single" w:color="auto" w:sz="4" w:space="0"/>
            </w:tcBorders>
            <w:vAlign w:val="center"/>
          </w:tcPr>
          <w:p>
            <w:pPr>
              <w:pStyle w:val="25"/>
              <w:ind w:firstLine="0" w:firstLineChars="0"/>
              <w:jc w:val="center"/>
              <w:rPr>
                <w:rFonts w:ascii="Times New Roman"/>
              </w:rPr>
            </w:pPr>
            <w:r>
              <w:rPr>
                <w:rFonts w:ascii="Times New Roman"/>
              </w:rPr>
              <w:t>打捆重量</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92" w:type="dxa"/>
            <w:tcBorders>
              <w:top w:val="single" w:color="auto" w:sz="4" w:space="0"/>
              <w:bottom w:val="nil"/>
            </w:tcBorders>
            <w:vAlign w:val="center"/>
          </w:tcPr>
          <w:p>
            <w:pPr>
              <w:pStyle w:val="25"/>
              <w:ind w:firstLine="0" w:firstLineChars="0"/>
              <w:jc w:val="center"/>
              <w:rPr>
                <w:rFonts w:ascii="Times New Roman"/>
              </w:rPr>
            </w:pPr>
            <w:r>
              <w:rPr>
                <w:rFonts w:ascii="Times New Roman"/>
              </w:rPr>
              <w:t>10-12</w:t>
            </w:r>
          </w:p>
        </w:tc>
        <w:tc>
          <w:tcPr>
            <w:tcW w:w="2392" w:type="dxa"/>
            <w:tcBorders>
              <w:top w:val="single" w:color="auto" w:sz="4" w:space="0"/>
              <w:bottom w:val="nil"/>
            </w:tcBorders>
            <w:vAlign w:val="center"/>
          </w:tcPr>
          <w:p>
            <w:pPr>
              <w:pStyle w:val="25"/>
              <w:ind w:firstLine="0" w:firstLineChars="0"/>
              <w:jc w:val="center"/>
              <w:rPr>
                <w:rFonts w:ascii="Times New Roman"/>
              </w:rPr>
            </w:pPr>
            <w:r>
              <w:rPr>
                <w:rFonts w:ascii="Times New Roman"/>
              </w:rPr>
              <w:t>600kpa</w:t>
            </w:r>
          </w:p>
        </w:tc>
        <w:tc>
          <w:tcPr>
            <w:tcW w:w="2393" w:type="dxa"/>
            <w:tcBorders>
              <w:top w:val="single" w:color="auto" w:sz="4" w:space="0"/>
              <w:bottom w:val="nil"/>
            </w:tcBorders>
            <w:vAlign w:val="center"/>
          </w:tcPr>
          <w:p>
            <w:pPr>
              <w:pStyle w:val="25"/>
              <w:ind w:firstLine="0" w:firstLineChars="0"/>
              <w:jc w:val="center"/>
              <w:rPr>
                <w:rFonts w:ascii="Times New Roman"/>
              </w:rPr>
            </w:pPr>
            <w:r>
              <w:rPr>
                <w:rFonts w:ascii="Times New Roman"/>
              </w:rPr>
              <w:t>35-40</w:t>
            </w: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92" w:type="dxa"/>
            <w:tcBorders>
              <w:top w:val="nil"/>
            </w:tcBorders>
            <w:vAlign w:val="center"/>
          </w:tcPr>
          <w:p>
            <w:pPr>
              <w:pStyle w:val="25"/>
              <w:ind w:firstLine="0" w:firstLineChars="0"/>
              <w:jc w:val="center"/>
              <w:rPr>
                <w:rFonts w:ascii="Times New Roman"/>
              </w:rPr>
            </w:pPr>
            <w:r>
              <w:rPr>
                <w:rFonts w:ascii="Times New Roman"/>
              </w:rPr>
              <w:t>12-16</w:t>
            </w:r>
          </w:p>
        </w:tc>
        <w:tc>
          <w:tcPr>
            <w:tcW w:w="2392" w:type="dxa"/>
            <w:tcBorders>
              <w:top w:val="nil"/>
            </w:tcBorders>
            <w:vAlign w:val="center"/>
          </w:tcPr>
          <w:p>
            <w:pPr>
              <w:pStyle w:val="25"/>
              <w:ind w:firstLine="0" w:firstLineChars="0"/>
              <w:jc w:val="center"/>
              <w:rPr>
                <w:rFonts w:ascii="Times New Roman"/>
              </w:rPr>
            </w:pPr>
            <w:r>
              <w:rPr>
                <w:rFonts w:ascii="Times New Roman"/>
              </w:rPr>
              <w:t>550</w:t>
            </w:r>
          </w:p>
        </w:tc>
        <w:tc>
          <w:tcPr>
            <w:tcW w:w="2393" w:type="dxa"/>
            <w:tcBorders>
              <w:top w:val="nil"/>
            </w:tcBorders>
            <w:vAlign w:val="center"/>
          </w:tcPr>
          <w:p>
            <w:pPr>
              <w:pStyle w:val="25"/>
              <w:ind w:firstLine="0" w:firstLineChars="0"/>
              <w:jc w:val="center"/>
              <w:rPr>
                <w:rFonts w:ascii="Times New Roman"/>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92" w:type="dxa"/>
            <w:vAlign w:val="center"/>
          </w:tcPr>
          <w:p>
            <w:pPr>
              <w:pStyle w:val="25"/>
              <w:ind w:firstLine="0" w:firstLineChars="0"/>
              <w:jc w:val="center"/>
              <w:rPr>
                <w:rFonts w:ascii="Times New Roman"/>
              </w:rPr>
            </w:pPr>
            <w:r>
              <w:rPr>
                <w:rFonts w:ascii="Times New Roman"/>
              </w:rPr>
              <w:t>16-18</w:t>
            </w:r>
          </w:p>
        </w:tc>
        <w:tc>
          <w:tcPr>
            <w:tcW w:w="2392" w:type="dxa"/>
            <w:vAlign w:val="center"/>
          </w:tcPr>
          <w:p>
            <w:pPr>
              <w:pStyle w:val="25"/>
              <w:ind w:firstLine="0" w:firstLineChars="0"/>
              <w:jc w:val="center"/>
              <w:rPr>
                <w:rFonts w:ascii="Times New Roman"/>
              </w:rPr>
            </w:pPr>
            <w:r>
              <w:rPr>
                <w:rFonts w:ascii="Times New Roman"/>
              </w:rPr>
              <w:t>500</w:t>
            </w:r>
          </w:p>
        </w:tc>
        <w:tc>
          <w:tcPr>
            <w:tcW w:w="2393" w:type="dxa"/>
            <w:vAlign w:val="center"/>
          </w:tcPr>
          <w:p>
            <w:pPr>
              <w:pStyle w:val="25"/>
              <w:ind w:firstLine="0" w:firstLineChars="0"/>
              <w:jc w:val="center"/>
              <w:rPr>
                <w:rFonts w:ascii="Times New Roman"/>
              </w:rPr>
            </w:pPr>
          </w:p>
        </w:tc>
      </w:tr>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92" w:type="dxa"/>
            <w:vAlign w:val="center"/>
          </w:tcPr>
          <w:p>
            <w:pPr>
              <w:pStyle w:val="25"/>
              <w:ind w:firstLine="0" w:firstLineChars="0"/>
              <w:jc w:val="center"/>
              <w:rPr>
                <w:rFonts w:ascii="Times New Roman"/>
              </w:rPr>
            </w:pPr>
            <w:r>
              <w:rPr>
                <w:rFonts w:ascii="Times New Roman"/>
              </w:rPr>
              <w:t>》20</w:t>
            </w:r>
          </w:p>
        </w:tc>
        <w:tc>
          <w:tcPr>
            <w:tcW w:w="2392" w:type="dxa"/>
            <w:vAlign w:val="center"/>
          </w:tcPr>
          <w:p>
            <w:pPr>
              <w:pStyle w:val="25"/>
              <w:ind w:firstLine="0" w:firstLineChars="0"/>
              <w:jc w:val="center"/>
              <w:rPr>
                <w:rFonts w:ascii="Times New Roman"/>
              </w:rPr>
            </w:pPr>
            <w:r>
              <w:rPr>
                <w:rFonts w:ascii="Times New Roman"/>
              </w:rPr>
              <w:t>200-300</w:t>
            </w:r>
          </w:p>
        </w:tc>
        <w:tc>
          <w:tcPr>
            <w:tcW w:w="2393" w:type="dxa"/>
            <w:vAlign w:val="center"/>
          </w:tcPr>
          <w:p>
            <w:pPr>
              <w:pStyle w:val="25"/>
              <w:ind w:firstLine="0" w:firstLineChars="0"/>
              <w:jc w:val="center"/>
              <w:rPr>
                <w:rFonts w:ascii="Times New Roman"/>
              </w:rPr>
            </w:pPr>
            <w:r>
              <w:rPr>
                <w:rFonts w:ascii="Times New Roman"/>
              </w:rPr>
              <w:t>15-20</w:t>
            </w:r>
          </w:p>
        </w:tc>
      </w:tr>
    </w:tbl>
    <w:p>
      <w:pPr>
        <w:spacing w:line="360" w:lineRule="auto"/>
        <w:rPr>
          <w:rFonts w:hAnsi="宋体"/>
          <w:sz w:val="24"/>
        </w:rPr>
      </w:pPr>
    </w:p>
    <w:p>
      <w:pPr>
        <w:spacing w:line="360" w:lineRule="auto"/>
        <w:ind w:firstLine="480" w:firstLineChars="200"/>
        <w:rPr>
          <w:rFonts w:hAnsi="宋体"/>
          <w:sz w:val="24"/>
        </w:rPr>
      </w:pPr>
      <w:r>
        <w:rPr>
          <w:rFonts w:hint="eastAsia" w:hAnsi="宋体"/>
          <w:sz w:val="24"/>
        </w:rPr>
        <w:t>5、储藏：包括草棚贮藏、露天堆储及安全管理。</w:t>
      </w:r>
    </w:p>
    <w:p>
      <w:pPr>
        <w:pStyle w:val="2"/>
        <w:spacing w:before="120" w:after="120" w:line="360" w:lineRule="auto"/>
        <w:rPr>
          <w:sz w:val="28"/>
        </w:rPr>
      </w:pPr>
      <w:r>
        <w:rPr>
          <w:rFonts w:hint="eastAsia"/>
          <w:sz w:val="28"/>
        </w:rPr>
        <w:t>六、与现行法律法规的关系</w:t>
      </w:r>
    </w:p>
    <w:p>
      <w:pPr>
        <w:spacing w:line="360" w:lineRule="auto"/>
        <w:ind w:firstLine="480" w:firstLineChars="200"/>
        <w:rPr>
          <w:sz w:val="24"/>
        </w:rPr>
      </w:pPr>
      <w:r>
        <w:rPr>
          <w:rFonts w:hint="eastAsia"/>
          <w:sz w:val="24"/>
        </w:rPr>
        <w:t>本标准以现行法律、法规框架为准则，不存在任何冲突。</w:t>
      </w:r>
    </w:p>
    <w:p>
      <w:pPr>
        <w:pStyle w:val="2"/>
        <w:spacing w:before="120" w:after="120" w:line="360" w:lineRule="auto"/>
        <w:rPr>
          <w:sz w:val="28"/>
        </w:rPr>
      </w:pPr>
      <w:r>
        <w:rPr>
          <w:rFonts w:hint="eastAsia"/>
          <w:sz w:val="28"/>
        </w:rPr>
        <w:t>七、重大分歧意见及处理</w:t>
      </w:r>
    </w:p>
    <w:p>
      <w:pPr>
        <w:spacing w:line="360" w:lineRule="auto"/>
        <w:ind w:firstLine="480" w:firstLineChars="200"/>
        <w:rPr>
          <w:sz w:val="24"/>
        </w:rPr>
      </w:pPr>
      <w:r>
        <w:rPr>
          <w:rFonts w:hint="eastAsia"/>
          <w:sz w:val="24"/>
        </w:rPr>
        <w:t>本标准在编制过程中广泛征求了相关专家和生产一线管理和技术人员的意见，不存在任何重大分歧意见。</w:t>
      </w:r>
    </w:p>
    <w:p>
      <w:pPr>
        <w:pStyle w:val="2"/>
        <w:spacing w:before="120" w:after="120" w:line="360" w:lineRule="auto"/>
        <w:rPr>
          <w:sz w:val="28"/>
        </w:rPr>
      </w:pPr>
      <w:r>
        <w:rPr>
          <w:rFonts w:hint="eastAsia"/>
          <w:sz w:val="28"/>
        </w:rPr>
        <w:t>八、采用国际标准</w:t>
      </w:r>
    </w:p>
    <w:p>
      <w:pPr>
        <w:spacing w:line="360" w:lineRule="auto"/>
        <w:ind w:firstLine="480" w:firstLineChars="200"/>
        <w:rPr>
          <w:sz w:val="24"/>
        </w:rPr>
      </w:pPr>
      <w:r>
        <w:rPr>
          <w:rFonts w:hint="eastAsia"/>
          <w:sz w:val="24"/>
        </w:rPr>
        <w:t>本标准未采用国际标准。</w:t>
      </w:r>
      <w:r>
        <w:rPr>
          <w:rFonts w:hint="eastAsia"/>
          <w:sz w:val="28"/>
          <w:szCs w:val="28"/>
        </w:rPr>
        <w:t xml:space="preserve">                 </w:t>
      </w:r>
    </w:p>
    <w:p>
      <w:pPr>
        <w:pStyle w:val="2"/>
        <w:spacing w:before="120" w:after="120" w:line="360" w:lineRule="auto"/>
        <w:rPr>
          <w:sz w:val="28"/>
        </w:rPr>
      </w:pPr>
      <w:r>
        <w:rPr>
          <w:rFonts w:hint="eastAsia"/>
          <w:sz w:val="28"/>
        </w:rPr>
        <w:t>九、</w:t>
      </w:r>
      <w:r>
        <w:rPr>
          <w:rFonts w:hint="eastAsia" w:ascii="宋体" w:hAnsi="宋体"/>
          <w:sz w:val="28"/>
        </w:rPr>
        <w:t>征求意见情况汇总表</w:t>
      </w:r>
    </w:p>
    <w:tbl>
      <w:tblPr>
        <w:tblStyle w:val="1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4395"/>
        <w:gridCol w:w="1275"/>
        <w:gridCol w:w="993"/>
        <w:gridCol w:w="1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675" w:type="dxa"/>
            <w:vAlign w:val="center"/>
          </w:tcPr>
          <w:p>
            <w:pPr>
              <w:pStyle w:val="11"/>
              <w:spacing w:line="360" w:lineRule="auto"/>
              <w:jc w:val="center"/>
              <w:rPr>
                <w:sz w:val="21"/>
                <w:szCs w:val="21"/>
              </w:rPr>
            </w:pPr>
            <w:r>
              <w:rPr>
                <w:rFonts w:hint="eastAsia"/>
                <w:color w:val="333333"/>
                <w:sz w:val="21"/>
                <w:szCs w:val="21"/>
              </w:rPr>
              <w:t>序号</w:t>
            </w:r>
          </w:p>
        </w:tc>
        <w:tc>
          <w:tcPr>
            <w:tcW w:w="4395" w:type="dxa"/>
            <w:vAlign w:val="center"/>
          </w:tcPr>
          <w:p>
            <w:pPr>
              <w:pStyle w:val="11"/>
              <w:spacing w:line="360" w:lineRule="auto"/>
              <w:jc w:val="center"/>
              <w:rPr>
                <w:sz w:val="21"/>
                <w:szCs w:val="21"/>
              </w:rPr>
            </w:pPr>
            <w:r>
              <w:rPr>
                <w:rFonts w:hint="eastAsia"/>
                <w:color w:val="333333"/>
                <w:sz w:val="21"/>
                <w:szCs w:val="21"/>
              </w:rPr>
              <w:t>意见</w:t>
            </w:r>
          </w:p>
        </w:tc>
        <w:tc>
          <w:tcPr>
            <w:tcW w:w="1275" w:type="dxa"/>
            <w:vAlign w:val="center"/>
          </w:tcPr>
          <w:p>
            <w:pPr>
              <w:pStyle w:val="11"/>
              <w:spacing w:line="360" w:lineRule="auto"/>
              <w:jc w:val="center"/>
              <w:rPr>
                <w:sz w:val="21"/>
                <w:szCs w:val="21"/>
              </w:rPr>
            </w:pPr>
            <w:r>
              <w:rPr>
                <w:rFonts w:hint="eastAsia"/>
                <w:color w:val="333333"/>
                <w:sz w:val="21"/>
                <w:szCs w:val="21"/>
              </w:rPr>
              <w:t>提出专家</w:t>
            </w:r>
          </w:p>
        </w:tc>
        <w:tc>
          <w:tcPr>
            <w:tcW w:w="993" w:type="dxa"/>
            <w:vAlign w:val="center"/>
          </w:tcPr>
          <w:p>
            <w:pPr>
              <w:pStyle w:val="11"/>
              <w:spacing w:line="360" w:lineRule="auto"/>
              <w:jc w:val="center"/>
              <w:rPr>
                <w:sz w:val="21"/>
                <w:szCs w:val="21"/>
              </w:rPr>
            </w:pPr>
            <w:r>
              <w:rPr>
                <w:rFonts w:hint="eastAsia"/>
                <w:color w:val="333333"/>
                <w:sz w:val="21"/>
                <w:szCs w:val="21"/>
              </w:rPr>
              <w:t>采纳</w:t>
            </w:r>
          </w:p>
        </w:tc>
        <w:tc>
          <w:tcPr>
            <w:tcW w:w="1190" w:type="dxa"/>
            <w:vAlign w:val="center"/>
          </w:tcPr>
          <w:p>
            <w:pPr>
              <w:pStyle w:val="11"/>
              <w:spacing w:line="360" w:lineRule="auto"/>
              <w:jc w:val="center"/>
              <w:rPr>
                <w:sz w:val="21"/>
                <w:szCs w:val="21"/>
              </w:rPr>
            </w:pPr>
            <w:r>
              <w:rPr>
                <w:rFonts w:hint="eastAsia"/>
                <w:color w:val="333333"/>
                <w:sz w:val="21"/>
                <w:szCs w:val="21"/>
              </w:rPr>
              <w:t>不采纳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atLeast"/>
        </w:trPr>
        <w:tc>
          <w:tcPr>
            <w:tcW w:w="675" w:type="dxa"/>
            <w:vAlign w:val="center"/>
          </w:tcPr>
          <w:p>
            <w:pPr>
              <w:pStyle w:val="25"/>
              <w:ind w:firstLine="0" w:firstLineChars="0"/>
              <w:jc w:val="center"/>
              <w:rPr>
                <w:rFonts w:hAnsi="宋体" w:eastAsia="宋体"/>
              </w:rPr>
            </w:pPr>
            <w:r>
              <w:rPr>
                <w:rFonts w:hint="eastAsia" w:hAnsi="宋体" w:eastAsia="宋体"/>
              </w:rPr>
              <w:t>1</w:t>
            </w:r>
          </w:p>
        </w:tc>
        <w:tc>
          <w:tcPr>
            <w:tcW w:w="4395" w:type="dxa"/>
            <w:vAlign w:val="center"/>
          </w:tcPr>
          <w:p>
            <w:pPr>
              <w:pStyle w:val="25"/>
              <w:ind w:firstLine="0" w:firstLineChars="0"/>
              <w:jc w:val="center"/>
              <w:rPr>
                <w:rFonts w:hAnsi="宋体" w:eastAsia="宋体"/>
              </w:rPr>
            </w:pPr>
            <w:r>
              <w:rPr>
                <w:rFonts w:hint="eastAsia" w:hAnsi="宋体" w:eastAsia="宋体"/>
              </w:rPr>
              <w:t>标准中多处表述不完整，前后矛盾，请完善</w:t>
            </w:r>
          </w:p>
        </w:tc>
        <w:tc>
          <w:tcPr>
            <w:tcW w:w="1275" w:type="dxa"/>
            <w:vAlign w:val="center"/>
          </w:tcPr>
          <w:p>
            <w:pPr>
              <w:pStyle w:val="25"/>
              <w:ind w:firstLine="0" w:firstLineChars="0"/>
              <w:jc w:val="center"/>
              <w:rPr>
                <w:rFonts w:hAnsi="宋体" w:eastAsia="宋体"/>
              </w:rPr>
            </w:pPr>
            <w:r>
              <w:rPr>
                <w:rFonts w:hint="eastAsia" w:hAnsi="宋体" w:eastAsia="宋体"/>
              </w:rPr>
              <w:t>贾玉山</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2</w:t>
            </w:r>
          </w:p>
        </w:tc>
        <w:tc>
          <w:tcPr>
            <w:tcW w:w="4395" w:type="dxa"/>
            <w:vAlign w:val="center"/>
          </w:tcPr>
          <w:p>
            <w:pPr>
              <w:pStyle w:val="25"/>
              <w:ind w:firstLine="0" w:firstLineChars="0"/>
              <w:jc w:val="center"/>
              <w:rPr>
                <w:rFonts w:hAnsi="宋体" w:eastAsia="宋体"/>
              </w:rPr>
            </w:pPr>
            <w:r>
              <w:rPr>
                <w:rFonts w:hint="eastAsia" w:hAnsi="宋体" w:eastAsia="宋体"/>
              </w:rPr>
              <w:t>引用文件按照国家标准、行业标准和地方标准从小到大顺序排列</w:t>
            </w:r>
          </w:p>
        </w:tc>
        <w:tc>
          <w:tcPr>
            <w:tcW w:w="1275" w:type="dxa"/>
            <w:vAlign w:val="center"/>
          </w:tcPr>
          <w:p>
            <w:pPr>
              <w:pStyle w:val="25"/>
              <w:ind w:firstLine="0" w:firstLineChars="0"/>
              <w:jc w:val="center"/>
              <w:rPr>
                <w:rFonts w:hAnsi="宋体" w:eastAsia="宋体"/>
              </w:rPr>
            </w:pPr>
            <w:r>
              <w:rPr>
                <w:rFonts w:hint="eastAsia" w:hAnsi="宋体" w:eastAsia="宋体"/>
              </w:rPr>
              <w:t>贾玉山</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3</w:t>
            </w:r>
          </w:p>
        </w:tc>
        <w:tc>
          <w:tcPr>
            <w:tcW w:w="4395" w:type="dxa"/>
            <w:vAlign w:val="center"/>
          </w:tcPr>
          <w:p>
            <w:pPr>
              <w:pStyle w:val="25"/>
              <w:ind w:firstLine="0" w:firstLineChars="0"/>
              <w:jc w:val="center"/>
              <w:rPr>
                <w:rFonts w:hAnsi="宋体" w:eastAsia="宋体"/>
              </w:rPr>
            </w:pPr>
            <w:r>
              <w:rPr>
                <w:rFonts w:hint="eastAsia" w:hAnsi="宋体" w:eastAsia="宋体"/>
              </w:rPr>
              <w:t>阐述不够清楚，如3.2包型规定方包型或圆包型，体积规格如何确定，kg/m</w:t>
            </w:r>
            <w:r>
              <w:rPr>
                <w:rFonts w:hint="eastAsia" w:hAnsi="宋体" w:eastAsia="宋体"/>
                <w:vertAlign w:val="superscript"/>
              </w:rPr>
              <w:t>3</w:t>
            </w:r>
            <w:r>
              <w:rPr>
                <w:rFonts w:hint="eastAsia" w:hAnsi="宋体" w:eastAsia="宋体"/>
              </w:rPr>
              <w:t>或t/m</w:t>
            </w:r>
            <w:r>
              <w:rPr>
                <w:rFonts w:hint="eastAsia" w:hAnsi="宋体" w:eastAsia="宋体"/>
                <w:vertAlign w:val="superscript"/>
              </w:rPr>
              <w:t>3</w:t>
            </w:r>
            <w:r>
              <w:rPr>
                <w:rFonts w:hint="eastAsia" w:hAnsi="宋体" w:eastAsia="宋体"/>
              </w:rPr>
              <w:t>;</w:t>
            </w:r>
          </w:p>
        </w:tc>
        <w:tc>
          <w:tcPr>
            <w:tcW w:w="1275" w:type="dxa"/>
            <w:vAlign w:val="center"/>
          </w:tcPr>
          <w:p>
            <w:pPr>
              <w:pStyle w:val="25"/>
              <w:ind w:firstLine="0" w:firstLineChars="0"/>
              <w:jc w:val="center"/>
              <w:rPr>
                <w:rFonts w:hAnsi="宋体" w:eastAsia="宋体"/>
              </w:rPr>
            </w:pPr>
            <w:r>
              <w:rPr>
                <w:rFonts w:hint="eastAsia" w:hAnsi="宋体" w:eastAsia="宋体"/>
              </w:rPr>
              <w:t>贾玉山</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trPr>
        <w:tc>
          <w:tcPr>
            <w:tcW w:w="675" w:type="dxa"/>
            <w:vAlign w:val="center"/>
          </w:tcPr>
          <w:p>
            <w:pPr>
              <w:pStyle w:val="25"/>
              <w:ind w:firstLine="0" w:firstLineChars="0"/>
              <w:jc w:val="center"/>
              <w:rPr>
                <w:rFonts w:hAnsi="宋体" w:eastAsia="宋体"/>
              </w:rPr>
            </w:pPr>
            <w:r>
              <w:rPr>
                <w:rFonts w:hint="eastAsia" w:hAnsi="宋体" w:eastAsia="宋体"/>
              </w:rPr>
              <w:t>4</w:t>
            </w:r>
          </w:p>
        </w:tc>
        <w:tc>
          <w:tcPr>
            <w:tcW w:w="4395" w:type="dxa"/>
            <w:vAlign w:val="center"/>
          </w:tcPr>
          <w:p>
            <w:pPr>
              <w:pStyle w:val="25"/>
              <w:ind w:firstLine="0" w:firstLineChars="0"/>
              <w:jc w:val="center"/>
              <w:rPr>
                <w:rFonts w:hAnsi="宋体" w:eastAsia="宋体"/>
              </w:rPr>
            </w:pPr>
            <w:r>
              <w:rPr>
                <w:rFonts w:hint="eastAsia" w:hAnsi="宋体" w:eastAsia="宋体"/>
              </w:rPr>
              <w:t>机械选择应放入前期准备工作第三条中；</w:t>
            </w:r>
          </w:p>
        </w:tc>
        <w:tc>
          <w:tcPr>
            <w:tcW w:w="1275" w:type="dxa"/>
            <w:vAlign w:val="center"/>
          </w:tcPr>
          <w:p>
            <w:pPr>
              <w:pStyle w:val="25"/>
              <w:ind w:firstLine="0" w:firstLineChars="0"/>
              <w:jc w:val="center"/>
              <w:rPr>
                <w:rFonts w:hAnsi="宋体" w:eastAsia="宋体"/>
              </w:rPr>
            </w:pPr>
            <w:r>
              <w:rPr>
                <w:rFonts w:hint="eastAsia" w:hAnsi="宋体" w:eastAsia="宋体"/>
              </w:rPr>
              <w:t>贾玉山</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5</w:t>
            </w:r>
          </w:p>
        </w:tc>
        <w:tc>
          <w:tcPr>
            <w:tcW w:w="4395" w:type="dxa"/>
            <w:vAlign w:val="center"/>
          </w:tcPr>
          <w:p>
            <w:pPr>
              <w:pStyle w:val="25"/>
              <w:ind w:firstLine="0" w:firstLineChars="0"/>
              <w:jc w:val="center"/>
              <w:rPr>
                <w:rFonts w:hAnsi="宋体" w:eastAsia="宋体"/>
              </w:rPr>
            </w:pPr>
            <w:r>
              <w:rPr>
                <w:rFonts w:hint="eastAsia" w:hAnsi="宋体" w:eastAsia="宋体"/>
              </w:rPr>
              <w:t>根据生物量确定晾晒时间，以生物量作为判别标准，生物量的范围是多少应说明；</w:t>
            </w:r>
          </w:p>
        </w:tc>
        <w:tc>
          <w:tcPr>
            <w:tcW w:w="1275" w:type="dxa"/>
            <w:vAlign w:val="center"/>
          </w:tcPr>
          <w:p>
            <w:pPr>
              <w:pStyle w:val="25"/>
              <w:ind w:firstLine="0" w:firstLineChars="0"/>
              <w:jc w:val="center"/>
              <w:rPr>
                <w:rFonts w:hAnsi="宋体" w:eastAsia="宋体"/>
              </w:rPr>
            </w:pPr>
            <w:r>
              <w:rPr>
                <w:rFonts w:hint="eastAsia" w:hAnsi="宋体" w:eastAsia="宋体"/>
              </w:rPr>
              <w:t>贾玉山</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6</w:t>
            </w:r>
          </w:p>
        </w:tc>
        <w:tc>
          <w:tcPr>
            <w:tcW w:w="4395" w:type="dxa"/>
            <w:vAlign w:val="center"/>
          </w:tcPr>
          <w:p>
            <w:pPr>
              <w:pStyle w:val="25"/>
              <w:ind w:firstLine="0" w:firstLineChars="0"/>
              <w:jc w:val="center"/>
              <w:rPr>
                <w:rFonts w:hAnsi="宋体" w:eastAsia="宋体"/>
              </w:rPr>
            </w:pPr>
            <w:r>
              <w:rPr>
                <w:rFonts w:hint="eastAsia" w:hAnsi="宋体" w:eastAsia="宋体"/>
              </w:rPr>
              <w:t>含水量的测定是指打捆前晾晒干草还是打捆后干草捆，前后表述存在矛盾</w:t>
            </w:r>
          </w:p>
        </w:tc>
        <w:tc>
          <w:tcPr>
            <w:tcW w:w="1275" w:type="dxa"/>
            <w:vAlign w:val="center"/>
          </w:tcPr>
          <w:p>
            <w:pPr>
              <w:pStyle w:val="25"/>
              <w:ind w:firstLine="0" w:firstLineChars="0"/>
              <w:jc w:val="center"/>
              <w:rPr>
                <w:rFonts w:hAnsi="宋体" w:eastAsia="宋体"/>
              </w:rPr>
            </w:pPr>
            <w:r>
              <w:rPr>
                <w:rFonts w:hint="eastAsia" w:hAnsi="宋体" w:eastAsia="宋体"/>
              </w:rPr>
              <w:t>贾玉山</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7</w:t>
            </w:r>
          </w:p>
        </w:tc>
        <w:tc>
          <w:tcPr>
            <w:tcW w:w="4395" w:type="dxa"/>
            <w:vAlign w:val="center"/>
          </w:tcPr>
          <w:p>
            <w:pPr>
              <w:pStyle w:val="25"/>
              <w:ind w:firstLine="0" w:firstLineChars="0"/>
              <w:jc w:val="center"/>
              <w:rPr>
                <w:rFonts w:hAnsi="宋体" w:eastAsia="宋体"/>
              </w:rPr>
            </w:pPr>
            <w:r>
              <w:rPr>
                <w:rFonts w:hint="eastAsia" w:hAnsi="宋体" w:eastAsia="宋体"/>
              </w:rPr>
              <w:t>打捆压力根据含水量确定，两者之间的关系如何，指出范围。</w:t>
            </w:r>
          </w:p>
        </w:tc>
        <w:tc>
          <w:tcPr>
            <w:tcW w:w="1275" w:type="dxa"/>
            <w:vAlign w:val="center"/>
          </w:tcPr>
          <w:p>
            <w:pPr>
              <w:pStyle w:val="25"/>
              <w:ind w:firstLine="0" w:firstLineChars="0"/>
              <w:jc w:val="center"/>
              <w:rPr>
                <w:rFonts w:hAnsi="宋体" w:eastAsia="宋体"/>
              </w:rPr>
            </w:pPr>
            <w:r>
              <w:rPr>
                <w:rFonts w:hint="eastAsia" w:hAnsi="宋体" w:eastAsia="宋体"/>
              </w:rPr>
              <w:t>贾玉山</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8</w:t>
            </w:r>
          </w:p>
        </w:tc>
        <w:tc>
          <w:tcPr>
            <w:tcW w:w="4395" w:type="dxa"/>
            <w:vAlign w:val="center"/>
          </w:tcPr>
          <w:p>
            <w:pPr>
              <w:pStyle w:val="25"/>
              <w:ind w:firstLine="0" w:firstLineChars="0"/>
              <w:jc w:val="center"/>
              <w:rPr>
                <w:rFonts w:hAnsi="宋体" w:eastAsia="宋体"/>
              </w:rPr>
            </w:pPr>
            <w:r>
              <w:rPr>
                <w:rFonts w:hint="eastAsia" w:hAnsi="宋体" w:eastAsia="宋体"/>
              </w:rPr>
              <w:t>编制说明作为标准的补充说明，无相应数据作为支撑，缺乏说服力。编制说明中补充前期的相关研究结果与结论。</w:t>
            </w:r>
          </w:p>
        </w:tc>
        <w:tc>
          <w:tcPr>
            <w:tcW w:w="1275" w:type="dxa"/>
            <w:vAlign w:val="center"/>
          </w:tcPr>
          <w:p>
            <w:pPr>
              <w:pStyle w:val="25"/>
              <w:ind w:firstLine="0" w:firstLineChars="0"/>
              <w:jc w:val="center"/>
              <w:rPr>
                <w:rFonts w:hAnsi="宋体" w:eastAsia="宋体"/>
              </w:rPr>
            </w:pPr>
            <w:r>
              <w:rPr>
                <w:rFonts w:hint="eastAsia" w:hAnsi="宋体" w:eastAsia="宋体"/>
              </w:rPr>
              <w:t>贾玉山</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9</w:t>
            </w:r>
          </w:p>
        </w:tc>
        <w:tc>
          <w:tcPr>
            <w:tcW w:w="4395" w:type="dxa"/>
            <w:vAlign w:val="center"/>
          </w:tcPr>
          <w:p>
            <w:pPr>
              <w:pStyle w:val="25"/>
              <w:ind w:firstLine="0" w:firstLineChars="0"/>
              <w:jc w:val="center"/>
              <w:rPr>
                <w:rFonts w:hAnsi="宋体" w:eastAsia="宋体"/>
              </w:rPr>
            </w:pPr>
            <w:r>
              <w:rPr>
                <w:rFonts w:hint="eastAsia" w:hAnsi="宋体" w:eastAsia="宋体"/>
              </w:rPr>
              <w:t>3.1 建议改为：天然青干草指在天然草地生长的、可用于畜牧生产的，并经自然或人工干燥调制而成的，可长期贮存的一类饲草；</w:t>
            </w:r>
          </w:p>
        </w:tc>
        <w:tc>
          <w:tcPr>
            <w:tcW w:w="1275" w:type="dxa"/>
            <w:vAlign w:val="center"/>
          </w:tcPr>
          <w:p>
            <w:pPr>
              <w:pStyle w:val="25"/>
              <w:ind w:firstLine="0" w:firstLineChars="0"/>
              <w:jc w:val="center"/>
              <w:rPr>
                <w:rFonts w:hAnsi="宋体" w:eastAsia="宋体"/>
              </w:rPr>
            </w:pPr>
            <w:r>
              <w:rPr>
                <w:rFonts w:hint="eastAsia" w:hAnsi="宋体" w:eastAsia="宋体"/>
              </w:rPr>
              <w:t>刘爱军</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10</w:t>
            </w:r>
          </w:p>
        </w:tc>
        <w:tc>
          <w:tcPr>
            <w:tcW w:w="4395" w:type="dxa"/>
            <w:vAlign w:val="center"/>
          </w:tcPr>
          <w:p>
            <w:pPr>
              <w:pStyle w:val="25"/>
              <w:ind w:firstLine="0" w:firstLineChars="0"/>
              <w:jc w:val="center"/>
              <w:rPr>
                <w:rFonts w:hAnsi="宋体" w:eastAsia="宋体"/>
              </w:rPr>
            </w:pPr>
            <w:r>
              <w:rPr>
                <w:rFonts w:hint="eastAsia" w:hAnsi="宋体" w:eastAsia="宋体"/>
              </w:rPr>
              <w:t>3.1.1 建议改为：俗称狼针草，指以禾本科针茅属多年生植物贝加尔针茅、大针茅、克氏针茅或短花针茅建群的一类青干草，主要分布在草甸草原、典型草原、荒漠草原等；</w:t>
            </w:r>
          </w:p>
        </w:tc>
        <w:tc>
          <w:tcPr>
            <w:tcW w:w="1275" w:type="dxa"/>
            <w:vAlign w:val="center"/>
          </w:tcPr>
          <w:p>
            <w:pPr>
              <w:pStyle w:val="25"/>
              <w:ind w:firstLine="0" w:firstLineChars="0"/>
              <w:jc w:val="center"/>
              <w:rPr>
                <w:rFonts w:hAnsi="宋体" w:eastAsia="宋体"/>
              </w:rPr>
            </w:pPr>
            <w:r>
              <w:rPr>
                <w:rFonts w:hint="eastAsia" w:hAnsi="宋体" w:eastAsia="宋体"/>
              </w:rPr>
              <w:t>刘爱军</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11</w:t>
            </w:r>
          </w:p>
        </w:tc>
        <w:tc>
          <w:tcPr>
            <w:tcW w:w="4395" w:type="dxa"/>
            <w:vAlign w:val="center"/>
          </w:tcPr>
          <w:p>
            <w:pPr>
              <w:pStyle w:val="25"/>
              <w:ind w:firstLine="0" w:firstLineChars="0"/>
              <w:jc w:val="center"/>
              <w:rPr>
                <w:rFonts w:hAnsi="宋体" w:eastAsia="宋体"/>
              </w:rPr>
            </w:pPr>
            <w:r>
              <w:rPr>
                <w:rFonts w:hint="eastAsia" w:hAnsi="宋体" w:eastAsia="宋体"/>
              </w:rPr>
              <w:t>3.1.2 建议改为：五花草指以多年生中生草本植物为优势种的一类青干草。物种繁多，营养丰富，多为开花植物和药用植物，多分布在呼伦贝尔、锡林郭勒、兴安盟、通辽、赤峰、乌兰察布等地；</w:t>
            </w:r>
          </w:p>
        </w:tc>
        <w:tc>
          <w:tcPr>
            <w:tcW w:w="1275" w:type="dxa"/>
            <w:vAlign w:val="center"/>
          </w:tcPr>
          <w:p>
            <w:pPr>
              <w:pStyle w:val="25"/>
              <w:ind w:firstLine="0" w:firstLineChars="0"/>
              <w:jc w:val="center"/>
              <w:rPr>
                <w:rFonts w:hAnsi="宋体" w:eastAsia="宋体"/>
              </w:rPr>
            </w:pPr>
            <w:r>
              <w:rPr>
                <w:rFonts w:hint="eastAsia" w:hAnsi="宋体" w:eastAsia="宋体"/>
              </w:rPr>
              <w:t>刘爱军</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12</w:t>
            </w:r>
          </w:p>
        </w:tc>
        <w:tc>
          <w:tcPr>
            <w:tcW w:w="4395" w:type="dxa"/>
            <w:vAlign w:val="center"/>
          </w:tcPr>
          <w:p>
            <w:pPr>
              <w:pStyle w:val="25"/>
              <w:ind w:firstLine="0" w:firstLineChars="0"/>
              <w:jc w:val="center"/>
              <w:rPr>
                <w:rFonts w:hAnsi="宋体" w:eastAsia="宋体"/>
              </w:rPr>
            </w:pPr>
            <w:r>
              <w:rPr>
                <w:rFonts w:hint="eastAsia" w:hAnsi="宋体" w:eastAsia="宋体"/>
              </w:rPr>
              <w:t>3.2 建议重新定义“包型”，文中用词偏重阐述，而不是定义；</w:t>
            </w:r>
          </w:p>
        </w:tc>
        <w:tc>
          <w:tcPr>
            <w:tcW w:w="1275" w:type="dxa"/>
            <w:vAlign w:val="center"/>
          </w:tcPr>
          <w:p>
            <w:pPr>
              <w:pStyle w:val="25"/>
              <w:ind w:firstLine="0" w:firstLineChars="0"/>
              <w:jc w:val="center"/>
              <w:rPr>
                <w:rFonts w:hAnsi="宋体" w:eastAsia="宋体"/>
              </w:rPr>
            </w:pPr>
            <w:r>
              <w:rPr>
                <w:rFonts w:hint="eastAsia" w:hAnsi="宋体" w:eastAsia="宋体"/>
              </w:rPr>
              <w:t>刘爱军</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13</w:t>
            </w:r>
          </w:p>
        </w:tc>
        <w:tc>
          <w:tcPr>
            <w:tcW w:w="4395" w:type="dxa"/>
            <w:vAlign w:val="center"/>
          </w:tcPr>
          <w:p>
            <w:pPr>
              <w:pStyle w:val="25"/>
              <w:ind w:firstLine="0" w:firstLineChars="0"/>
              <w:jc w:val="center"/>
              <w:rPr>
                <w:rFonts w:hAnsi="宋体" w:eastAsia="宋体"/>
              </w:rPr>
            </w:pPr>
            <w:r>
              <w:rPr>
                <w:rFonts w:hint="eastAsia" w:hAnsi="宋体" w:eastAsia="宋体"/>
              </w:rPr>
              <w:t>6.1.2 建议改为：割草时留茬高度不低于 6 厘米（5-10cm），可预留草籽带；部分打草晚的区域，留茬高度要再提高1-2cm；</w:t>
            </w:r>
          </w:p>
        </w:tc>
        <w:tc>
          <w:tcPr>
            <w:tcW w:w="1275" w:type="dxa"/>
            <w:vAlign w:val="center"/>
          </w:tcPr>
          <w:p>
            <w:pPr>
              <w:pStyle w:val="25"/>
              <w:ind w:firstLine="0" w:firstLineChars="0"/>
              <w:jc w:val="center"/>
              <w:rPr>
                <w:rFonts w:hAnsi="宋体" w:eastAsia="宋体"/>
              </w:rPr>
            </w:pPr>
            <w:r>
              <w:rPr>
                <w:rFonts w:hint="eastAsia" w:hAnsi="宋体" w:eastAsia="宋体"/>
              </w:rPr>
              <w:t>刘爱军</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14</w:t>
            </w:r>
          </w:p>
        </w:tc>
        <w:tc>
          <w:tcPr>
            <w:tcW w:w="4395" w:type="dxa"/>
            <w:vAlign w:val="center"/>
          </w:tcPr>
          <w:p>
            <w:pPr>
              <w:pStyle w:val="25"/>
              <w:ind w:firstLine="0" w:firstLineChars="0"/>
              <w:jc w:val="center"/>
              <w:rPr>
                <w:rFonts w:hAnsi="宋体" w:eastAsia="宋体"/>
              </w:rPr>
            </w:pPr>
            <w:r>
              <w:rPr>
                <w:rFonts w:hint="eastAsia" w:hAnsi="宋体" w:eastAsia="宋体"/>
              </w:rPr>
              <w:t>建议明确“7 搂草中，何为‘生物量少’和‘生物量大’”；</w:t>
            </w:r>
          </w:p>
        </w:tc>
        <w:tc>
          <w:tcPr>
            <w:tcW w:w="1275" w:type="dxa"/>
            <w:vAlign w:val="center"/>
          </w:tcPr>
          <w:p>
            <w:pPr>
              <w:pStyle w:val="25"/>
              <w:ind w:firstLine="0" w:firstLineChars="0"/>
              <w:jc w:val="center"/>
              <w:rPr>
                <w:rFonts w:hAnsi="宋体" w:eastAsia="宋体"/>
              </w:rPr>
            </w:pPr>
            <w:r>
              <w:rPr>
                <w:rFonts w:hint="eastAsia" w:hAnsi="宋体" w:eastAsia="宋体"/>
              </w:rPr>
              <w:t>刘爱军</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15</w:t>
            </w:r>
          </w:p>
        </w:tc>
        <w:tc>
          <w:tcPr>
            <w:tcW w:w="4395" w:type="dxa"/>
            <w:vAlign w:val="center"/>
          </w:tcPr>
          <w:p>
            <w:pPr>
              <w:pStyle w:val="25"/>
              <w:ind w:firstLine="0" w:firstLineChars="0"/>
              <w:jc w:val="center"/>
              <w:rPr>
                <w:rFonts w:hAnsi="宋体" w:eastAsia="宋体"/>
              </w:rPr>
            </w:pPr>
            <w:r>
              <w:rPr>
                <w:rFonts w:hint="eastAsia" w:hAnsi="宋体" w:eastAsia="宋体"/>
              </w:rPr>
              <w:t>8.1.4测水仪鉴定法，修改为将探针插入待测草捆，按“读取键”，获取水分数值%；</w:t>
            </w:r>
          </w:p>
        </w:tc>
        <w:tc>
          <w:tcPr>
            <w:tcW w:w="1275" w:type="dxa"/>
            <w:vAlign w:val="center"/>
          </w:tcPr>
          <w:p>
            <w:pPr>
              <w:pStyle w:val="25"/>
              <w:ind w:firstLine="0" w:firstLineChars="0"/>
              <w:jc w:val="center"/>
              <w:rPr>
                <w:rFonts w:hAnsi="宋体" w:eastAsia="宋体"/>
              </w:rPr>
            </w:pPr>
            <w:r>
              <w:rPr>
                <w:rFonts w:hint="eastAsia" w:hAnsi="宋体" w:eastAsia="宋体"/>
              </w:rPr>
              <w:t>刘爱军</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675" w:type="dxa"/>
            <w:vAlign w:val="center"/>
          </w:tcPr>
          <w:p>
            <w:pPr>
              <w:pStyle w:val="25"/>
              <w:ind w:firstLine="0" w:firstLineChars="0"/>
              <w:jc w:val="center"/>
              <w:rPr>
                <w:rFonts w:hAnsi="宋体" w:eastAsia="宋体"/>
              </w:rPr>
            </w:pPr>
            <w:r>
              <w:rPr>
                <w:rFonts w:hint="eastAsia" w:hAnsi="宋体" w:eastAsia="宋体"/>
              </w:rPr>
              <w:t>16</w:t>
            </w:r>
          </w:p>
        </w:tc>
        <w:tc>
          <w:tcPr>
            <w:tcW w:w="4395" w:type="dxa"/>
            <w:vAlign w:val="center"/>
          </w:tcPr>
          <w:p>
            <w:pPr>
              <w:pStyle w:val="25"/>
              <w:ind w:firstLine="0" w:firstLineChars="0"/>
              <w:jc w:val="center"/>
              <w:rPr>
                <w:rFonts w:hAnsi="宋体" w:eastAsia="宋体"/>
              </w:rPr>
            </w:pPr>
            <w:r>
              <w:rPr>
                <w:rFonts w:hint="eastAsia" w:hAnsi="宋体" w:eastAsia="宋体"/>
              </w:rPr>
              <w:t>进一步完善编制说明和标准，用词要严谨</w:t>
            </w:r>
          </w:p>
        </w:tc>
        <w:tc>
          <w:tcPr>
            <w:tcW w:w="1275" w:type="dxa"/>
            <w:vAlign w:val="center"/>
          </w:tcPr>
          <w:p>
            <w:pPr>
              <w:pStyle w:val="25"/>
              <w:ind w:firstLine="0" w:firstLineChars="0"/>
              <w:jc w:val="center"/>
              <w:rPr>
                <w:rFonts w:hAnsi="宋体" w:eastAsia="宋体"/>
              </w:rPr>
            </w:pPr>
            <w:r>
              <w:rPr>
                <w:rFonts w:hint="eastAsia" w:hAnsi="宋体" w:eastAsia="宋体"/>
              </w:rPr>
              <w:t>刘爱军</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17</w:t>
            </w:r>
          </w:p>
        </w:tc>
        <w:tc>
          <w:tcPr>
            <w:tcW w:w="4395" w:type="dxa"/>
            <w:vAlign w:val="center"/>
          </w:tcPr>
          <w:p>
            <w:pPr>
              <w:pStyle w:val="25"/>
              <w:ind w:firstLine="0" w:firstLineChars="0"/>
              <w:jc w:val="center"/>
              <w:rPr>
                <w:rFonts w:hAnsi="宋体" w:eastAsia="宋体"/>
              </w:rPr>
            </w:pPr>
            <w:r>
              <w:rPr>
                <w:rFonts w:hint="eastAsia" w:hAnsi="宋体" w:eastAsia="宋体"/>
              </w:rPr>
              <w:t>规范性引用文件，引用标准顺序应按“国标、行标、地标”顺序写；请在文本具体位置标注引用的标准</w:t>
            </w:r>
          </w:p>
        </w:tc>
        <w:tc>
          <w:tcPr>
            <w:tcW w:w="1275" w:type="dxa"/>
            <w:vAlign w:val="center"/>
          </w:tcPr>
          <w:p>
            <w:pPr>
              <w:pStyle w:val="25"/>
              <w:ind w:firstLine="0" w:firstLineChars="0"/>
              <w:jc w:val="center"/>
              <w:rPr>
                <w:rFonts w:hAnsi="宋体" w:eastAsia="宋体"/>
              </w:rPr>
            </w:pPr>
            <w:r>
              <w:rPr>
                <w:rFonts w:hint="eastAsia" w:hAnsi="宋体" w:eastAsia="宋体"/>
              </w:rPr>
              <w:t>薛艳林</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18</w:t>
            </w:r>
          </w:p>
        </w:tc>
        <w:tc>
          <w:tcPr>
            <w:tcW w:w="4395" w:type="dxa"/>
            <w:vAlign w:val="center"/>
          </w:tcPr>
          <w:p>
            <w:pPr>
              <w:pStyle w:val="25"/>
              <w:ind w:firstLine="0" w:firstLineChars="0"/>
              <w:jc w:val="center"/>
              <w:rPr>
                <w:rFonts w:hAnsi="宋体" w:eastAsia="宋体"/>
              </w:rPr>
            </w:pPr>
            <w:r>
              <w:rPr>
                <w:rFonts w:hint="eastAsia" w:hAnsi="宋体" w:eastAsia="宋体"/>
              </w:rPr>
              <w:t>3.1.1 建议改为：俗称狼针草，指以针茅属植物为建群的一类青干草，主要种类有贝加尔针茅、大针茅、克氏针茅、短花针茅等，禾本科多年生植物，主要分布在草甸草原、典型草原、荒漠草原等。</w:t>
            </w:r>
          </w:p>
        </w:tc>
        <w:tc>
          <w:tcPr>
            <w:tcW w:w="1275" w:type="dxa"/>
            <w:vAlign w:val="center"/>
          </w:tcPr>
          <w:p>
            <w:pPr>
              <w:pStyle w:val="25"/>
              <w:ind w:firstLine="0" w:firstLineChars="0"/>
              <w:jc w:val="center"/>
              <w:rPr>
                <w:rFonts w:hAnsi="宋体" w:eastAsia="宋体"/>
              </w:rPr>
            </w:pPr>
            <w:r>
              <w:rPr>
                <w:rFonts w:hint="eastAsia" w:hAnsi="宋体" w:eastAsia="宋体"/>
              </w:rPr>
              <w:t>薛艳林</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19</w:t>
            </w:r>
          </w:p>
        </w:tc>
        <w:tc>
          <w:tcPr>
            <w:tcW w:w="4395" w:type="dxa"/>
            <w:vAlign w:val="center"/>
          </w:tcPr>
          <w:p>
            <w:pPr>
              <w:pStyle w:val="25"/>
              <w:ind w:firstLine="0" w:firstLineChars="0"/>
              <w:jc w:val="center"/>
              <w:rPr>
                <w:rFonts w:hAnsi="宋体" w:eastAsia="宋体"/>
              </w:rPr>
            </w:pPr>
            <w:r>
              <w:rPr>
                <w:rFonts w:hint="eastAsia" w:hAnsi="宋体" w:eastAsia="宋体"/>
              </w:rPr>
              <w:t>3.2 建议改为：把青干草压缩成草捆的形状，如圆捆和方捆</w:t>
            </w:r>
          </w:p>
        </w:tc>
        <w:tc>
          <w:tcPr>
            <w:tcW w:w="1275" w:type="dxa"/>
            <w:vAlign w:val="center"/>
          </w:tcPr>
          <w:p>
            <w:pPr>
              <w:pStyle w:val="25"/>
              <w:ind w:firstLine="0" w:firstLineChars="0"/>
              <w:jc w:val="center"/>
              <w:rPr>
                <w:rFonts w:hAnsi="宋体" w:eastAsia="宋体"/>
              </w:rPr>
            </w:pPr>
            <w:r>
              <w:rPr>
                <w:rFonts w:hint="eastAsia" w:hAnsi="宋体" w:eastAsia="宋体"/>
              </w:rPr>
              <w:t>薛艳林</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ind w:firstLine="0" w:firstLineChars="0"/>
              <w:jc w:val="center"/>
              <w:rPr>
                <w:rFonts w:hAnsi="宋体" w:eastAsia="宋体"/>
              </w:rPr>
            </w:pPr>
            <w:r>
              <w:rPr>
                <w:rFonts w:hint="eastAsia" w:hAnsi="宋体" w:eastAsia="宋体"/>
              </w:rPr>
              <w:t>20</w:t>
            </w:r>
          </w:p>
        </w:tc>
        <w:tc>
          <w:tcPr>
            <w:tcW w:w="4395" w:type="dxa"/>
            <w:vAlign w:val="center"/>
          </w:tcPr>
          <w:p>
            <w:pPr>
              <w:pStyle w:val="25"/>
              <w:ind w:firstLine="0" w:firstLineChars="0"/>
              <w:jc w:val="center"/>
              <w:rPr>
                <w:rFonts w:hAnsi="宋体" w:eastAsia="宋体"/>
              </w:rPr>
            </w:pPr>
            <w:r>
              <w:rPr>
                <w:rFonts w:hint="eastAsia" w:hAnsi="宋体" w:eastAsia="宋体"/>
              </w:rPr>
              <w:t>建议删除标准文本中解释性语句，需进一步完善编制说明。</w:t>
            </w:r>
          </w:p>
        </w:tc>
        <w:tc>
          <w:tcPr>
            <w:tcW w:w="1275" w:type="dxa"/>
            <w:vAlign w:val="center"/>
          </w:tcPr>
          <w:p>
            <w:pPr>
              <w:pStyle w:val="25"/>
              <w:ind w:firstLine="0" w:firstLineChars="0"/>
              <w:jc w:val="center"/>
              <w:rPr>
                <w:rFonts w:hAnsi="宋体" w:eastAsia="宋体"/>
              </w:rPr>
            </w:pPr>
            <w:r>
              <w:rPr>
                <w:rFonts w:hint="eastAsia" w:hAnsi="宋体" w:eastAsia="宋体"/>
              </w:rPr>
              <w:t>薛艳林</w:t>
            </w:r>
          </w:p>
        </w:tc>
        <w:tc>
          <w:tcPr>
            <w:tcW w:w="993" w:type="dxa"/>
            <w:vAlign w:val="center"/>
          </w:tcPr>
          <w:p>
            <w:pPr>
              <w:pStyle w:val="25"/>
              <w:ind w:firstLine="0" w:firstLineChars="0"/>
              <w:jc w:val="center"/>
              <w:rPr>
                <w:rFonts w:hAnsi="宋体" w:eastAsia="宋体"/>
              </w:rPr>
            </w:pPr>
            <w:r>
              <w:rPr>
                <w:rFonts w:hint="eastAsia" w:hAnsi="宋体" w:eastAsia="宋体"/>
              </w:rPr>
              <w:t>采纳</w:t>
            </w:r>
          </w:p>
        </w:tc>
        <w:tc>
          <w:tcPr>
            <w:tcW w:w="1190" w:type="dxa"/>
            <w:vAlign w:val="center"/>
          </w:tcPr>
          <w:p>
            <w:pPr>
              <w:pStyle w:val="25"/>
              <w:ind w:firstLine="0" w:firstLineChars="0"/>
              <w:jc w:val="center"/>
              <w:rPr>
                <w:rFonts w:hAnsi="宋体" w:eastAsia="宋体"/>
              </w:rPr>
            </w:pPr>
          </w:p>
        </w:tc>
      </w:tr>
    </w:tbl>
    <w:p>
      <w:pPr>
        <w:pStyle w:val="25"/>
        <w:ind w:firstLine="0" w:firstLineChars="0"/>
        <w:rPr>
          <w:rFonts w:hint="eastAsia" w:hAnsi="宋体" w:eastAsia="宋体"/>
        </w:rPr>
      </w:pPr>
    </w:p>
    <w:p>
      <w:pPr>
        <w:pStyle w:val="25"/>
        <w:ind w:firstLine="0" w:firstLineChars="0"/>
        <w:rPr>
          <w:rFonts w:hAnsi="宋体" w:eastAsia="宋体"/>
        </w:rPr>
      </w:pPr>
    </w:p>
    <w:p>
      <w:pPr>
        <w:pStyle w:val="25"/>
        <w:ind w:firstLine="0" w:firstLineChars="0"/>
        <w:rPr>
          <w:rFonts w:hAnsi="宋体" w:eastAsia="宋体"/>
        </w:rPr>
      </w:pPr>
    </w:p>
    <w:p>
      <w:pPr>
        <w:spacing w:line="360" w:lineRule="auto"/>
        <w:rPr>
          <w:rFonts w:hAnsi="宋体"/>
          <w:sz w:val="24"/>
        </w:rPr>
      </w:pPr>
      <w:r>
        <w:rPr>
          <w:rFonts w:hint="eastAsia"/>
          <w:sz w:val="24"/>
        </w:rPr>
        <w:t xml:space="preserve">                   </w:t>
      </w:r>
      <w:r>
        <w:rPr>
          <w:rFonts w:hint="eastAsia" w:eastAsia="宋体"/>
          <w:sz w:val="24"/>
        </w:rPr>
        <w:t xml:space="preserve">         </w:t>
      </w:r>
      <w:bookmarkStart w:id="0" w:name="_GoBack"/>
      <w:bookmarkEnd w:id="0"/>
    </w:p>
    <w:sectPr>
      <w:headerReference r:id="rId3" w:type="default"/>
      <w:footerReference r:id="rId4" w:type="even"/>
      <w:pgSz w:w="11906" w:h="16838"/>
      <w:pgMar w:top="1247" w:right="1797" w:bottom="1247" w:left="1797" w:header="851" w:footer="992"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r>
      <w:fldChar w:fldCharType="begin"/>
    </w:r>
    <w:r>
      <w:rPr>
        <w:rStyle w:val="13"/>
      </w:rPr>
      <w:instrText xml:space="preserve"> PAGE </w:instrText>
    </w:r>
    <w:r>
      <w:fldChar w:fldCharType="separate"/>
    </w:r>
    <w:r>
      <w:rPr>
        <w:rStyle w:val="13"/>
      </w:rPr>
      <w:t>22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tentative="0">
      <w:start w:val="1"/>
      <w:numFmt w:val="upperLetter"/>
      <w:suff w:val="nothing"/>
      <w:lvlText w:val="附　录　%1"/>
      <w:lvlJc w:val="left"/>
      <w:pPr>
        <w:ind w:left="0" w:firstLine="0"/>
      </w:pPr>
      <w:rPr>
        <w:rFonts w:hint="eastAsia" w:ascii="黑体" w:hAnsi="Times New Roman" w:eastAsia="黑体"/>
        <w:b w:val="0"/>
        <w:i w:val="0"/>
        <w:sz w:val="21"/>
      </w:rPr>
    </w:lvl>
    <w:lvl w:ilvl="1" w:tentative="0">
      <w:start w:val="1"/>
      <w:numFmt w:val="decimal"/>
      <w:pStyle w:val="6"/>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16804"/>
    <w:rsid w:val="0000435B"/>
    <w:rsid w:val="000245BB"/>
    <w:rsid w:val="00053730"/>
    <w:rsid w:val="00054454"/>
    <w:rsid w:val="00055A77"/>
    <w:rsid w:val="000569CE"/>
    <w:rsid w:val="00071F89"/>
    <w:rsid w:val="000722D3"/>
    <w:rsid w:val="0007590F"/>
    <w:rsid w:val="00086871"/>
    <w:rsid w:val="00091498"/>
    <w:rsid w:val="00095F90"/>
    <w:rsid w:val="000A5F24"/>
    <w:rsid w:val="000B031F"/>
    <w:rsid w:val="000C0C3C"/>
    <w:rsid w:val="000C6336"/>
    <w:rsid w:val="000D00D0"/>
    <w:rsid w:val="000D2BC9"/>
    <w:rsid w:val="000E4178"/>
    <w:rsid w:val="0010072C"/>
    <w:rsid w:val="00101A89"/>
    <w:rsid w:val="00102D1C"/>
    <w:rsid w:val="00105265"/>
    <w:rsid w:val="00115EEF"/>
    <w:rsid w:val="00116D0E"/>
    <w:rsid w:val="00123FA0"/>
    <w:rsid w:val="00134836"/>
    <w:rsid w:val="00161652"/>
    <w:rsid w:val="001819DB"/>
    <w:rsid w:val="0018688F"/>
    <w:rsid w:val="00195BB0"/>
    <w:rsid w:val="001A1569"/>
    <w:rsid w:val="001A1B97"/>
    <w:rsid w:val="001A39F0"/>
    <w:rsid w:val="001A7875"/>
    <w:rsid w:val="001C2946"/>
    <w:rsid w:val="001C4289"/>
    <w:rsid w:val="001C59F7"/>
    <w:rsid w:val="001D47E3"/>
    <w:rsid w:val="001D481F"/>
    <w:rsid w:val="001D4CC3"/>
    <w:rsid w:val="001D5F2F"/>
    <w:rsid w:val="001F4DB8"/>
    <w:rsid w:val="001F70B0"/>
    <w:rsid w:val="0022235F"/>
    <w:rsid w:val="0022484E"/>
    <w:rsid w:val="00236A2C"/>
    <w:rsid w:val="00237C33"/>
    <w:rsid w:val="002408CD"/>
    <w:rsid w:val="0024623A"/>
    <w:rsid w:val="00250CB1"/>
    <w:rsid w:val="00252494"/>
    <w:rsid w:val="0025466C"/>
    <w:rsid w:val="0025558F"/>
    <w:rsid w:val="00256084"/>
    <w:rsid w:val="002650DD"/>
    <w:rsid w:val="00265E61"/>
    <w:rsid w:val="002666A0"/>
    <w:rsid w:val="00267C04"/>
    <w:rsid w:val="002866B3"/>
    <w:rsid w:val="00292A97"/>
    <w:rsid w:val="0029493C"/>
    <w:rsid w:val="00297843"/>
    <w:rsid w:val="002A6065"/>
    <w:rsid w:val="002B794F"/>
    <w:rsid w:val="002C0097"/>
    <w:rsid w:val="002D0FDC"/>
    <w:rsid w:val="002E2665"/>
    <w:rsid w:val="002E33C7"/>
    <w:rsid w:val="002E4EF6"/>
    <w:rsid w:val="002F2171"/>
    <w:rsid w:val="0030265F"/>
    <w:rsid w:val="00303D08"/>
    <w:rsid w:val="00310D4A"/>
    <w:rsid w:val="00320937"/>
    <w:rsid w:val="0032475F"/>
    <w:rsid w:val="00326501"/>
    <w:rsid w:val="00327265"/>
    <w:rsid w:val="0034018C"/>
    <w:rsid w:val="00345AE7"/>
    <w:rsid w:val="00347D1D"/>
    <w:rsid w:val="00365907"/>
    <w:rsid w:val="003659A2"/>
    <w:rsid w:val="00371B52"/>
    <w:rsid w:val="00373E52"/>
    <w:rsid w:val="003A155A"/>
    <w:rsid w:val="003A6536"/>
    <w:rsid w:val="003C2A02"/>
    <w:rsid w:val="003C4913"/>
    <w:rsid w:val="003D3162"/>
    <w:rsid w:val="003E70E0"/>
    <w:rsid w:val="003E7C82"/>
    <w:rsid w:val="00403ECA"/>
    <w:rsid w:val="00407F16"/>
    <w:rsid w:val="00411FB9"/>
    <w:rsid w:val="004142AF"/>
    <w:rsid w:val="0042052D"/>
    <w:rsid w:val="004211B7"/>
    <w:rsid w:val="004251D1"/>
    <w:rsid w:val="00433EF4"/>
    <w:rsid w:val="00441FC0"/>
    <w:rsid w:val="0044269C"/>
    <w:rsid w:val="00445717"/>
    <w:rsid w:val="00446D32"/>
    <w:rsid w:val="004505CA"/>
    <w:rsid w:val="00471AB2"/>
    <w:rsid w:val="00477A60"/>
    <w:rsid w:val="0048706E"/>
    <w:rsid w:val="00491796"/>
    <w:rsid w:val="00495CBC"/>
    <w:rsid w:val="004A3924"/>
    <w:rsid w:val="004B5D1C"/>
    <w:rsid w:val="004B655C"/>
    <w:rsid w:val="004C1441"/>
    <w:rsid w:val="004C1ED5"/>
    <w:rsid w:val="004C207A"/>
    <w:rsid w:val="004D70CE"/>
    <w:rsid w:val="004E048C"/>
    <w:rsid w:val="004F5ACD"/>
    <w:rsid w:val="004F7A4C"/>
    <w:rsid w:val="005003EF"/>
    <w:rsid w:val="005034FF"/>
    <w:rsid w:val="00504065"/>
    <w:rsid w:val="005040AE"/>
    <w:rsid w:val="00507CE6"/>
    <w:rsid w:val="00510616"/>
    <w:rsid w:val="00513FCA"/>
    <w:rsid w:val="005167A9"/>
    <w:rsid w:val="00521F66"/>
    <w:rsid w:val="00540C27"/>
    <w:rsid w:val="00543F56"/>
    <w:rsid w:val="00545C4D"/>
    <w:rsid w:val="00547230"/>
    <w:rsid w:val="00554E8D"/>
    <w:rsid w:val="0056734A"/>
    <w:rsid w:val="00570A12"/>
    <w:rsid w:val="00570ACE"/>
    <w:rsid w:val="005714C1"/>
    <w:rsid w:val="00584ADC"/>
    <w:rsid w:val="00586D73"/>
    <w:rsid w:val="0058746B"/>
    <w:rsid w:val="0059558B"/>
    <w:rsid w:val="005A7DFD"/>
    <w:rsid w:val="005B04E8"/>
    <w:rsid w:val="005B16E2"/>
    <w:rsid w:val="005B3CCE"/>
    <w:rsid w:val="005B79C4"/>
    <w:rsid w:val="005C2CC1"/>
    <w:rsid w:val="005C2FD7"/>
    <w:rsid w:val="005C3390"/>
    <w:rsid w:val="005C5A8A"/>
    <w:rsid w:val="005E21C1"/>
    <w:rsid w:val="005F43E7"/>
    <w:rsid w:val="005F6305"/>
    <w:rsid w:val="00614CFB"/>
    <w:rsid w:val="00615F6E"/>
    <w:rsid w:val="00616AAA"/>
    <w:rsid w:val="00636653"/>
    <w:rsid w:val="006402B9"/>
    <w:rsid w:val="00647915"/>
    <w:rsid w:val="0065007B"/>
    <w:rsid w:val="006507C8"/>
    <w:rsid w:val="006651F7"/>
    <w:rsid w:val="0066723B"/>
    <w:rsid w:val="0067422A"/>
    <w:rsid w:val="00685860"/>
    <w:rsid w:val="00687803"/>
    <w:rsid w:val="006C243E"/>
    <w:rsid w:val="006D4F18"/>
    <w:rsid w:val="006D5D9F"/>
    <w:rsid w:val="006D66C9"/>
    <w:rsid w:val="006E0EA9"/>
    <w:rsid w:val="006E112C"/>
    <w:rsid w:val="006E5D6E"/>
    <w:rsid w:val="006F3A38"/>
    <w:rsid w:val="006F43C7"/>
    <w:rsid w:val="006F734C"/>
    <w:rsid w:val="0070047B"/>
    <w:rsid w:val="007021FC"/>
    <w:rsid w:val="00704023"/>
    <w:rsid w:val="00710F9E"/>
    <w:rsid w:val="007129D9"/>
    <w:rsid w:val="0071343A"/>
    <w:rsid w:val="007241AD"/>
    <w:rsid w:val="007364DB"/>
    <w:rsid w:val="00736C34"/>
    <w:rsid w:val="00746053"/>
    <w:rsid w:val="00747D88"/>
    <w:rsid w:val="00747ECD"/>
    <w:rsid w:val="0075142C"/>
    <w:rsid w:val="00751EB6"/>
    <w:rsid w:val="0075434D"/>
    <w:rsid w:val="00761544"/>
    <w:rsid w:val="007615CC"/>
    <w:rsid w:val="00763519"/>
    <w:rsid w:val="00773407"/>
    <w:rsid w:val="007774F4"/>
    <w:rsid w:val="007838A1"/>
    <w:rsid w:val="00787306"/>
    <w:rsid w:val="00797C2F"/>
    <w:rsid w:val="007A4C85"/>
    <w:rsid w:val="007C0F22"/>
    <w:rsid w:val="007C5C9F"/>
    <w:rsid w:val="007E3243"/>
    <w:rsid w:val="007F22B9"/>
    <w:rsid w:val="007F6AE3"/>
    <w:rsid w:val="00804313"/>
    <w:rsid w:val="00807504"/>
    <w:rsid w:val="0081299A"/>
    <w:rsid w:val="00812CD6"/>
    <w:rsid w:val="0081385E"/>
    <w:rsid w:val="0081439E"/>
    <w:rsid w:val="00825334"/>
    <w:rsid w:val="00825C49"/>
    <w:rsid w:val="00825F9C"/>
    <w:rsid w:val="008324A4"/>
    <w:rsid w:val="008426B0"/>
    <w:rsid w:val="00844ADF"/>
    <w:rsid w:val="00847838"/>
    <w:rsid w:val="008548FD"/>
    <w:rsid w:val="0085783C"/>
    <w:rsid w:val="0086021A"/>
    <w:rsid w:val="00866515"/>
    <w:rsid w:val="00873496"/>
    <w:rsid w:val="0087501B"/>
    <w:rsid w:val="0088454B"/>
    <w:rsid w:val="00892670"/>
    <w:rsid w:val="0089674F"/>
    <w:rsid w:val="008B312A"/>
    <w:rsid w:val="008C292D"/>
    <w:rsid w:val="008C4809"/>
    <w:rsid w:val="008C7729"/>
    <w:rsid w:val="008D1DC0"/>
    <w:rsid w:val="008E0620"/>
    <w:rsid w:val="008E72F6"/>
    <w:rsid w:val="008F3A21"/>
    <w:rsid w:val="008F54DA"/>
    <w:rsid w:val="008F6401"/>
    <w:rsid w:val="00904E37"/>
    <w:rsid w:val="0090564C"/>
    <w:rsid w:val="00922995"/>
    <w:rsid w:val="009347BD"/>
    <w:rsid w:val="00942E6D"/>
    <w:rsid w:val="00953E23"/>
    <w:rsid w:val="009578FB"/>
    <w:rsid w:val="00964BAD"/>
    <w:rsid w:val="00974C95"/>
    <w:rsid w:val="00975559"/>
    <w:rsid w:val="00976BBC"/>
    <w:rsid w:val="009807FE"/>
    <w:rsid w:val="00982EA6"/>
    <w:rsid w:val="009923BC"/>
    <w:rsid w:val="0099349A"/>
    <w:rsid w:val="00994417"/>
    <w:rsid w:val="009C52A5"/>
    <w:rsid w:val="009D0B89"/>
    <w:rsid w:val="009D3D04"/>
    <w:rsid w:val="009E30B1"/>
    <w:rsid w:val="009F12E6"/>
    <w:rsid w:val="009F4DC5"/>
    <w:rsid w:val="009F5D9A"/>
    <w:rsid w:val="009F6963"/>
    <w:rsid w:val="00A00A1A"/>
    <w:rsid w:val="00A075C9"/>
    <w:rsid w:val="00A2185A"/>
    <w:rsid w:val="00A222BD"/>
    <w:rsid w:val="00A266BC"/>
    <w:rsid w:val="00A30BAF"/>
    <w:rsid w:val="00A36857"/>
    <w:rsid w:val="00A45548"/>
    <w:rsid w:val="00A461BD"/>
    <w:rsid w:val="00A50BAE"/>
    <w:rsid w:val="00A50C29"/>
    <w:rsid w:val="00A61046"/>
    <w:rsid w:val="00A65E01"/>
    <w:rsid w:val="00A65F62"/>
    <w:rsid w:val="00A803F6"/>
    <w:rsid w:val="00A81A06"/>
    <w:rsid w:val="00A93389"/>
    <w:rsid w:val="00AA69BE"/>
    <w:rsid w:val="00AB10D4"/>
    <w:rsid w:val="00AB1FD1"/>
    <w:rsid w:val="00AD61B4"/>
    <w:rsid w:val="00AE238F"/>
    <w:rsid w:val="00AE2ED6"/>
    <w:rsid w:val="00B04A4D"/>
    <w:rsid w:val="00B05296"/>
    <w:rsid w:val="00B078F9"/>
    <w:rsid w:val="00B12A9C"/>
    <w:rsid w:val="00B15DAC"/>
    <w:rsid w:val="00B31673"/>
    <w:rsid w:val="00B35FC0"/>
    <w:rsid w:val="00B373BC"/>
    <w:rsid w:val="00B4407D"/>
    <w:rsid w:val="00B44C5C"/>
    <w:rsid w:val="00B44E42"/>
    <w:rsid w:val="00B51CE4"/>
    <w:rsid w:val="00B63125"/>
    <w:rsid w:val="00B73304"/>
    <w:rsid w:val="00B855A0"/>
    <w:rsid w:val="00BA02C8"/>
    <w:rsid w:val="00BA5A80"/>
    <w:rsid w:val="00BA5ED6"/>
    <w:rsid w:val="00BA68A5"/>
    <w:rsid w:val="00BE38D9"/>
    <w:rsid w:val="00C0106A"/>
    <w:rsid w:val="00C01F9F"/>
    <w:rsid w:val="00C061CF"/>
    <w:rsid w:val="00C12D36"/>
    <w:rsid w:val="00C40428"/>
    <w:rsid w:val="00C4351C"/>
    <w:rsid w:val="00C57A56"/>
    <w:rsid w:val="00C63BFC"/>
    <w:rsid w:val="00C71472"/>
    <w:rsid w:val="00C8044C"/>
    <w:rsid w:val="00C83AF1"/>
    <w:rsid w:val="00C868F4"/>
    <w:rsid w:val="00C87DB7"/>
    <w:rsid w:val="00C92B16"/>
    <w:rsid w:val="00C9678A"/>
    <w:rsid w:val="00C969B6"/>
    <w:rsid w:val="00CA5C52"/>
    <w:rsid w:val="00CA5C91"/>
    <w:rsid w:val="00CB028B"/>
    <w:rsid w:val="00CB5DA9"/>
    <w:rsid w:val="00CC1947"/>
    <w:rsid w:val="00CC51C2"/>
    <w:rsid w:val="00CD02A6"/>
    <w:rsid w:val="00CE0C8A"/>
    <w:rsid w:val="00CE1E68"/>
    <w:rsid w:val="00CE5422"/>
    <w:rsid w:val="00CF0CE3"/>
    <w:rsid w:val="00D0422C"/>
    <w:rsid w:val="00D13C34"/>
    <w:rsid w:val="00D246C1"/>
    <w:rsid w:val="00D36278"/>
    <w:rsid w:val="00D36B1C"/>
    <w:rsid w:val="00D55D4C"/>
    <w:rsid w:val="00D6725F"/>
    <w:rsid w:val="00D73CAD"/>
    <w:rsid w:val="00D85365"/>
    <w:rsid w:val="00D9099F"/>
    <w:rsid w:val="00D96148"/>
    <w:rsid w:val="00DA6B0D"/>
    <w:rsid w:val="00DC0141"/>
    <w:rsid w:val="00DC0422"/>
    <w:rsid w:val="00DD10D3"/>
    <w:rsid w:val="00DE5922"/>
    <w:rsid w:val="00DF3721"/>
    <w:rsid w:val="00E05BE2"/>
    <w:rsid w:val="00E11BBA"/>
    <w:rsid w:val="00E20895"/>
    <w:rsid w:val="00E31D46"/>
    <w:rsid w:val="00E35C57"/>
    <w:rsid w:val="00E42749"/>
    <w:rsid w:val="00E51025"/>
    <w:rsid w:val="00E61429"/>
    <w:rsid w:val="00E72D01"/>
    <w:rsid w:val="00E75D05"/>
    <w:rsid w:val="00E75D6B"/>
    <w:rsid w:val="00E81E8A"/>
    <w:rsid w:val="00E864EF"/>
    <w:rsid w:val="00E95694"/>
    <w:rsid w:val="00EB2C58"/>
    <w:rsid w:val="00EB710A"/>
    <w:rsid w:val="00EC2678"/>
    <w:rsid w:val="00EC6334"/>
    <w:rsid w:val="00EC79E0"/>
    <w:rsid w:val="00ED3860"/>
    <w:rsid w:val="00ED5846"/>
    <w:rsid w:val="00EE415C"/>
    <w:rsid w:val="00F0130B"/>
    <w:rsid w:val="00F1258E"/>
    <w:rsid w:val="00F141F8"/>
    <w:rsid w:val="00F16804"/>
    <w:rsid w:val="00F261F8"/>
    <w:rsid w:val="00F2664A"/>
    <w:rsid w:val="00F277FE"/>
    <w:rsid w:val="00F32B8A"/>
    <w:rsid w:val="00F37CC2"/>
    <w:rsid w:val="00F43AFA"/>
    <w:rsid w:val="00F44ADE"/>
    <w:rsid w:val="00F53C91"/>
    <w:rsid w:val="00F56135"/>
    <w:rsid w:val="00F57E2D"/>
    <w:rsid w:val="00F61961"/>
    <w:rsid w:val="00F64B13"/>
    <w:rsid w:val="00F65DA6"/>
    <w:rsid w:val="00F72512"/>
    <w:rsid w:val="00F734A1"/>
    <w:rsid w:val="00F73E65"/>
    <w:rsid w:val="00F75FE8"/>
    <w:rsid w:val="00F92CD8"/>
    <w:rsid w:val="00FA2BCD"/>
    <w:rsid w:val="00FB0BAF"/>
    <w:rsid w:val="00FB6018"/>
    <w:rsid w:val="00FC43B4"/>
    <w:rsid w:val="00FD05C0"/>
    <w:rsid w:val="00FD2B66"/>
    <w:rsid w:val="00FD2BD5"/>
    <w:rsid w:val="00FE50A6"/>
    <w:rsid w:val="00FF150B"/>
    <w:rsid w:val="0E457A8D"/>
    <w:rsid w:val="19FA4879"/>
    <w:rsid w:val="2ECD37AB"/>
    <w:rsid w:val="5B3A719C"/>
    <w:rsid w:val="67EF7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2">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6"/>
    <w:uiPriority w:val="0"/>
    <w:rPr>
      <w:b/>
      <w:bCs/>
    </w:rPr>
  </w:style>
  <w:style w:type="paragraph" w:styleId="4">
    <w:name w:val="annotation text"/>
    <w:basedOn w:val="1"/>
    <w:link w:val="23"/>
    <w:uiPriority w:val="0"/>
    <w:pPr>
      <w:jc w:val="left"/>
    </w:pPr>
  </w:style>
  <w:style w:type="paragraph" w:styleId="5">
    <w:name w:val="Body Text"/>
    <w:basedOn w:val="1"/>
    <w:link w:val="28"/>
    <w:qFormat/>
    <w:uiPriority w:val="0"/>
    <w:pPr>
      <w:spacing w:after="120"/>
    </w:pPr>
  </w:style>
  <w:style w:type="paragraph" w:styleId="6">
    <w:name w:val="Body Text Indent"/>
    <w:basedOn w:val="1"/>
    <w:uiPriority w:val="0"/>
    <w:pPr>
      <w:numPr>
        <w:ilvl w:val="1"/>
        <w:numId w:val="1"/>
      </w:numPr>
      <w:tabs>
        <w:tab w:val="left" w:pos="0"/>
      </w:tabs>
    </w:pPr>
  </w:style>
  <w:style w:type="paragraph" w:styleId="7">
    <w:name w:val="Date"/>
    <w:basedOn w:val="1"/>
    <w:next w:val="1"/>
    <w:link w:val="20"/>
    <w:uiPriority w:val="0"/>
    <w:pPr>
      <w:ind w:left="100" w:leftChars="2500"/>
    </w:pPr>
  </w:style>
  <w:style w:type="paragraph" w:styleId="8">
    <w:name w:val="Balloon Text"/>
    <w:basedOn w:val="1"/>
    <w:link w:val="22"/>
    <w:uiPriority w:val="0"/>
    <w:rPr>
      <w:sz w:val="18"/>
      <w:szCs w:val="18"/>
    </w:rPr>
  </w:style>
  <w:style w:type="paragraph" w:styleId="9">
    <w:name w:val="footer"/>
    <w:basedOn w:val="1"/>
    <w:uiPriority w:val="0"/>
    <w:pPr>
      <w:tabs>
        <w:tab w:val="center" w:pos="4153"/>
        <w:tab w:val="right" w:pos="8306"/>
      </w:tabs>
      <w:snapToGrid w:val="0"/>
      <w:ind w:right="210" w:rightChars="100"/>
      <w:jc w:val="righ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jc w:val="left"/>
    </w:pPr>
    <w:rPr>
      <w:rFonts w:asciiTheme="minorHAnsi" w:hAnsiTheme="minorHAnsi" w:eastAsiaTheme="minorEastAsia"/>
      <w:kern w:val="0"/>
      <w:sz w:val="24"/>
    </w:rPr>
  </w:style>
  <w:style w:type="character" w:styleId="13">
    <w:name w:val="page number"/>
    <w:uiPriority w:val="0"/>
    <w:rPr>
      <w:rFonts w:ascii="Times New Roman" w:hAnsi="Times New Roman" w:eastAsia="宋体"/>
      <w:sz w:val="18"/>
    </w:rPr>
  </w:style>
  <w:style w:type="character" w:styleId="14">
    <w:name w:val="annotation reference"/>
    <w:basedOn w:val="12"/>
    <w:uiPriority w:val="0"/>
    <w:rPr>
      <w:sz w:val="21"/>
      <w:szCs w:val="21"/>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正文2 Char"/>
    <w:link w:val="18"/>
    <w:uiPriority w:val="0"/>
    <w:rPr>
      <w:rFonts w:hAnsi="宋体" w:eastAsia="宋体"/>
      <w:kern w:val="2"/>
      <w:sz w:val="28"/>
      <w:szCs w:val="28"/>
      <w:lang w:val="en-US" w:eastAsia="zh-CN" w:bidi="ar-SA"/>
    </w:rPr>
  </w:style>
  <w:style w:type="paragraph" w:customStyle="1" w:styleId="18">
    <w:name w:val="正文2"/>
    <w:basedOn w:val="1"/>
    <w:link w:val="17"/>
    <w:uiPriority w:val="0"/>
    <w:pPr>
      <w:tabs>
        <w:tab w:val="left" w:pos="0"/>
      </w:tabs>
      <w:spacing w:line="360" w:lineRule="auto"/>
      <w:ind w:firstLine="560" w:firstLineChars="200"/>
    </w:pPr>
    <w:rPr>
      <w:rFonts w:hAnsi="宋体"/>
      <w:sz w:val="28"/>
      <w:szCs w:val="28"/>
    </w:rPr>
  </w:style>
  <w:style w:type="character" w:customStyle="1" w:styleId="19">
    <w:name w:val="段 Char"/>
    <w:qFormat/>
    <w:uiPriority w:val="0"/>
    <w:rPr>
      <w:rFonts w:ascii="宋体"/>
      <w:sz w:val="21"/>
      <w:lang w:val="en-US" w:eastAsia="zh-CN" w:bidi="ar-SA"/>
    </w:rPr>
  </w:style>
  <w:style w:type="character" w:customStyle="1" w:styleId="20">
    <w:name w:val="日期 Char"/>
    <w:link w:val="7"/>
    <w:uiPriority w:val="0"/>
    <w:rPr>
      <w:kern w:val="2"/>
      <w:sz w:val="21"/>
      <w:szCs w:val="24"/>
    </w:rPr>
  </w:style>
  <w:style w:type="character" w:customStyle="1" w:styleId="21">
    <w:name w:val="apple-converted-space"/>
    <w:basedOn w:val="12"/>
    <w:uiPriority w:val="0"/>
  </w:style>
  <w:style w:type="character" w:customStyle="1" w:styleId="22">
    <w:name w:val="批注框文本 Char"/>
    <w:link w:val="8"/>
    <w:uiPriority w:val="0"/>
    <w:rPr>
      <w:kern w:val="2"/>
      <w:sz w:val="18"/>
      <w:szCs w:val="18"/>
    </w:rPr>
  </w:style>
  <w:style w:type="character" w:customStyle="1" w:styleId="23">
    <w:name w:val="批注文字 Char"/>
    <w:basedOn w:val="12"/>
    <w:link w:val="4"/>
    <w:uiPriority w:val="0"/>
    <w:rPr>
      <w:kern w:val="2"/>
      <w:sz w:val="21"/>
      <w:szCs w:val="24"/>
    </w:rPr>
  </w:style>
  <w:style w:type="character" w:customStyle="1" w:styleId="24">
    <w:name w:val="段 Char Char"/>
    <w:link w:val="25"/>
    <w:uiPriority w:val="0"/>
    <w:rPr>
      <w:rFonts w:ascii="宋体" w:eastAsia="Times New Roman"/>
      <w:sz w:val="21"/>
      <w:lang w:val="en-US" w:eastAsia="zh-CN" w:bidi="ar-SA"/>
    </w:rPr>
  </w:style>
  <w:style w:type="paragraph" w:customStyle="1" w:styleId="25">
    <w:name w:val="段"/>
    <w:link w:val="24"/>
    <w:qFormat/>
    <w:uiPriority w:val="0"/>
    <w:pPr>
      <w:tabs>
        <w:tab w:val="center" w:pos="4201"/>
        <w:tab w:val="right" w:leader="dot" w:pos="9298"/>
      </w:tabs>
      <w:autoSpaceDE w:val="0"/>
      <w:autoSpaceDN w:val="0"/>
      <w:ind w:firstLine="420" w:firstLineChars="200"/>
      <w:jc w:val="both"/>
    </w:pPr>
    <w:rPr>
      <w:rFonts w:ascii="宋体" w:hAnsi="Times New Roman" w:eastAsia="Times New Roman" w:cs="Times New Roman"/>
      <w:sz w:val="21"/>
      <w:lang w:val="en-US" w:eastAsia="zh-CN" w:bidi="ar-SA"/>
    </w:rPr>
  </w:style>
  <w:style w:type="character" w:customStyle="1" w:styleId="26">
    <w:name w:val="批注主题 Char"/>
    <w:basedOn w:val="23"/>
    <w:link w:val="3"/>
    <w:uiPriority w:val="0"/>
    <w:rPr>
      <w:b/>
      <w:bCs/>
      <w:kern w:val="2"/>
      <w:sz w:val="21"/>
      <w:szCs w:val="24"/>
    </w:rPr>
  </w:style>
  <w:style w:type="paragraph" w:customStyle="1" w:styleId="27">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28">
    <w:name w:val="正文文本 Char"/>
    <w:basedOn w:val="12"/>
    <w:link w:val="5"/>
    <w:qFormat/>
    <w:uiPriority w:val="0"/>
    <w:rPr>
      <w:kern w:val="2"/>
      <w:sz w:val="21"/>
      <w:szCs w:val="24"/>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AM电脑吧：60808.net</Company>
  <Pages>6</Pages>
  <Words>721</Words>
  <Characters>4111</Characters>
  <Lines>34</Lines>
  <Paragraphs>9</Paragraphs>
  <TotalTime>52</TotalTime>
  <ScaleCrop>false</ScaleCrop>
  <LinksUpToDate>false</LinksUpToDate>
  <CharactersWithSpaces>4823</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2020-01-14T07:03:00Z</dcterms:created>
  <dc:creator>Lenovo User</dc:creator>
  <cp:lastModifiedBy>HCH</cp:lastModifiedBy>
  <cp:lastPrinted>2019-07-01T07:37:00Z</cp:lastPrinted>
  <dcterms:modified xsi:type="dcterms:W3CDTF">2020-04-08T03:49:47Z</dcterms:modified>
  <dc:title>内蒙古自治区地方标准</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