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ED" w:rsidRDefault="00733E0D" w:rsidP="00223F78">
      <w:pPr>
        <w:spacing w:line="400" w:lineRule="exact"/>
        <w:rPr>
          <w:rFonts w:ascii="黑体" w:eastAsia="黑体" w:hAnsi="黑体"/>
          <w:sz w:val="32"/>
          <w:szCs w:val="32"/>
        </w:rPr>
      </w:pPr>
      <w:r>
        <w:rPr>
          <w:rFonts w:ascii="黑体" w:eastAsia="黑体" w:hAnsi="黑体" w:hint="eastAsia"/>
          <w:sz w:val="32"/>
          <w:szCs w:val="32"/>
        </w:rPr>
        <w:t>附</w:t>
      </w:r>
      <w:r w:rsidR="00223F78">
        <w:rPr>
          <w:rFonts w:ascii="黑体" w:eastAsia="黑体" w:hAnsi="黑体" w:hint="eastAsia"/>
          <w:sz w:val="32"/>
          <w:szCs w:val="32"/>
        </w:rPr>
        <w:t xml:space="preserve"> </w:t>
      </w:r>
      <w:r w:rsidR="00223F78">
        <w:rPr>
          <w:rFonts w:ascii="黑体" w:eastAsia="黑体" w:hAnsi="黑体"/>
          <w:sz w:val="32"/>
          <w:szCs w:val="32"/>
        </w:rPr>
        <w:t xml:space="preserve"> </w:t>
      </w:r>
      <w:r>
        <w:rPr>
          <w:rFonts w:ascii="黑体" w:eastAsia="黑体" w:hAnsi="黑体" w:hint="eastAsia"/>
          <w:sz w:val="32"/>
          <w:szCs w:val="32"/>
        </w:rPr>
        <w:t>件</w:t>
      </w:r>
      <w:r>
        <w:rPr>
          <w:rFonts w:ascii="黑体" w:eastAsia="黑体" w:hAnsi="黑体" w:hint="eastAsia"/>
          <w:sz w:val="32"/>
          <w:szCs w:val="32"/>
        </w:rPr>
        <w:t>2</w:t>
      </w:r>
    </w:p>
    <w:p w:rsidR="003A16ED" w:rsidRDefault="00733E0D">
      <w:pPr>
        <w:spacing w:line="520" w:lineRule="exact"/>
        <w:jc w:val="center"/>
        <w:rPr>
          <w:rFonts w:ascii="方正小标宋简体" w:eastAsia="方正小标宋简体" w:hint="eastAsia"/>
          <w:spacing w:val="-12"/>
          <w:sz w:val="44"/>
          <w:szCs w:val="44"/>
        </w:rPr>
      </w:pPr>
      <w:r>
        <w:rPr>
          <w:rFonts w:ascii="方正小标宋简体" w:eastAsia="方正小标宋简体" w:hint="eastAsia"/>
          <w:spacing w:val="-12"/>
          <w:sz w:val="44"/>
          <w:szCs w:val="44"/>
        </w:rPr>
        <w:t>部分不合格项目的小知识</w:t>
      </w:r>
    </w:p>
    <w:p w:rsidR="003A16ED" w:rsidRDefault="003A16ED">
      <w:pPr>
        <w:spacing w:line="400" w:lineRule="exact"/>
        <w:ind w:firstLineChars="200" w:firstLine="592"/>
        <w:jc w:val="center"/>
        <w:rPr>
          <w:rFonts w:ascii="仿宋" w:eastAsia="仿宋" w:hAnsi="仿宋" w:cs="仿宋"/>
          <w:spacing w:val="-12"/>
          <w:sz w:val="32"/>
          <w:szCs w:val="32"/>
        </w:rPr>
      </w:pPr>
    </w:p>
    <w:p w:rsidR="003A16ED" w:rsidRDefault="00733E0D">
      <w:pPr>
        <w:spacing w:line="400" w:lineRule="exact"/>
        <w:ind w:firstLineChars="200" w:firstLine="640"/>
        <w:outlineLvl w:val="0"/>
        <w:rPr>
          <w:rFonts w:ascii="黑体" w:eastAsia="黑体" w:hAnsi="黑体" w:cs="黑体"/>
          <w:sz w:val="32"/>
          <w:szCs w:val="32"/>
        </w:rPr>
      </w:pPr>
      <w:r>
        <w:rPr>
          <w:rFonts w:ascii="黑体" w:eastAsia="黑体" w:hAnsi="黑体" w:hint="eastAsia"/>
          <w:sz w:val="32"/>
          <w:szCs w:val="32"/>
        </w:rPr>
        <w:t>一</w:t>
      </w:r>
      <w:r>
        <w:rPr>
          <w:rFonts w:ascii="黑体" w:eastAsia="黑体" w:hAnsi="黑体" w:cs="黑体" w:hint="eastAsia"/>
          <w:sz w:val="32"/>
          <w:szCs w:val="32"/>
        </w:rPr>
        <w:t>、过氧化值</w:t>
      </w:r>
    </w:p>
    <w:p w:rsidR="003A16ED" w:rsidRDefault="00733E0D">
      <w:pPr>
        <w:spacing w:line="400" w:lineRule="exact"/>
        <w:ind w:firstLineChars="200" w:firstLine="640"/>
        <w:rPr>
          <w:rFonts w:ascii="Times New Roman" w:eastAsia="仿宋_GB2312" w:hAnsi="Times New Roman"/>
          <w:sz w:val="32"/>
          <w:szCs w:val="32"/>
        </w:rPr>
      </w:pPr>
      <w:r>
        <w:rPr>
          <w:rFonts w:ascii="仿宋" w:eastAsia="仿宋" w:hAnsi="仿宋" w:cs="仿宋" w:hint="eastAsia"/>
          <w:kern w:val="0"/>
          <w:sz w:val="32"/>
          <w:szCs w:val="32"/>
        </w:rPr>
        <w:t>过氧化值主要反映食品中油脂是否氧化变质。随着油脂氧化，过氧化值会逐步升高。</w:t>
      </w:r>
      <w:r>
        <w:rPr>
          <w:rFonts w:ascii="仿宋" w:eastAsia="仿宋" w:hAnsi="仿宋" w:cs="仿宋" w:hint="eastAsia"/>
          <w:kern w:val="0"/>
          <w:sz w:val="32"/>
          <w:szCs w:val="32"/>
        </w:rPr>
        <w:t>食品</w:t>
      </w:r>
      <w:r>
        <w:rPr>
          <w:rFonts w:ascii="仿宋" w:eastAsia="仿宋" w:hAnsi="仿宋" w:cs="仿宋" w:hint="eastAsia"/>
          <w:kern w:val="0"/>
          <w:sz w:val="32"/>
          <w:szCs w:val="32"/>
        </w:rPr>
        <w:t>中过氧化值超标的原因，可能是</w:t>
      </w:r>
      <w:r>
        <w:rPr>
          <w:rFonts w:ascii="仿宋" w:eastAsia="仿宋" w:hAnsi="仿宋" w:cs="仿宋" w:hint="eastAsia"/>
          <w:sz w:val="32"/>
          <w:szCs w:val="32"/>
        </w:rPr>
        <w:t>产品在储</w:t>
      </w:r>
      <w:r>
        <w:rPr>
          <w:rFonts w:ascii="仿宋" w:eastAsia="仿宋" w:hAnsi="仿宋" w:cs="仿宋" w:hint="eastAsia"/>
          <w:sz w:val="32"/>
          <w:szCs w:val="32"/>
        </w:rPr>
        <w:t>运</w:t>
      </w:r>
      <w:r>
        <w:rPr>
          <w:rFonts w:ascii="仿宋" w:eastAsia="仿宋" w:hAnsi="仿宋" w:cs="仿宋" w:hint="eastAsia"/>
          <w:sz w:val="32"/>
          <w:szCs w:val="32"/>
        </w:rPr>
        <w:t>过程中环境条件控制不当</w:t>
      </w:r>
      <w:r>
        <w:rPr>
          <w:rFonts w:ascii="仿宋" w:eastAsia="仿宋" w:hAnsi="仿宋" w:cs="仿宋" w:hint="eastAsia"/>
          <w:sz w:val="32"/>
          <w:szCs w:val="32"/>
        </w:rPr>
        <w:t>，</w:t>
      </w:r>
      <w:r>
        <w:rPr>
          <w:rFonts w:ascii="仿宋" w:eastAsia="仿宋" w:hAnsi="仿宋" w:cs="仿宋" w:hint="eastAsia"/>
          <w:sz w:val="32"/>
          <w:szCs w:val="32"/>
        </w:rPr>
        <w:t>也可</w:t>
      </w:r>
      <w:bookmarkStart w:id="0" w:name="_GoBack"/>
      <w:bookmarkEnd w:id="0"/>
      <w:r>
        <w:rPr>
          <w:rFonts w:ascii="仿宋" w:eastAsia="仿宋" w:hAnsi="仿宋" w:cs="仿宋" w:hint="eastAsia"/>
          <w:sz w:val="32"/>
          <w:szCs w:val="32"/>
        </w:rPr>
        <w:t>能是原料储存不当，未采取有效的抗氧化措施，导致原料中的脂肪氧化，使得终产品油脂氧化。</w:t>
      </w:r>
    </w:p>
    <w:p w:rsidR="003A16ED" w:rsidRDefault="00733E0D">
      <w:pPr>
        <w:spacing w:line="4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二、铝的残留量</w:t>
      </w:r>
    </w:p>
    <w:p w:rsidR="003A16ED" w:rsidRDefault="00733E0D">
      <w:pPr>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硫酸铝钾（又名钾明矾）、硫酸铝铵（又名铵明矾）是食品加工中常用的膨松剂和稳定剂，使用后产生铝残留。</w:t>
      </w:r>
      <w:r>
        <w:rPr>
          <w:rFonts w:ascii="仿宋" w:eastAsia="仿宋" w:hAnsi="仿宋" w:cs="仿宋" w:hint="eastAsia"/>
          <w:sz w:val="32"/>
          <w:szCs w:val="32"/>
        </w:rPr>
        <w:t>铝残留量超标的原因可能是，个别企业为改善产品卖相和口感，在生产加工过程中超限量使用含铝添加剂，或者其使用的复配添加剂中铝含量过高。</w:t>
      </w:r>
    </w:p>
    <w:p w:rsidR="003A16ED" w:rsidRDefault="00733E0D">
      <w:pPr>
        <w:spacing w:line="400" w:lineRule="exact"/>
        <w:ind w:firstLineChars="200" w:firstLine="640"/>
        <w:rPr>
          <w:rFonts w:ascii="黑体" w:eastAsia="黑体" w:hAnsi="黑体" w:cs="黑体"/>
          <w:sz w:val="32"/>
          <w:szCs w:val="32"/>
        </w:rPr>
      </w:pP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cs="黑体" w:hint="eastAsia"/>
          <w:sz w:val="32"/>
          <w:szCs w:val="32"/>
        </w:rPr>
        <w:t>菌落总数</w:t>
      </w:r>
    </w:p>
    <w:p w:rsidR="003A16ED" w:rsidRDefault="00733E0D">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rsidR="003A16ED" w:rsidRDefault="00733E0D">
      <w:pPr>
        <w:spacing w:line="400" w:lineRule="exact"/>
        <w:ind w:firstLineChars="200" w:firstLine="592"/>
        <w:rPr>
          <w:rFonts w:ascii="黑体" w:eastAsia="黑体" w:hAnsi="黑体"/>
          <w:sz w:val="32"/>
          <w:szCs w:val="32"/>
        </w:rPr>
      </w:pPr>
      <w:r>
        <w:rPr>
          <w:rFonts w:ascii="Times New Roman" w:eastAsia="黑体" w:hAnsi="黑体" w:hint="eastAsia"/>
          <w:spacing w:val="-12"/>
          <w:sz w:val="32"/>
          <w:szCs w:val="32"/>
        </w:rPr>
        <w:t>四</w:t>
      </w:r>
      <w:r>
        <w:rPr>
          <w:rFonts w:ascii="Times New Roman" w:eastAsia="黑体" w:hAnsi="黑体"/>
          <w:spacing w:val="-12"/>
          <w:sz w:val="32"/>
          <w:szCs w:val="32"/>
        </w:rPr>
        <w:t>、</w:t>
      </w:r>
      <w:r>
        <w:rPr>
          <w:rFonts w:ascii="黑体" w:eastAsia="黑体" w:hAnsi="黑体" w:hint="eastAsia"/>
          <w:sz w:val="32"/>
          <w:szCs w:val="32"/>
        </w:rPr>
        <w:t>腐霉利</w:t>
      </w:r>
    </w:p>
    <w:p w:rsidR="003A16ED" w:rsidRDefault="00733E0D">
      <w:pPr>
        <w:spacing w:line="4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腐霉利是一种低毒内吸性杀菌剂，具有保护和治疗双重作用。腐霉利超</w:t>
      </w:r>
      <w:r>
        <w:rPr>
          <w:rFonts w:ascii="Times New Roman" w:eastAsia="仿宋_GB2312" w:hAnsi="Times New Roman" w:hint="eastAsia"/>
          <w:sz w:val="32"/>
          <w:szCs w:val="32"/>
        </w:rPr>
        <w:t>标的主要原因可能是种植过程中为控制病虫害超量使用或不遵循安全间隔期规定。</w:t>
      </w:r>
    </w:p>
    <w:p w:rsidR="003A16ED" w:rsidRDefault="00733E0D">
      <w:pPr>
        <w:spacing w:line="400" w:lineRule="exact"/>
        <w:ind w:firstLineChars="200" w:firstLine="640"/>
        <w:rPr>
          <w:rFonts w:ascii="Times New Roman" w:eastAsia="黑体" w:hAnsi="Times New Roman"/>
          <w:spacing w:val="-12"/>
          <w:sz w:val="32"/>
          <w:szCs w:val="32"/>
        </w:rPr>
      </w:pPr>
      <w:r>
        <w:rPr>
          <w:rFonts w:ascii="黑体" w:eastAsia="黑体" w:hAnsi="黑体" w:cs="黑体" w:hint="eastAsia"/>
          <w:sz w:val="32"/>
          <w:szCs w:val="32"/>
        </w:rPr>
        <w:t>五</w:t>
      </w:r>
      <w:r>
        <w:rPr>
          <w:rFonts w:ascii="黑体" w:eastAsia="黑体" w:hAnsi="黑体" w:cs="黑体" w:hint="eastAsia"/>
          <w:sz w:val="32"/>
          <w:szCs w:val="32"/>
        </w:rPr>
        <w:t>、</w:t>
      </w:r>
      <w:r>
        <w:rPr>
          <w:rFonts w:ascii="Times New Roman" w:eastAsia="黑体" w:hAnsi="Times New Roman" w:hint="eastAsia"/>
          <w:spacing w:val="-12"/>
          <w:sz w:val="32"/>
          <w:szCs w:val="32"/>
        </w:rPr>
        <w:t>克伦特罗</w:t>
      </w:r>
    </w:p>
    <w:p w:rsidR="003A16ED" w:rsidRDefault="00733E0D">
      <w:pPr>
        <w:spacing w:line="4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克伦特罗属于β</w:t>
      </w:r>
      <w:r>
        <w:rPr>
          <w:rFonts w:ascii="Times New Roman" w:eastAsia="仿宋_GB2312" w:hAnsi="Times New Roman" w:hint="eastAsia"/>
          <w:sz w:val="32"/>
          <w:szCs w:val="32"/>
        </w:rPr>
        <w:t>-</w:t>
      </w:r>
      <w:r>
        <w:rPr>
          <w:rFonts w:ascii="Times New Roman" w:eastAsia="仿宋_GB2312" w:hAnsi="Times New Roman" w:hint="eastAsia"/>
          <w:sz w:val="32"/>
          <w:szCs w:val="32"/>
        </w:rPr>
        <w:t>肾上腺素受体激动剂，作为饲料添加剂用于畜牧生产，对动物有明显的促进生长、提高瘦肉率及减少脂肪的效果。《食品中可能违法添加的非食用物质和易滥用的食品添加剂名单（第四批）》（整顿办函〔</w:t>
      </w:r>
      <w:r>
        <w:rPr>
          <w:rFonts w:ascii="Times New Roman" w:eastAsia="仿宋_GB2312" w:hAnsi="Times New Roman" w:hint="eastAsia"/>
          <w:sz w:val="32"/>
          <w:szCs w:val="32"/>
        </w:rPr>
        <w:t>2010</w:t>
      </w:r>
      <w:r>
        <w:rPr>
          <w:rFonts w:ascii="Times New Roman" w:eastAsia="仿宋_GB2312" w:hAnsi="Times New Roman" w:hint="eastAsia"/>
          <w:sz w:val="32"/>
          <w:szCs w:val="32"/>
        </w:rPr>
        <w:t>〕</w:t>
      </w:r>
      <w:r>
        <w:rPr>
          <w:rFonts w:ascii="Times New Roman" w:eastAsia="仿宋_GB2312" w:hAnsi="Times New Roman" w:hint="eastAsia"/>
          <w:sz w:val="32"/>
          <w:szCs w:val="32"/>
        </w:rPr>
        <w:t>50</w:t>
      </w:r>
      <w:r>
        <w:rPr>
          <w:rFonts w:ascii="Times New Roman" w:eastAsia="仿宋_GB2312" w:hAnsi="Times New Roman" w:hint="eastAsia"/>
          <w:sz w:val="32"/>
          <w:szCs w:val="32"/>
        </w:rPr>
        <w:t>号）中规定，β</w:t>
      </w:r>
      <w:r>
        <w:rPr>
          <w:rFonts w:ascii="Times New Roman" w:eastAsia="仿宋_GB2312" w:hAnsi="Times New Roman" w:hint="eastAsia"/>
          <w:sz w:val="32"/>
          <w:szCs w:val="32"/>
        </w:rPr>
        <w:t>-</w:t>
      </w:r>
      <w:r>
        <w:rPr>
          <w:rFonts w:ascii="Times New Roman" w:eastAsia="仿宋_GB2312" w:hAnsi="Times New Roman" w:hint="eastAsia"/>
          <w:sz w:val="32"/>
          <w:szCs w:val="32"/>
        </w:rPr>
        <w:t>兴奋剂类药物（盐酸克伦特罗（瘦肉精）、莱克多巴胺等）为食品中违法添加的非食用物质，在动物性食品中不得检出。克伦特罗项目不合格的主要原因可能是不法养</w:t>
      </w:r>
      <w:r>
        <w:rPr>
          <w:rFonts w:ascii="Times New Roman" w:eastAsia="仿宋_GB2312" w:hAnsi="Times New Roman" w:hint="eastAsia"/>
          <w:sz w:val="32"/>
          <w:szCs w:val="32"/>
        </w:rPr>
        <w:lastRenderedPageBreak/>
        <w:t>殖户为增加动物的瘦肉量、迎合消费需求及获得更大的经济效益而违法使用。</w:t>
      </w:r>
    </w:p>
    <w:p w:rsidR="003A16ED" w:rsidRDefault="00733E0D">
      <w:pPr>
        <w:pStyle w:val="a4"/>
        <w:widowControl/>
        <w:spacing w:beforeAutospacing="0" w:afterAutospacing="0" w:line="400" w:lineRule="exact"/>
        <w:ind w:firstLineChars="200" w:firstLine="640"/>
        <w:rPr>
          <w:rFonts w:ascii="Times New Roman" w:eastAsia="仿宋_GB2312" w:hAnsi="Times New Roman"/>
          <w:kern w:val="2"/>
          <w:sz w:val="32"/>
          <w:szCs w:val="32"/>
        </w:rPr>
      </w:pPr>
      <w:r>
        <w:rPr>
          <w:rFonts w:ascii="黑体" w:eastAsia="黑体" w:hAnsi="黑体" w:cs="黑体" w:hint="eastAsia"/>
          <w:sz w:val="32"/>
          <w:szCs w:val="32"/>
        </w:rPr>
        <w:t>六</w:t>
      </w:r>
      <w:r>
        <w:rPr>
          <w:rFonts w:ascii="Times New Roman" w:eastAsia="黑体" w:hAnsi="黑体"/>
          <w:spacing w:val="-12"/>
          <w:sz w:val="32"/>
          <w:szCs w:val="32"/>
        </w:rPr>
        <w:t>、呋喃</w:t>
      </w:r>
      <w:r>
        <w:rPr>
          <w:rFonts w:ascii="Times New Roman" w:eastAsia="黑体" w:hAnsi="黑体" w:hint="eastAsia"/>
          <w:spacing w:val="-12"/>
          <w:sz w:val="32"/>
          <w:szCs w:val="32"/>
        </w:rPr>
        <w:t>西林</w:t>
      </w:r>
      <w:r>
        <w:rPr>
          <w:rFonts w:ascii="Times New Roman" w:eastAsia="黑体" w:hAnsi="黑体"/>
          <w:spacing w:val="-12"/>
          <w:sz w:val="32"/>
          <w:szCs w:val="32"/>
        </w:rPr>
        <w:t>代谢物</w:t>
      </w:r>
    </w:p>
    <w:p w:rsidR="003A16ED" w:rsidRDefault="00733E0D">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呋喃</w:t>
      </w:r>
      <w:r>
        <w:rPr>
          <w:rFonts w:ascii="Times New Roman" w:eastAsia="仿宋_GB2312" w:hAnsi="Times New Roman" w:hint="eastAsia"/>
          <w:sz w:val="32"/>
          <w:szCs w:val="32"/>
        </w:rPr>
        <w:t>西林</w:t>
      </w:r>
      <w:r>
        <w:rPr>
          <w:rFonts w:ascii="Times New Roman" w:eastAsia="仿宋_GB2312" w:hAnsi="Times New Roman"/>
          <w:sz w:val="32"/>
          <w:szCs w:val="32"/>
        </w:rPr>
        <w:t>是硝基呋喃类广谱抗生素，曾广泛应用于畜禽及</w:t>
      </w:r>
      <w:r>
        <w:rPr>
          <w:rFonts w:ascii="Times New Roman" w:eastAsia="仿宋_GB2312" w:hAnsi="Times New Roman"/>
          <w:sz w:val="32"/>
          <w:szCs w:val="32"/>
        </w:rPr>
        <w:t>水产养殖业。硝基呋喃类原型药在生物体内代谢迅速，其代谢物因与蛋白质结合而相当稳定，故常利用对其代谢物的检测来反</w:t>
      </w:r>
      <w:r>
        <w:rPr>
          <w:rFonts w:ascii="Times New Roman" w:eastAsia="仿宋_GB2312" w:hAnsi="Times New Roman" w:hint="eastAsia"/>
          <w:sz w:val="32"/>
          <w:szCs w:val="32"/>
        </w:rPr>
        <w:t>映</w:t>
      </w:r>
      <w:r>
        <w:rPr>
          <w:rFonts w:ascii="Times New Roman" w:eastAsia="仿宋_GB2312" w:hAnsi="Times New Roman"/>
          <w:sz w:val="32"/>
          <w:szCs w:val="32"/>
        </w:rPr>
        <w:t>硝基呋喃类药物的残留状况。《</w:t>
      </w:r>
      <w:r>
        <w:rPr>
          <w:rFonts w:ascii="Times New Roman" w:eastAsia="仿宋_GB2312" w:hAnsi="Times New Roman" w:hint="eastAsia"/>
          <w:sz w:val="32"/>
          <w:szCs w:val="32"/>
        </w:rPr>
        <w:t>兽药</w:t>
      </w:r>
      <w:r>
        <w:rPr>
          <w:rFonts w:ascii="Times New Roman" w:eastAsia="仿宋_GB2312" w:hAnsi="Times New Roman" w:hint="eastAsia"/>
          <w:sz w:val="32"/>
          <w:szCs w:val="32"/>
        </w:rPr>
        <w:t>地方标准废止目录</w:t>
      </w:r>
      <w:r>
        <w:rPr>
          <w:rFonts w:ascii="Times New Roman" w:eastAsia="仿宋_GB2312" w:hAnsi="Times New Roman"/>
          <w:sz w:val="32"/>
          <w:szCs w:val="32"/>
        </w:rPr>
        <w:t>》（农业部公告第</w:t>
      </w:r>
      <w:r>
        <w:rPr>
          <w:rFonts w:ascii="Times New Roman" w:eastAsia="仿宋_GB2312" w:hAnsi="Times New Roman" w:hint="eastAsia"/>
          <w:sz w:val="32"/>
          <w:szCs w:val="32"/>
        </w:rPr>
        <w:t>560</w:t>
      </w:r>
      <w:r>
        <w:rPr>
          <w:rFonts w:ascii="Times New Roman" w:eastAsia="仿宋_GB2312" w:hAnsi="Times New Roman"/>
          <w:sz w:val="32"/>
          <w:szCs w:val="32"/>
        </w:rPr>
        <w:t>号）中规定</w:t>
      </w:r>
      <w:r>
        <w:rPr>
          <w:rFonts w:ascii="Times New Roman" w:eastAsia="仿宋_GB2312" w:hAnsi="Times New Roman" w:hint="eastAsia"/>
          <w:sz w:val="32"/>
          <w:szCs w:val="32"/>
        </w:rPr>
        <w:t>，</w:t>
      </w:r>
      <w:r>
        <w:rPr>
          <w:rFonts w:ascii="Times New Roman" w:eastAsia="仿宋_GB2312" w:hAnsi="Times New Roman"/>
          <w:sz w:val="32"/>
          <w:szCs w:val="32"/>
        </w:rPr>
        <w:t>呋喃</w:t>
      </w:r>
      <w:r>
        <w:rPr>
          <w:rFonts w:ascii="Times New Roman" w:eastAsia="仿宋_GB2312" w:hAnsi="Times New Roman" w:hint="eastAsia"/>
          <w:sz w:val="32"/>
          <w:szCs w:val="32"/>
        </w:rPr>
        <w:t>西林</w:t>
      </w:r>
      <w:r>
        <w:rPr>
          <w:rFonts w:ascii="Times New Roman" w:eastAsia="仿宋_GB2312" w:hAnsi="Times New Roman"/>
          <w:sz w:val="32"/>
          <w:szCs w:val="32"/>
        </w:rPr>
        <w:t>为禁止使用的药物，在动物性食品中不得检出。</w:t>
      </w:r>
    </w:p>
    <w:p w:rsidR="003A16ED" w:rsidRDefault="00733E0D">
      <w:pPr>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、磺胺类（总量）</w:t>
      </w:r>
    </w:p>
    <w:p w:rsidR="003A16ED" w:rsidRDefault="00733E0D">
      <w:pPr>
        <w:spacing w:line="400" w:lineRule="exact"/>
        <w:ind w:firstLineChars="200" w:firstLine="640"/>
        <w:rPr>
          <w:rFonts w:hint="eastAsia"/>
        </w:rPr>
      </w:pPr>
      <w:r>
        <w:rPr>
          <w:rFonts w:ascii="仿宋" w:eastAsia="仿宋" w:hAnsi="仿宋" w:cs="仿宋" w:hint="eastAsia"/>
          <w:sz w:val="32"/>
          <w:szCs w:val="32"/>
        </w:rPr>
        <w:t>磺胺类药物是一种人工合成的抗菌谱较广、性质稳定、使用简便的抗菌药，对大多数革兰氏阳性菌和阴性菌都有较强抑制作用。</w:t>
      </w:r>
      <w:r>
        <w:rPr>
          <w:rFonts w:ascii="仿宋" w:eastAsia="仿宋" w:hAnsi="仿宋" w:cs="仿宋" w:hint="eastAsia"/>
          <w:sz w:val="32"/>
          <w:szCs w:val="32"/>
        </w:rPr>
        <w:t>磺胺类（总量）超标的主要原因可能是</w:t>
      </w:r>
      <w:r>
        <w:rPr>
          <w:rFonts w:ascii="仿宋" w:eastAsia="仿宋" w:hAnsi="仿宋" w:cs="仿宋" w:hint="eastAsia"/>
          <w:sz w:val="32"/>
          <w:szCs w:val="32"/>
        </w:rPr>
        <w:t>畜牧养殖过程中</w:t>
      </w:r>
      <w:r>
        <w:rPr>
          <w:rFonts w:ascii="仿宋" w:eastAsia="仿宋" w:hAnsi="仿宋" w:cs="仿宋" w:hint="eastAsia"/>
          <w:sz w:val="32"/>
          <w:szCs w:val="32"/>
        </w:rPr>
        <w:t>为控制</w:t>
      </w:r>
      <w:r>
        <w:rPr>
          <w:rFonts w:ascii="仿宋" w:eastAsia="仿宋" w:hAnsi="仿宋" w:cs="仿宋" w:hint="eastAsia"/>
          <w:sz w:val="32"/>
          <w:szCs w:val="32"/>
        </w:rPr>
        <w:t>疾病</w:t>
      </w:r>
      <w:r>
        <w:rPr>
          <w:rFonts w:ascii="仿宋" w:eastAsia="仿宋" w:hAnsi="仿宋" w:cs="仿宋" w:hint="eastAsia"/>
          <w:sz w:val="32"/>
          <w:szCs w:val="32"/>
        </w:rPr>
        <w:t>超量使用或不遵循休药期规定。</w:t>
      </w:r>
    </w:p>
    <w:p w:rsidR="003A16ED" w:rsidRDefault="00733E0D">
      <w:pPr>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w:t>
      </w:r>
      <w:r>
        <w:rPr>
          <w:rFonts w:ascii="黑体" w:eastAsia="黑体" w:hAnsi="黑体" w:cs="黑体" w:hint="eastAsia"/>
          <w:sz w:val="32"/>
          <w:szCs w:val="32"/>
        </w:rPr>
        <w:t>4-</w:t>
      </w:r>
      <w:r>
        <w:rPr>
          <w:rFonts w:ascii="黑体" w:eastAsia="黑体" w:hAnsi="黑体" w:cs="黑体" w:hint="eastAsia"/>
          <w:sz w:val="32"/>
          <w:szCs w:val="32"/>
        </w:rPr>
        <w:t>氯苯氧乙酸钠</w:t>
      </w:r>
    </w:p>
    <w:p w:rsidR="003A16ED" w:rsidRDefault="00733E0D">
      <w:pPr>
        <w:numPr>
          <w:ilvl w:val="0"/>
          <w:numId w:val="1"/>
        </w:numPr>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氯苯氧乙酸钠是一种植物生长调节剂。原国家食品药品监督管理总局、农业部、国家卫生和计划生育委员会发布《关于豆芽生产过程中禁止使用</w:t>
      </w:r>
      <w:r>
        <w:rPr>
          <w:rFonts w:ascii="仿宋" w:eastAsia="仿宋" w:hAnsi="仿宋" w:cs="仿宋" w:hint="eastAsia"/>
          <w:sz w:val="32"/>
          <w:szCs w:val="32"/>
        </w:rPr>
        <w:t>6-</w:t>
      </w:r>
      <w:r>
        <w:rPr>
          <w:rFonts w:ascii="仿宋" w:eastAsia="仿宋" w:hAnsi="仿宋" w:cs="仿宋" w:hint="eastAsia"/>
          <w:sz w:val="32"/>
          <w:szCs w:val="32"/>
        </w:rPr>
        <w:t>苄基腺嘌呤等物质的公告》（</w:t>
      </w:r>
      <w:r>
        <w:rPr>
          <w:rFonts w:ascii="仿宋" w:eastAsia="仿宋" w:hAnsi="仿宋" w:cs="仿宋" w:hint="eastAsia"/>
          <w:sz w:val="32"/>
          <w:szCs w:val="32"/>
        </w:rPr>
        <w:t>2015</w:t>
      </w:r>
      <w:r>
        <w:rPr>
          <w:rFonts w:ascii="仿宋" w:eastAsia="仿宋" w:hAnsi="仿宋" w:cs="仿宋" w:hint="eastAsia"/>
          <w:sz w:val="32"/>
          <w:szCs w:val="32"/>
        </w:rPr>
        <w:t>年第</w:t>
      </w:r>
      <w:r>
        <w:rPr>
          <w:rFonts w:ascii="仿宋" w:eastAsia="仿宋" w:hAnsi="仿宋" w:cs="仿宋" w:hint="eastAsia"/>
          <w:sz w:val="32"/>
          <w:szCs w:val="32"/>
        </w:rPr>
        <w:t>11</w:t>
      </w:r>
      <w:r>
        <w:rPr>
          <w:rFonts w:ascii="仿宋" w:eastAsia="仿宋" w:hAnsi="仿宋" w:cs="仿宋" w:hint="eastAsia"/>
          <w:sz w:val="32"/>
          <w:szCs w:val="32"/>
        </w:rPr>
        <w:t>号），明确豆芽生产经营过程中不得使用</w:t>
      </w:r>
      <w:r>
        <w:rPr>
          <w:rFonts w:ascii="仿宋" w:eastAsia="仿宋" w:hAnsi="仿宋" w:cs="仿宋" w:hint="eastAsia"/>
          <w:sz w:val="32"/>
          <w:szCs w:val="32"/>
        </w:rPr>
        <w:t>4-</w:t>
      </w:r>
      <w:r>
        <w:rPr>
          <w:rFonts w:ascii="仿宋" w:eastAsia="仿宋" w:hAnsi="仿宋" w:cs="仿宋" w:hint="eastAsia"/>
          <w:sz w:val="32"/>
          <w:szCs w:val="32"/>
        </w:rPr>
        <w:t>氯苯氧乙酸钠。由于</w:t>
      </w:r>
      <w:r>
        <w:rPr>
          <w:rFonts w:ascii="仿宋" w:eastAsia="仿宋" w:hAnsi="仿宋" w:cs="仿宋" w:hint="eastAsia"/>
          <w:sz w:val="32"/>
          <w:szCs w:val="32"/>
        </w:rPr>
        <w:t>4-</w:t>
      </w:r>
      <w:r>
        <w:rPr>
          <w:rFonts w:ascii="仿宋" w:eastAsia="仿宋" w:hAnsi="仿宋" w:cs="仿宋" w:hint="eastAsia"/>
          <w:sz w:val="32"/>
          <w:szCs w:val="32"/>
        </w:rPr>
        <w:t>氯苯氧乙酸钠可减少豆芽根部萌发，加速细胞分裂，使豆芽更加肥嫩、粗壮，提高豆芽的产量，仍有违规使用现象。</w:t>
      </w:r>
    </w:p>
    <w:p w:rsidR="003A16ED" w:rsidRDefault="00733E0D">
      <w:pPr>
        <w:pStyle w:val="2"/>
        <w:spacing w:after="0" w:line="400" w:lineRule="exact"/>
        <w:ind w:leftChars="0" w:left="0" w:firstLine="640"/>
        <w:rPr>
          <w:rFonts w:ascii="黑体" w:eastAsia="黑体" w:hAnsi="黑体" w:cs="黑体"/>
          <w:kern w:val="2"/>
          <w:sz w:val="32"/>
          <w:szCs w:val="32"/>
        </w:rPr>
      </w:pPr>
      <w:r>
        <w:rPr>
          <w:rFonts w:ascii="黑体" w:eastAsia="黑体" w:hAnsi="黑体" w:cs="黑体" w:hint="eastAsia"/>
          <w:kern w:val="2"/>
          <w:sz w:val="32"/>
          <w:szCs w:val="32"/>
        </w:rPr>
        <w:t>九、毒死蜱</w:t>
      </w:r>
    </w:p>
    <w:p w:rsidR="003A16ED" w:rsidRDefault="00733E0D">
      <w:pPr>
        <w:pStyle w:val="2"/>
        <w:spacing w:after="0" w:line="400" w:lineRule="exact"/>
        <w:ind w:leftChars="0" w:left="0" w:firstLine="640"/>
        <w:rPr>
          <w:rFonts w:ascii="仿宋" w:eastAsia="仿宋" w:hAnsi="仿宋" w:cs="仿宋"/>
          <w:kern w:val="2"/>
          <w:sz w:val="32"/>
          <w:szCs w:val="32"/>
        </w:rPr>
      </w:pPr>
      <w:r>
        <w:rPr>
          <w:rFonts w:ascii="仿宋" w:eastAsia="仿宋" w:hAnsi="仿宋" w:cs="仿宋" w:hint="eastAsia"/>
          <w:kern w:val="2"/>
          <w:sz w:val="32"/>
          <w:szCs w:val="32"/>
        </w:rPr>
        <w:t>毒死蜱是一种有机磷杀虫剂。农业部公告第</w:t>
      </w:r>
      <w:r>
        <w:rPr>
          <w:rFonts w:ascii="仿宋" w:eastAsia="仿宋" w:hAnsi="仿宋" w:cs="仿宋" w:hint="eastAsia"/>
          <w:kern w:val="2"/>
          <w:sz w:val="32"/>
          <w:szCs w:val="32"/>
        </w:rPr>
        <w:t>2032</w:t>
      </w:r>
      <w:r>
        <w:rPr>
          <w:rFonts w:ascii="仿宋" w:eastAsia="仿宋" w:hAnsi="仿宋" w:cs="仿宋" w:hint="eastAsia"/>
          <w:kern w:val="2"/>
          <w:sz w:val="32"/>
          <w:szCs w:val="32"/>
        </w:rPr>
        <w:t>号规定，自</w:t>
      </w:r>
      <w:r>
        <w:rPr>
          <w:rFonts w:ascii="仿宋" w:eastAsia="仿宋" w:hAnsi="仿宋" w:cs="仿宋" w:hint="eastAsia"/>
          <w:kern w:val="2"/>
          <w:sz w:val="32"/>
          <w:szCs w:val="32"/>
        </w:rPr>
        <w:t>2016</w:t>
      </w:r>
      <w:r>
        <w:rPr>
          <w:rFonts w:ascii="仿宋" w:eastAsia="仿宋" w:hAnsi="仿宋" w:cs="仿宋" w:hint="eastAsia"/>
          <w:kern w:val="2"/>
          <w:sz w:val="32"/>
          <w:szCs w:val="32"/>
        </w:rPr>
        <w:t>年</w:t>
      </w:r>
      <w:r>
        <w:rPr>
          <w:rFonts w:ascii="仿宋" w:eastAsia="仿宋" w:hAnsi="仿宋" w:cs="仿宋" w:hint="eastAsia"/>
          <w:kern w:val="2"/>
          <w:sz w:val="32"/>
          <w:szCs w:val="32"/>
        </w:rPr>
        <w:t>12</w:t>
      </w:r>
      <w:r>
        <w:rPr>
          <w:rFonts w:ascii="仿宋" w:eastAsia="仿宋" w:hAnsi="仿宋" w:cs="仿宋" w:hint="eastAsia"/>
          <w:kern w:val="2"/>
          <w:sz w:val="32"/>
          <w:szCs w:val="32"/>
        </w:rPr>
        <w:t>月</w:t>
      </w:r>
      <w:r>
        <w:rPr>
          <w:rFonts w:ascii="仿宋" w:eastAsia="仿宋" w:hAnsi="仿宋" w:cs="仿宋" w:hint="eastAsia"/>
          <w:kern w:val="2"/>
          <w:sz w:val="32"/>
          <w:szCs w:val="32"/>
        </w:rPr>
        <w:t>31</w:t>
      </w:r>
      <w:r>
        <w:rPr>
          <w:rFonts w:ascii="仿宋" w:eastAsia="仿宋" w:hAnsi="仿宋" w:cs="仿宋" w:hint="eastAsia"/>
          <w:kern w:val="2"/>
          <w:sz w:val="32"/>
          <w:szCs w:val="32"/>
        </w:rPr>
        <w:t>日起，禁止毒死蜱在蔬菜上使用。</w:t>
      </w:r>
      <w:r>
        <w:rPr>
          <w:rFonts w:ascii="Times New Roman" w:eastAsia="仿宋_GB2312" w:hAnsi="Times New Roman" w:hint="eastAsia"/>
          <w:sz w:val="32"/>
          <w:szCs w:val="32"/>
        </w:rPr>
        <w:t>毒死蜱</w:t>
      </w:r>
      <w:r>
        <w:rPr>
          <w:rFonts w:ascii="Times New Roman" w:eastAsia="仿宋_GB2312" w:hAnsi="Times New Roman" w:hint="eastAsia"/>
          <w:sz w:val="32"/>
          <w:szCs w:val="32"/>
        </w:rPr>
        <w:t>超标的主要原因可能是种植过程中为控制病虫害</w:t>
      </w:r>
      <w:r>
        <w:rPr>
          <w:rFonts w:ascii="Times New Roman" w:eastAsia="仿宋_GB2312" w:hAnsi="Times New Roman" w:hint="eastAsia"/>
          <w:sz w:val="32"/>
          <w:szCs w:val="32"/>
        </w:rPr>
        <w:t>而违规</w:t>
      </w:r>
      <w:r>
        <w:rPr>
          <w:rFonts w:ascii="Times New Roman" w:eastAsia="仿宋_GB2312" w:hAnsi="Times New Roman" w:hint="eastAsia"/>
          <w:sz w:val="32"/>
          <w:szCs w:val="32"/>
        </w:rPr>
        <w:t>使用</w:t>
      </w:r>
      <w:r>
        <w:rPr>
          <w:rFonts w:ascii="仿宋" w:eastAsia="仿宋" w:hAnsi="仿宋" w:cs="仿宋" w:hint="eastAsia"/>
          <w:kern w:val="2"/>
          <w:sz w:val="32"/>
          <w:szCs w:val="32"/>
        </w:rPr>
        <w:t>。</w:t>
      </w:r>
    </w:p>
    <w:p w:rsidR="003A16ED" w:rsidRDefault="00733E0D">
      <w:pPr>
        <w:pStyle w:val="11"/>
        <w:spacing w:line="400" w:lineRule="exact"/>
        <w:ind w:firstLine="64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、沙丁胺醇</w:t>
      </w:r>
    </w:p>
    <w:p w:rsidR="003A16ED" w:rsidRDefault="00733E0D">
      <w:pPr>
        <w:spacing w:line="4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沙丁胺醇</w:t>
      </w:r>
      <w:r>
        <w:rPr>
          <w:rFonts w:ascii="Times New Roman" w:eastAsia="仿宋_GB2312" w:hAnsi="Times New Roman"/>
          <w:color w:val="000000"/>
          <w:sz w:val="32"/>
          <w:szCs w:val="32"/>
        </w:rPr>
        <w:t>是</w:t>
      </w:r>
      <w:r>
        <w:rPr>
          <w:rFonts w:ascii="Times New Roman" w:eastAsia="仿宋_GB2312" w:hAnsi="Times New Roman"/>
          <w:color w:val="000000"/>
          <w:sz w:val="32"/>
          <w:szCs w:val="32"/>
        </w:rPr>
        <w:t>“</w:t>
      </w:r>
      <w:r>
        <w:rPr>
          <w:rFonts w:ascii="Times New Roman" w:eastAsia="仿宋_GB2312" w:hAnsi="Times New Roman"/>
          <w:color w:val="000000"/>
          <w:sz w:val="32"/>
          <w:szCs w:val="32"/>
        </w:rPr>
        <w:t>瘦肉精</w:t>
      </w:r>
      <w:r>
        <w:rPr>
          <w:rFonts w:ascii="Times New Roman" w:eastAsia="仿宋_GB2312" w:hAnsi="Times New Roman"/>
          <w:color w:val="000000"/>
          <w:sz w:val="32"/>
          <w:szCs w:val="32"/>
        </w:rPr>
        <w:t>”</w:t>
      </w:r>
      <w:r>
        <w:rPr>
          <w:rFonts w:ascii="Times New Roman" w:eastAsia="仿宋_GB2312" w:hAnsi="Times New Roman"/>
          <w:color w:val="000000"/>
          <w:sz w:val="32"/>
          <w:szCs w:val="32"/>
        </w:rPr>
        <w:t>中的</w:t>
      </w:r>
      <w:r>
        <w:rPr>
          <w:rFonts w:ascii="Times New Roman" w:eastAsia="仿宋_GB2312" w:hAnsi="Times New Roman" w:hint="eastAsia"/>
          <w:color w:val="000000"/>
          <w:sz w:val="32"/>
          <w:szCs w:val="32"/>
        </w:rPr>
        <w:t>一种</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属于肾上腺素受体激动剂。</w:t>
      </w:r>
      <w:r>
        <w:rPr>
          <w:rFonts w:ascii="Times New Roman" w:eastAsia="仿宋_GB2312" w:hAnsi="Times New Roman"/>
          <w:color w:val="000000"/>
          <w:sz w:val="32"/>
          <w:szCs w:val="32"/>
        </w:rPr>
        <w:t>该类药物能够促进动物体蛋白质沉积、促进脂肪分解抑制脂肪沉积，提高瘦肉率</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该类药物为</w:t>
      </w:r>
      <w:r>
        <w:rPr>
          <w:rFonts w:ascii="Times New Roman" w:eastAsia="仿宋_GB2312" w:hAnsi="Times New Roman"/>
          <w:color w:val="000000"/>
          <w:sz w:val="32"/>
          <w:szCs w:val="32"/>
        </w:rPr>
        <w:t>“</w:t>
      </w:r>
      <w:r>
        <w:rPr>
          <w:rFonts w:ascii="Times New Roman" w:eastAsia="仿宋_GB2312" w:hAnsi="Times New Roman"/>
          <w:color w:val="000000"/>
          <w:sz w:val="32"/>
          <w:szCs w:val="32"/>
        </w:rPr>
        <w:t>禁止使用的药物，在动物性食品中不得检出</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p>
    <w:p w:rsidR="003A16ED" w:rsidRDefault="00733E0D">
      <w:pPr>
        <w:spacing w:line="400" w:lineRule="exact"/>
        <w:ind w:firstLineChars="200" w:firstLine="592"/>
        <w:rPr>
          <w:rFonts w:ascii="Times New Roman" w:eastAsia="黑体" w:hAnsi="黑体"/>
          <w:spacing w:val="-12"/>
          <w:sz w:val="32"/>
          <w:szCs w:val="32"/>
        </w:rPr>
      </w:pPr>
      <w:r>
        <w:rPr>
          <w:rFonts w:ascii="Times New Roman" w:eastAsia="黑体" w:hAnsi="黑体" w:hint="eastAsia"/>
          <w:spacing w:val="-12"/>
          <w:sz w:val="32"/>
          <w:szCs w:val="32"/>
        </w:rPr>
        <w:t>十一</w:t>
      </w:r>
      <w:r>
        <w:rPr>
          <w:rFonts w:ascii="Times New Roman" w:eastAsia="黑体" w:hAnsi="黑体"/>
          <w:spacing w:val="-12"/>
          <w:sz w:val="32"/>
          <w:szCs w:val="32"/>
        </w:rPr>
        <w:t>、氧氟沙星</w:t>
      </w:r>
    </w:p>
    <w:p w:rsidR="003A16ED" w:rsidRDefault="00733E0D">
      <w:pPr>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氧氟沙星属于氟喹诺酮类药物，因抗菌谱广、抗菌活性</w:t>
      </w:r>
      <w:r>
        <w:rPr>
          <w:rFonts w:ascii="仿宋" w:eastAsia="仿宋" w:hAnsi="仿宋" w:cs="仿宋" w:hint="eastAsia"/>
          <w:kern w:val="0"/>
          <w:sz w:val="32"/>
          <w:szCs w:val="32"/>
        </w:rPr>
        <w:lastRenderedPageBreak/>
        <w:t>强等曾被广泛用于畜禽细菌性疾病的治疗和预防。氧氟沙星项目不合格</w:t>
      </w:r>
      <w:r>
        <w:rPr>
          <w:rFonts w:ascii="仿宋" w:eastAsia="仿宋" w:hAnsi="仿宋" w:cs="仿宋" w:hint="eastAsia"/>
          <w:sz w:val="32"/>
          <w:szCs w:val="32"/>
        </w:rPr>
        <w:t>的主要原因可能是养殖过程中为控制疾病而违规使用。</w:t>
      </w:r>
    </w:p>
    <w:p w:rsidR="003A16ED" w:rsidRDefault="00733E0D">
      <w:pPr>
        <w:pStyle w:val="a4"/>
        <w:widowControl/>
        <w:spacing w:beforeAutospacing="0" w:afterAutospacing="0" w:line="40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十二、铅</w:t>
      </w:r>
    </w:p>
    <w:p w:rsidR="003A16ED" w:rsidRDefault="00733E0D">
      <w:pPr>
        <w:pStyle w:val="a4"/>
        <w:widowControl/>
        <w:spacing w:beforeAutospacing="0" w:afterAutospacing="0" w:line="400" w:lineRule="exact"/>
        <w:ind w:firstLineChars="200" w:firstLine="640"/>
        <w:rPr>
          <w:rFonts w:hint="eastAsia"/>
        </w:rPr>
      </w:pPr>
      <w:r>
        <w:rPr>
          <w:rFonts w:ascii="Times New Roman" w:eastAsia="仿宋_GB2312" w:hAnsi="Times New Roman" w:hint="eastAsia"/>
          <w:kern w:val="2"/>
          <w:sz w:val="32"/>
          <w:szCs w:val="32"/>
        </w:rPr>
        <w:t>铅</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以</w:t>
      </w:r>
      <w:r>
        <w:rPr>
          <w:rFonts w:ascii="Times New Roman" w:eastAsia="仿宋_GB2312" w:hAnsi="Times New Roman" w:hint="eastAsia"/>
          <w:kern w:val="2"/>
          <w:sz w:val="32"/>
          <w:szCs w:val="32"/>
        </w:rPr>
        <w:t>Pb</w:t>
      </w:r>
      <w:r>
        <w:rPr>
          <w:rFonts w:ascii="Times New Roman" w:eastAsia="仿宋_GB2312" w:hAnsi="Times New Roman" w:hint="eastAsia"/>
          <w:kern w:val="2"/>
          <w:sz w:val="32"/>
          <w:szCs w:val="32"/>
        </w:rPr>
        <w:t>计</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是最常见的重金属元素污染物之一。铅超标的原因，可能是原料种植过程中对环境中铅元素的富集，亦可能是食品生产加工过程中加工设备、容器、包装材料中的铅迁移带入。</w:t>
      </w:r>
    </w:p>
    <w:p w:rsidR="003A16ED" w:rsidRDefault="00733E0D">
      <w:pPr>
        <w:spacing w:line="400" w:lineRule="exact"/>
        <w:ind w:firstLineChars="200" w:firstLine="592"/>
        <w:rPr>
          <w:rFonts w:ascii="黑体" w:eastAsia="黑体" w:hAnsi="黑体" w:cs="黑体"/>
          <w:sz w:val="32"/>
          <w:szCs w:val="32"/>
        </w:rPr>
      </w:pPr>
      <w:r>
        <w:rPr>
          <w:rFonts w:ascii="Times New Roman" w:eastAsia="黑体" w:hAnsi="黑体" w:hint="eastAsia"/>
          <w:spacing w:val="-12"/>
          <w:sz w:val="32"/>
          <w:szCs w:val="32"/>
        </w:rPr>
        <w:t>十</w:t>
      </w:r>
      <w:r>
        <w:rPr>
          <w:rFonts w:ascii="Times New Roman" w:eastAsia="黑体" w:hAnsi="黑体" w:hint="eastAsia"/>
          <w:spacing w:val="-12"/>
          <w:sz w:val="32"/>
          <w:szCs w:val="32"/>
        </w:rPr>
        <w:t>三</w:t>
      </w:r>
      <w:r>
        <w:rPr>
          <w:rFonts w:ascii="黑体" w:eastAsia="黑体" w:hAnsi="黑体" w:cs="黑体" w:hint="eastAsia"/>
          <w:sz w:val="32"/>
          <w:szCs w:val="32"/>
        </w:rPr>
        <w:t>、甜蜜素</w:t>
      </w:r>
    </w:p>
    <w:p w:rsidR="003A16ED" w:rsidRDefault="00733E0D">
      <w:pPr>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甜蜜素，其化学名称为环己基氨基磺酸钠，是一种常用的合成甜味剂。甜蜜素超标的原因，可能是</w:t>
      </w:r>
      <w:r>
        <w:rPr>
          <w:rFonts w:ascii="仿宋" w:eastAsia="仿宋" w:hAnsi="仿宋" w:cs="仿宋" w:hint="eastAsia"/>
          <w:sz w:val="32"/>
          <w:szCs w:val="32"/>
        </w:rPr>
        <w:t>个别企业为降低生产成本，同时为改善产品的口感超限量使用，也有可能是原辅料及生产环节把关不严造成。</w:t>
      </w:r>
    </w:p>
    <w:p w:rsidR="003A16ED" w:rsidRDefault="00733E0D">
      <w:pPr>
        <w:spacing w:line="40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四</w:t>
      </w:r>
      <w:r>
        <w:rPr>
          <w:rFonts w:ascii="黑体" w:eastAsia="黑体" w:hAnsi="黑体" w:hint="eastAsia"/>
          <w:sz w:val="32"/>
          <w:szCs w:val="32"/>
        </w:rPr>
        <w:t>、</w:t>
      </w:r>
      <w:r>
        <w:rPr>
          <w:rFonts w:ascii="黑体" w:eastAsia="黑体" w:hAnsi="黑体"/>
          <w:sz w:val="32"/>
          <w:szCs w:val="32"/>
        </w:rPr>
        <w:t>酸价</w:t>
      </w:r>
    </w:p>
    <w:p w:rsidR="003A16ED" w:rsidRDefault="00733E0D">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酸价主要反映食品中的油脂酸败程度。酸价超标会导致食品有哈喇味</w:t>
      </w:r>
      <w:r>
        <w:rPr>
          <w:rFonts w:ascii="Times New Roman" w:eastAsia="仿宋_GB2312" w:hAnsi="Times New Roman" w:hint="eastAsia"/>
          <w:sz w:val="32"/>
          <w:szCs w:val="32"/>
        </w:rPr>
        <w:t>。</w:t>
      </w:r>
      <w:r>
        <w:rPr>
          <w:rFonts w:ascii="Times New Roman" w:eastAsia="仿宋_GB2312" w:hAnsi="Times New Roman"/>
          <w:sz w:val="32"/>
          <w:szCs w:val="32"/>
        </w:rPr>
        <w:t>酸价</w:t>
      </w:r>
      <w:r>
        <w:rPr>
          <w:rFonts w:ascii="Times New Roman" w:eastAsia="仿宋_GB2312" w:hAnsi="Times New Roman" w:hint="eastAsia"/>
          <w:sz w:val="32"/>
          <w:szCs w:val="32"/>
        </w:rPr>
        <w:t>超标</w:t>
      </w:r>
      <w:r>
        <w:rPr>
          <w:rFonts w:ascii="Times New Roman" w:eastAsia="仿宋_GB2312" w:hAnsi="Times New Roman"/>
          <w:sz w:val="32"/>
          <w:szCs w:val="32"/>
        </w:rPr>
        <w:t>的原因，可能</w:t>
      </w:r>
      <w:r>
        <w:rPr>
          <w:rFonts w:ascii="Times New Roman" w:eastAsia="仿宋_GB2312" w:hAnsi="Times New Roman" w:hint="eastAsia"/>
          <w:sz w:val="32"/>
          <w:szCs w:val="32"/>
        </w:rPr>
        <w:t>与</w:t>
      </w:r>
      <w:r>
        <w:rPr>
          <w:rFonts w:ascii="Times New Roman" w:eastAsia="仿宋_GB2312" w:hAnsi="Times New Roman"/>
          <w:sz w:val="32"/>
          <w:szCs w:val="32"/>
        </w:rPr>
        <w:t>企业原料采购把关不严、生产工艺不达标、产品储藏条件不当</w:t>
      </w:r>
      <w:r>
        <w:rPr>
          <w:rFonts w:ascii="Times New Roman" w:eastAsia="仿宋_GB2312" w:hAnsi="Times New Roman" w:hint="eastAsia"/>
          <w:sz w:val="32"/>
          <w:szCs w:val="32"/>
        </w:rPr>
        <w:t>等</w:t>
      </w:r>
      <w:r>
        <w:rPr>
          <w:rFonts w:ascii="Times New Roman" w:eastAsia="仿宋_GB2312" w:hAnsi="Times New Roman"/>
          <w:sz w:val="32"/>
          <w:szCs w:val="32"/>
        </w:rPr>
        <w:t>有关，特别是存贮温度较高时易导致食品中的脂肪氧化酸败致使酸价超标。</w:t>
      </w:r>
    </w:p>
    <w:p w:rsidR="003A16ED" w:rsidRDefault="00733E0D">
      <w:pPr>
        <w:spacing w:line="400" w:lineRule="exact"/>
        <w:ind w:firstLineChars="200" w:firstLine="640"/>
        <w:jc w:val="left"/>
        <w:rPr>
          <w:rFonts w:ascii="黑体" w:eastAsia="黑体" w:hAnsi="黑体"/>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五</w:t>
      </w:r>
      <w:r>
        <w:rPr>
          <w:rFonts w:ascii="黑体" w:eastAsia="黑体" w:hAnsi="黑体" w:hint="eastAsia"/>
          <w:sz w:val="32"/>
          <w:szCs w:val="32"/>
        </w:rPr>
        <w:t>、大肠菌群</w:t>
      </w:r>
    </w:p>
    <w:p w:rsidR="003A16ED" w:rsidRDefault="00733E0D">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大肠菌群是国内外通用的食品污染常用指示菌之一。造成</w:t>
      </w:r>
      <w:r>
        <w:rPr>
          <w:rFonts w:ascii="Times New Roman" w:eastAsia="仿宋_GB2312" w:hAnsi="Times New Roman" w:hint="eastAsia"/>
          <w:sz w:val="32"/>
          <w:szCs w:val="32"/>
        </w:rPr>
        <w:t>复用餐饮具</w:t>
      </w:r>
      <w:r>
        <w:rPr>
          <w:rFonts w:ascii="Times New Roman" w:eastAsia="仿宋_GB2312" w:hAnsi="Times New Roman"/>
          <w:sz w:val="32"/>
          <w:szCs w:val="32"/>
        </w:rPr>
        <w:t>大肠菌群</w:t>
      </w:r>
      <w:r>
        <w:rPr>
          <w:rFonts w:ascii="Times New Roman" w:eastAsia="仿宋_GB2312" w:hAnsi="Times New Roman" w:hint="eastAsia"/>
          <w:sz w:val="32"/>
          <w:szCs w:val="32"/>
        </w:rPr>
        <w:t>不合格</w:t>
      </w:r>
      <w:r>
        <w:rPr>
          <w:rFonts w:ascii="Times New Roman" w:eastAsia="仿宋_GB2312" w:hAnsi="Times New Roman"/>
          <w:sz w:val="32"/>
          <w:szCs w:val="32"/>
        </w:rPr>
        <w:t>的原因，可能是</w:t>
      </w:r>
      <w:r>
        <w:rPr>
          <w:rFonts w:ascii="Times New Roman" w:eastAsia="仿宋_GB2312" w:hAnsi="Times New Roman" w:hint="eastAsia"/>
          <w:sz w:val="32"/>
          <w:szCs w:val="32"/>
        </w:rPr>
        <w:t>清洗、消毒不彻底，或存放过程中受到污染等</w:t>
      </w:r>
      <w:r>
        <w:rPr>
          <w:rFonts w:ascii="Times New Roman" w:eastAsia="仿宋_GB2312" w:hAnsi="Times New Roman"/>
          <w:sz w:val="32"/>
          <w:szCs w:val="32"/>
        </w:rPr>
        <w:t>。</w:t>
      </w:r>
    </w:p>
    <w:p w:rsidR="003A16ED" w:rsidRDefault="00733E0D">
      <w:pPr>
        <w:spacing w:line="400" w:lineRule="exact"/>
        <w:ind w:firstLineChars="200" w:firstLine="640"/>
        <w:rPr>
          <w:rFonts w:ascii="黑体" w:eastAsia="黑体" w:hAnsi="黑体"/>
          <w:sz w:val="32"/>
          <w:szCs w:val="32"/>
        </w:rPr>
      </w:pPr>
      <w:r>
        <w:rPr>
          <w:rFonts w:ascii="黑体" w:eastAsia="黑体" w:hAnsi="黑体" w:hint="eastAsia"/>
          <w:sz w:val="32"/>
          <w:szCs w:val="32"/>
        </w:rPr>
        <w:t>十六</w:t>
      </w:r>
      <w:r>
        <w:rPr>
          <w:rFonts w:ascii="黑体" w:eastAsia="黑体" w:hAnsi="黑体" w:hint="eastAsia"/>
          <w:sz w:val="32"/>
          <w:szCs w:val="32"/>
        </w:rPr>
        <w:t>、亚硝酸盐</w:t>
      </w:r>
    </w:p>
    <w:p w:rsidR="003A16ED" w:rsidRDefault="00733E0D">
      <w:pPr>
        <w:spacing w:line="400" w:lineRule="exact"/>
        <w:ind w:firstLineChars="200" w:firstLine="648"/>
        <w:rPr>
          <w:rFonts w:hint="eastAsia"/>
        </w:rPr>
      </w:pPr>
      <w:r>
        <w:rPr>
          <w:rFonts w:ascii="Times New Roman" w:eastAsia="仿宋_GB2312" w:hAnsi="Times New Roman"/>
          <w:spacing w:val="2"/>
          <w:kern w:val="0"/>
          <w:sz w:val="32"/>
          <w:szCs w:val="32"/>
        </w:rPr>
        <w:t>亚硝酸盐，是一类无机化合物的总称，</w:t>
      </w:r>
      <w:r>
        <w:rPr>
          <w:rFonts w:ascii="Times New Roman" w:eastAsia="仿宋_GB2312" w:hAnsi="Times New Roman" w:hint="eastAsia"/>
          <w:spacing w:val="2"/>
          <w:kern w:val="0"/>
          <w:sz w:val="32"/>
          <w:szCs w:val="32"/>
        </w:rPr>
        <w:t>以</w:t>
      </w:r>
      <w:r>
        <w:rPr>
          <w:rFonts w:ascii="Times New Roman" w:eastAsia="仿宋_GB2312" w:hAnsi="Times New Roman"/>
          <w:spacing w:val="2"/>
          <w:kern w:val="0"/>
          <w:sz w:val="32"/>
          <w:szCs w:val="32"/>
        </w:rPr>
        <w:t>亚硝酸钠最</w:t>
      </w:r>
      <w:r>
        <w:rPr>
          <w:rFonts w:ascii="Times New Roman" w:eastAsia="仿宋_GB2312" w:hAnsi="Times New Roman" w:hint="eastAsia"/>
          <w:spacing w:val="2"/>
          <w:kern w:val="0"/>
          <w:sz w:val="32"/>
          <w:szCs w:val="32"/>
        </w:rPr>
        <w:t>为</w:t>
      </w:r>
      <w:r>
        <w:rPr>
          <w:rFonts w:ascii="Times New Roman" w:eastAsia="仿宋_GB2312" w:hAnsi="Times New Roman"/>
          <w:spacing w:val="2"/>
          <w:kern w:val="0"/>
          <w:sz w:val="32"/>
          <w:szCs w:val="32"/>
        </w:rPr>
        <w:t>常见，</w:t>
      </w:r>
      <w:r>
        <w:rPr>
          <w:rFonts w:ascii="Times New Roman" w:eastAsia="仿宋_GB2312" w:hAnsi="Times New Roman" w:hint="eastAsia"/>
          <w:spacing w:val="2"/>
          <w:kern w:val="0"/>
          <w:sz w:val="32"/>
          <w:szCs w:val="32"/>
        </w:rPr>
        <w:t>是自然界中普遍存在的含氮无机化合物</w:t>
      </w:r>
      <w:r>
        <w:rPr>
          <w:rFonts w:ascii="Times New Roman" w:eastAsia="仿宋_GB2312" w:hAnsi="Times New Roman"/>
          <w:spacing w:val="2"/>
          <w:kern w:val="0"/>
          <w:sz w:val="32"/>
          <w:szCs w:val="32"/>
        </w:rPr>
        <w:t>。</w:t>
      </w:r>
      <w:r>
        <w:rPr>
          <w:rFonts w:ascii="仿宋" w:eastAsia="仿宋" w:hAnsi="仿宋" w:cs="仿宋" w:hint="eastAsia"/>
          <w:sz w:val="32"/>
          <w:szCs w:val="32"/>
        </w:rPr>
        <w:t>亚硝酸盐</w:t>
      </w:r>
      <w:r>
        <w:rPr>
          <w:rFonts w:ascii="仿宋_GB2312" w:eastAsia="仿宋_GB2312" w:hAnsi="宋体" w:cs="仿宋_GB2312"/>
          <w:color w:val="000000"/>
          <w:kern w:val="0"/>
          <w:sz w:val="31"/>
          <w:szCs w:val="31"/>
          <w:lang w:bidi="ar"/>
        </w:rPr>
        <w:t>是一种护色剂、防腐剂，</w:t>
      </w:r>
      <w:r>
        <w:rPr>
          <w:rFonts w:ascii="仿宋" w:eastAsia="仿宋" w:hAnsi="仿宋" w:cs="仿宋" w:hint="eastAsia"/>
          <w:sz w:val="32"/>
          <w:szCs w:val="32"/>
        </w:rPr>
        <w:t>一般用于发色作用，使肉制品呈现诱人的鲜红色，提高产品的商品性，此外还有抗氧化和防腐等功效。原卫生部、原国家食品药品监督管理</w:t>
      </w:r>
      <w:r>
        <w:rPr>
          <w:rFonts w:ascii="仿宋" w:eastAsia="仿宋" w:hAnsi="仿宋" w:cs="仿宋" w:hint="eastAsia"/>
          <w:sz w:val="32"/>
          <w:szCs w:val="32"/>
        </w:rPr>
        <w:t>总</w:t>
      </w:r>
      <w:r>
        <w:rPr>
          <w:rFonts w:ascii="仿宋" w:eastAsia="仿宋" w:hAnsi="仿宋" w:cs="仿宋" w:hint="eastAsia"/>
          <w:sz w:val="32"/>
          <w:szCs w:val="32"/>
        </w:rPr>
        <w:t>局</w:t>
      </w:r>
      <w:r>
        <w:rPr>
          <w:rFonts w:ascii="仿宋" w:eastAsia="仿宋" w:hAnsi="仿宋" w:cs="仿宋" w:hint="eastAsia"/>
          <w:sz w:val="32"/>
          <w:szCs w:val="32"/>
        </w:rPr>
        <w:t>2012</w:t>
      </w:r>
      <w:r>
        <w:rPr>
          <w:rFonts w:ascii="仿宋" w:eastAsia="仿宋" w:hAnsi="仿宋" w:cs="仿宋" w:hint="eastAsia"/>
          <w:sz w:val="32"/>
          <w:szCs w:val="32"/>
        </w:rPr>
        <w:t>年第</w:t>
      </w:r>
      <w:r>
        <w:rPr>
          <w:rFonts w:ascii="仿宋" w:eastAsia="仿宋" w:hAnsi="仿宋" w:cs="仿宋" w:hint="eastAsia"/>
          <w:sz w:val="32"/>
          <w:szCs w:val="32"/>
        </w:rPr>
        <w:t>10</w:t>
      </w:r>
      <w:r>
        <w:rPr>
          <w:rFonts w:ascii="仿宋" w:eastAsia="仿宋" w:hAnsi="仿宋" w:cs="仿宋" w:hint="eastAsia"/>
          <w:sz w:val="32"/>
          <w:szCs w:val="32"/>
        </w:rPr>
        <w:t>号公告规定，禁止餐饮服务单位采购、贮存、使用食品添加剂亚硝酸盐（亚硝酸钠、亚硝酸钾）</w:t>
      </w:r>
      <w:r>
        <w:rPr>
          <w:rFonts w:ascii="仿宋" w:eastAsia="仿宋" w:hAnsi="仿宋" w:cs="仿宋" w:hint="eastAsia"/>
          <w:sz w:val="32"/>
          <w:szCs w:val="32"/>
        </w:rPr>
        <w:t>。</w:t>
      </w:r>
    </w:p>
    <w:p w:rsidR="003A16ED" w:rsidRDefault="00733E0D">
      <w:pPr>
        <w:spacing w:line="400" w:lineRule="exact"/>
        <w:ind w:firstLineChars="200" w:firstLine="640"/>
        <w:rPr>
          <w:rFonts w:ascii="Times New Roman" w:eastAsia="黑体" w:hAnsi="Times New Roman"/>
          <w:spacing w:val="-12"/>
          <w:sz w:val="32"/>
          <w:szCs w:val="32"/>
        </w:rPr>
      </w:pPr>
      <w:r>
        <w:rPr>
          <w:rFonts w:ascii="黑体" w:eastAsia="黑体" w:hAnsi="黑体" w:hint="eastAsia"/>
          <w:sz w:val="32"/>
          <w:szCs w:val="32"/>
        </w:rPr>
        <w:t>十七</w:t>
      </w:r>
      <w:r>
        <w:rPr>
          <w:rFonts w:ascii="黑体" w:eastAsia="黑体" w:hAnsi="黑体" w:hint="eastAsia"/>
          <w:sz w:val="32"/>
          <w:szCs w:val="32"/>
        </w:rPr>
        <w:t>、</w:t>
      </w:r>
      <w:r>
        <w:rPr>
          <w:rFonts w:ascii="Times New Roman" w:eastAsia="黑体" w:hAnsi="Times New Roman"/>
          <w:spacing w:val="-12"/>
          <w:sz w:val="32"/>
          <w:szCs w:val="32"/>
        </w:rPr>
        <w:t>胭脂红</w:t>
      </w:r>
    </w:p>
    <w:p w:rsidR="003A16ED" w:rsidRDefault="00733E0D">
      <w:pPr>
        <w:pStyle w:val="2"/>
        <w:spacing w:after="0" w:line="400" w:lineRule="exact"/>
        <w:ind w:leftChars="0" w:left="0" w:firstLine="640"/>
        <w:rPr>
          <w:rFonts w:ascii="Times New Roman" w:eastAsia="仿宋_GB2312" w:hAnsi="Times New Roman"/>
          <w:sz w:val="32"/>
          <w:szCs w:val="32"/>
        </w:rPr>
      </w:pPr>
      <w:r>
        <w:rPr>
          <w:rFonts w:ascii="Times New Roman" w:eastAsia="仿宋_GB2312" w:hAnsi="Times New Roman"/>
          <w:sz w:val="32"/>
          <w:szCs w:val="32"/>
        </w:rPr>
        <w:t>胭脂红为水溶性偶氮类着色剂，在食品行业中应用广泛，可改善食品的外观和色泽。</w:t>
      </w:r>
      <w:r>
        <w:rPr>
          <w:rFonts w:ascii="Times New Roman" w:eastAsia="仿宋_GB2312" w:hAnsi="Times New Roman" w:hint="eastAsia"/>
          <w:sz w:val="32"/>
          <w:szCs w:val="32"/>
        </w:rPr>
        <w:t>造成胭脂红</w:t>
      </w:r>
      <w:r>
        <w:rPr>
          <w:rFonts w:ascii="Times New Roman" w:eastAsia="仿宋_GB2312" w:hAnsi="Times New Roman"/>
          <w:sz w:val="32"/>
          <w:szCs w:val="32"/>
        </w:rPr>
        <w:t>不合格</w:t>
      </w:r>
      <w:r>
        <w:rPr>
          <w:rFonts w:ascii="Times New Roman" w:eastAsia="仿宋_GB2312" w:hAnsi="Times New Roman" w:hint="eastAsia"/>
          <w:sz w:val="32"/>
          <w:szCs w:val="32"/>
        </w:rPr>
        <w:t>的</w:t>
      </w:r>
      <w:r>
        <w:rPr>
          <w:rFonts w:ascii="Times New Roman" w:eastAsia="仿宋_GB2312" w:hAnsi="Times New Roman"/>
          <w:sz w:val="32"/>
          <w:szCs w:val="32"/>
        </w:rPr>
        <w:t>原因</w:t>
      </w:r>
      <w:r>
        <w:rPr>
          <w:rFonts w:ascii="Times New Roman" w:eastAsia="仿宋_GB2312" w:hAnsi="Times New Roman" w:hint="eastAsia"/>
          <w:sz w:val="32"/>
          <w:szCs w:val="32"/>
        </w:rPr>
        <w:t>，</w:t>
      </w:r>
      <w:r>
        <w:rPr>
          <w:rFonts w:ascii="Times New Roman" w:eastAsia="仿宋_GB2312" w:hAnsi="Times New Roman"/>
          <w:sz w:val="32"/>
          <w:szCs w:val="32"/>
        </w:rPr>
        <w:lastRenderedPageBreak/>
        <w:t>可能是企业为凸显产品色泽，</w:t>
      </w:r>
      <w:r>
        <w:rPr>
          <w:rFonts w:ascii="Times New Roman" w:eastAsia="仿宋_GB2312" w:hAnsi="Times New Roman" w:hint="eastAsia"/>
          <w:sz w:val="32"/>
          <w:szCs w:val="32"/>
        </w:rPr>
        <w:t>超限量</w:t>
      </w:r>
      <w:r>
        <w:rPr>
          <w:rFonts w:ascii="Times New Roman" w:eastAsia="仿宋_GB2312" w:hAnsi="Times New Roman"/>
          <w:sz w:val="32"/>
          <w:szCs w:val="32"/>
        </w:rPr>
        <w:t>超范围使用胭脂红。</w:t>
      </w:r>
    </w:p>
    <w:p w:rsidR="003A16ED" w:rsidRDefault="00733E0D">
      <w:pPr>
        <w:spacing w:line="4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w:t>
      </w:r>
      <w:r>
        <w:rPr>
          <w:rFonts w:ascii="Times New Roman" w:eastAsia="黑体" w:hAnsi="Times New Roman"/>
          <w:sz w:val="32"/>
          <w:szCs w:val="32"/>
        </w:rPr>
        <w:t>恩诺沙星</w:t>
      </w:r>
    </w:p>
    <w:p w:rsidR="003A16ED" w:rsidRDefault="00733E0D">
      <w:pPr>
        <w:spacing w:line="400" w:lineRule="exact"/>
        <w:ind w:firstLineChars="200" w:firstLine="640"/>
        <w:rPr>
          <w:rFonts w:ascii="仿宋" w:eastAsia="仿宋" w:hAnsi="仿宋" w:cs="仿宋"/>
          <w:sz w:val="32"/>
          <w:szCs w:val="32"/>
        </w:rPr>
      </w:pPr>
      <w:r>
        <w:rPr>
          <w:rFonts w:ascii="Times New Roman" w:eastAsia="仿宋_GB2312" w:hAnsi="Times New Roman"/>
          <w:sz w:val="32"/>
          <w:szCs w:val="32"/>
        </w:rPr>
        <w:t>恩诺沙星属于氟喹诺酮类药物，是一类人工合成的广谱抗菌药，用</w:t>
      </w:r>
      <w:r>
        <w:rPr>
          <w:rFonts w:ascii="Times New Roman" w:eastAsia="仿宋_GB2312" w:hAnsi="Times New Roman" w:hint="eastAsia"/>
          <w:sz w:val="32"/>
          <w:szCs w:val="32"/>
        </w:rPr>
        <w:t>以</w:t>
      </w:r>
      <w:r>
        <w:rPr>
          <w:rFonts w:ascii="Times New Roman" w:eastAsia="仿宋_GB2312" w:hAnsi="Times New Roman"/>
          <w:sz w:val="32"/>
          <w:szCs w:val="32"/>
        </w:rPr>
        <w:t>治疗动物的皮肤感染、呼吸道感染等。恩诺沙星</w:t>
      </w:r>
      <w:r>
        <w:rPr>
          <w:rFonts w:ascii="仿宋" w:eastAsia="仿宋" w:hAnsi="仿宋" w:cs="仿宋" w:hint="eastAsia"/>
          <w:sz w:val="32"/>
          <w:szCs w:val="32"/>
        </w:rPr>
        <w:t>超标的主要原因可能是</w:t>
      </w:r>
      <w:r>
        <w:rPr>
          <w:rFonts w:ascii="仿宋" w:eastAsia="仿宋" w:hAnsi="仿宋" w:cs="仿宋" w:hint="eastAsia"/>
          <w:sz w:val="32"/>
          <w:szCs w:val="32"/>
        </w:rPr>
        <w:t>畜禽</w:t>
      </w:r>
      <w:r>
        <w:rPr>
          <w:rFonts w:ascii="仿宋" w:eastAsia="仿宋" w:hAnsi="仿宋" w:cs="仿宋" w:hint="eastAsia"/>
          <w:sz w:val="32"/>
          <w:szCs w:val="32"/>
        </w:rPr>
        <w:t>养殖过程中</w:t>
      </w:r>
      <w:r>
        <w:rPr>
          <w:rFonts w:ascii="仿宋" w:eastAsia="仿宋" w:hAnsi="仿宋" w:cs="仿宋" w:hint="eastAsia"/>
          <w:sz w:val="32"/>
          <w:szCs w:val="32"/>
        </w:rPr>
        <w:t>为控制</w:t>
      </w:r>
      <w:r>
        <w:rPr>
          <w:rFonts w:ascii="仿宋" w:eastAsia="仿宋" w:hAnsi="仿宋" w:cs="仿宋" w:hint="eastAsia"/>
          <w:sz w:val="32"/>
          <w:szCs w:val="32"/>
        </w:rPr>
        <w:t>疾病</w:t>
      </w:r>
      <w:r>
        <w:rPr>
          <w:rFonts w:ascii="仿宋" w:eastAsia="仿宋" w:hAnsi="仿宋" w:cs="仿宋" w:hint="eastAsia"/>
          <w:sz w:val="32"/>
          <w:szCs w:val="32"/>
        </w:rPr>
        <w:t>超量使用或不遵循休药期规定</w:t>
      </w:r>
      <w:r>
        <w:rPr>
          <w:rFonts w:ascii="仿宋" w:eastAsia="仿宋" w:hAnsi="仿宋" w:cs="仿宋" w:hint="eastAsia"/>
          <w:sz w:val="32"/>
          <w:szCs w:val="32"/>
        </w:rPr>
        <w:t>。</w:t>
      </w:r>
    </w:p>
    <w:p w:rsidR="003A16ED" w:rsidRDefault="00733E0D">
      <w:pPr>
        <w:spacing w:line="40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九</w:t>
      </w:r>
      <w:r>
        <w:rPr>
          <w:rFonts w:ascii="黑体" w:eastAsia="黑体" w:hAnsi="黑体" w:hint="eastAsia"/>
          <w:sz w:val="32"/>
          <w:szCs w:val="32"/>
        </w:rPr>
        <w:t>、果糖和葡萄糖</w:t>
      </w:r>
    </w:p>
    <w:p w:rsidR="003A16ED" w:rsidRDefault="00733E0D">
      <w:pPr>
        <w:pStyle w:val="2"/>
        <w:spacing w:after="0" w:line="400" w:lineRule="exact"/>
        <w:ind w:leftChars="0" w:left="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果糖和葡萄糖是蜂蜜的主要甜味成分和重要质量特性指标。《食品安全国家标准</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蜂蜜》（</w:t>
      </w:r>
      <w:r>
        <w:rPr>
          <w:rFonts w:ascii="Times New Roman" w:eastAsia="仿宋_GB2312" w:hAnsi="Times New Roman" w:hint="eastAsia"/>
          <w:kern w:val="2"/>
          <w:sz w:val="32"/>
          <w:szCs w:val="32"/>
        </w:rPr>
        <w:t>GB 14963-2011</w:t>
      </w:r>
      <w:r>
        <w:rPr>
          <w:rFonts w:ascii="Times New Roman" w:eastAsia="仿宋_GB2312" w:hAnsi="Times New Roman" w:hint="eastAsia"/>
          <w:kern w:val="2"/>
          <w:sz w:val="32"/>
          <w:szCs w:val="32"/>
        </w:rPr>
        <w:t>）规定，蜂蜜中果糖和葡萄糖的含量不得低于</w:t>
      </w:r>
      <w:r>
        <w:rPr>
          <w:rFonts w:ascii="Times New Roman" w:eastAsia="仿宋_GB2312" w:hAnsi="Times New Roman" w:hint="eastAsia"/>
          <w:kern w:val="2"/>
          <w:sz w:val="32"/>
          <w:szCs w:val="32"/>
        </w:rPr>
        <w:t>60%</w:t>
      </w:r>
      <w:r>
        <w:rPr>
          <w:rFonts w:ascii="Times New Roman" w:eastAsia="仿宋_GB2312" w:hAnsi="Times New Roman" w:hint="eastAsia"/>
          <w:kern w:val="2"/>
          <w:sz w:val="32"/>
          <w:szCs w:val="32"/>
        </w:rPr>
        <w:t>。果糖和葡萄糖的含量指标偏低，有可能是蜂蜜没有充分酿造，也有可能是蜂蜜中掺有其他糖类物质。</w:t>
      </w:r>
    </w:p>
    <w:p w:rsidR="003A16ED" w:rsidRDefault="003A16ED">
      <w:pPr>
        <w:spacing w:line="400" w:lineRule="exact"/>
        <w:ind w:firstLineChars="200" w:firstLine="640"/>
        <w:rPr>
          <w:rFonts w:ascii="Times New Roman" w:eastAsia="仿宋_GB2312" w:hAnsi="Times New Roman"/>
          <w:sz w:val="32"/>
          <w:szCs w:val="32"/>
        </w:rPr>
      </w:pPr>
    </w:p>
    <w:p w:rsidR="003A16ED" w:rsidRDefault="003A16ED">
      <w:pPr>
        <w:spacing w:line="400" w:lineRule="exact"/>
        <w:ind w:firstLineChars="200" w:firstLine="640"/>
        <w:rPr>
          <w:rFonts w:ascii="仿宋" w:eastAsia="仿宋" w:hAnsi="仿宋" w:cs="仿宋"/>
          <w:kern w:val="0"/>
          <w:sz w:val="32"/>
          <w:szCs w:val="32"/>
        </w:rPr>
      </w:pPr>
    </w:p>
    <w:p w:rsidR="003A16ED" w:rsidRDefault="003A16ED">
      <w:pPr>
        <w:spacing w:line="400" w:lineRule="exact"/>
        <w:ind w:firstLineChars="200" w:firstLine="480"/>
        <w:rPr>
          <w:rFonts w:ascii="Arial" w:hAnsi="Arial" w:cs="Arial"/>
          <w:color w:val="191919"/>
          <w:sz w:val="24"/>
          <w:szCs w:val="24"/>
          <w:shd w:val="clear" w:color="auto" w:fill="FFFFFF"/>
        </w:rPr>
      </w:pPr>
    </w:p>
    <w:sectPr w:rsidR="003A16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0D" w:rsidRDefault="00733E0D" w:rsidP="00223F78">
      <w:pPr>
        <w:rPr>
          <w:rFonts w:hint="eastAsia"/>
        </w:rPr>
      </w:pPr>
      <w:r>
        <w:separator/>
      </w:r>
    </w:p>
  </w:endnote>
  <w:endnote w:type="continuationSeparator" w:id="0">
    <w:p w:rsidR="00733E0D" w:rsidRDefault="00733E0D" w:rsidP="00223F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0D" w:rsidRDefault="00733E0D" w:rsidP="00223F78">
      <w:pPr>
        <w:rPr>
          <w:rFonts w:hint="eastAsia"/>
        </w:rPr>
      </w:pPr>
      <w:r>
        <w:separator/>
      </w:r>
    </w:p>
  </w:footnote>
  <w:footnote w:type="continuationSeparator" w:id="0">
    <w:p w:rsidR="00733E0D" w:rsidRDefault="00733E0D" w:rsidP="00223F7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014C80"/>
    <w:multiLevelType w:val="singleLevel"/>
    <w:tmpl w:val="FF014C80"/>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23F78"/>
    <w:rsid w:val="00266986"/>
    <w:rsid w:val="003A16ED"/>
    <w:rsid w:val="00733E0D"/>
    <w:rsid w:val="020145AD"/>
    <w:rsid w:val="02461A32"/>
    <w:rsid w:val="049C10E0"/>
    <w:rsid w:val="04E34A6E"/>
    <w:rsid w:val="08381A65"/>
    <w:rsid w:val="091E1E8C"/>
    <w:rsid w:val="096176A1"/>
    <w:rsid w:val="09743E34"/>
    <w:rsid w:val="098C4AD6"/>
    <w:rsid w:val="09AD3D2D"/>
    <w:rsid w:val="0A8A135D"/>
    <w:rsid w:val="0AAB3302"/>
    <w:rsid w:val="0C1A7DE6"/>
    <w:rsid w:val="0C6647C1"/>
    <w:rsid w:val="0D080EEF"/>
    <w:rsid w:val="0DCD408C"/>
    <w:rsid w:val="109C1D15"/>
    <w:rsid w:val="10AE03F8"/>
    <w:rsid w:val="11540BC8"/>
    <w:rsid w:val="14DD132B"/>
    <w:rsid w:val="15D35D91"/>
    <w:rsid w:val="16293424"/>
    <w:rsid w:val="16A5094C"/>
    <w:rsid w:val="16F16139"/>
    <w:rsid w:val="17844181"/>
    <w:rsid w:val="17D16A01"/>
    <w:rsid w:val="1AAE282B"/>
    <w:rsid w:val="1DC60705"/>
    <w:rsid w:val="1DCA15E8"/>
    <w:rsid w:val="1E653698"/>
    <w:rsid w:val="21267DEF"/>
    <w:rsid w:val="214E7B36"/>
    <w:rsid w:val="22EA54E9"/>
    <w:rsid w:val="22EC5749"/>
    <w:rsid w:val="241F67F7"/>
    <w:rsid w:val="24DF7C17"/>
    <w:rsid w:val="27441CC2"/>
    <w:rsid w:val="27DE4DFA"/>
    <w:rsid w:val="29527064"/>
    <w:rsid w:val="29CB062A"/>
    <w:rsid w:val="2D220410"/>
    <w:rsid w:val="2D873E73"/>
    <w:rsid w:val="2DC9409F"/>
    <w:rsid w:val="2E047006"/>
    <w:rsid w:val="2E375ACA"/>
    <w:rsid w:val="2EF84E53"/>
    <w:rsid w:val="30B03B2F"/>
    <w:rsid w:val="311B2AB5"/>
    <w:rsid w:val="32CB30AC"/>
    <w:rsid w:val="352E3F5E"/>
    <w:rsid w:val="37184F83"/>
    <w:rsid w:val="3ABC1FE1"/>
    <w:rsid w:val="3B551BC6"/>
    <w:rsid w:val="3E0B4B63"/>
    <w:rsid w:val="3EA42C16"/>
    <w:rsid w:val="3FF47B42"/>
    <w:rsid w:val="41036A61"/>
    <w:rsid w:val="41E80A47"/>
    <w:rsid w:val="426A6186"/>
    <w:rsid w:val="43A12867"/>
    <w:rsid w:val="43CF2673"/>
    <w:rsid w:val="444C3A23"/>
    <w:rsid w:val="456D64FF"/>
    <w:rsid w:val="45801D20"/>
    <w:rsid w:val="47476A52"/>
    <w:rsid w:val="48117E1B"/>
    <w:rsid w:val="492B5D59"/>
    <w:rsid w:val="4B2702ED"/>
    <w:rsid w:val="4C403DD2"/>
    <w:rsid w:val="4F080B75"/>
    <w:rsid w:val="4F1B116D"/>
    <w:rsid w:val="4F2C65C3"/>
    <w:rsid w:val="5017563D"/>
    <w:rsid w:val="513F6002"/>
    <w:rsid w:val="535D6378"/>
    <w:rsid w:val="54662E91"/>
    <w:rsid w:val="54DA4CA8"/>
    <w:rsid w:val="55D67DAA"/>
    <w:rsid w:val="560E5994"/>
    <w:rsid w:val="56666818"/>
    <w:rsid w:val="58BA776A"/>
    <w:rsid w:val="598A34A9"/>
    <w:rsid w:val="5A515E52"/>
    <w:rsid w:val="5BAE373B"/>
    <w:rsid w:val="5BC33DA8"/>
    <w:rsid w:val="5C4821F4"/>
    <w:rsid w:val="5DAD2E62"/>
    <w:rsid w:val="5F4D5812"/>
    <w:rsid w:val="60A26DA1"/>
    <w:rsid w:val="61117A29"/>
    <w:rsid w:val="612175D9"/>
    <w:rsid w:val="61322CFD"/>
    <w:rsid w:val="61DB1E35"/>
    <w:rsid w:val="61EE24B5"/>
    <w:rsid w:val="645F28A9"/>
    <w:rsid w:val="64F76334"/>
    <w:rsid w:val="65031979"/>
    <w:rsid w:val="656B0542"/>
    <w:rsid w:val="662B3639"/>
    <w:rsid w:val="662C40F5"/>
    <w:rsid w:val="66B21B51"/>
    <w:rsid w:val="697C5C95"/>
    <w:rsid w:val="6B5457C1"/>
    <w:rsid w:val="6EF70921"/>
    <w:rsid w:val="717F3AD3"/>
    <w:rsid w:val="72F102A1"/>
    <w:rsid w:val="73832442"/>
    <w:rsid w:val="74895696"/>
    <w:rsid w:val="75EA0C47"/>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7977A3-DFC5-4B98-A988-4FFDD6CE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kern w:val="0"/>
      <w:szCs w:val="20"/>
    </w:rPr>
  </w:style>
  <w:style w:type="paragraph" w:styleId="a4">
    <w:name w:val="Normal (Web)"/>
    <w:basedOn w:val="a"/>
    <w:uiPriority w:val="99"/>
    <w:unhideWhenUsed/>
    <w:qFormat/>
    <w:pPr>
      <w:spacing w:beforeAutospacing="1" w:afterAutospacing="1"/>
      <w:jc w:val="left"/>
    </w:pPr>
    <w:rPr>
      <w:kern w:val="0"/>
      <w:sz w:val="24"/>
    </w:rPr>
  </w:style>
  <w:style w:type="character" w:styleId="a5">
    <w:name w:val="Hyperlink"/>
    <w:basedOn w:val="a0"/>
    <w:qFormat/>
    <w:rPr>
      <w:color w:val="0000FF"/>
      <w:u w:val="single"/>
    </w:rPr>
  </w:style>
  <w:style w:type="paragraph" w:customStyle="1" w:styleId="10">
    <w:name w:val="列出段落1"/>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styleId="a6">
    <w:name w:val="header"/>
    <w:basedOn w:val="a"/>
    <w:link w:val="Char"/>
    <w:rsid w:val="00223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23F78"/>
    <w:rPr>
      <w:rFonts w:ascii="Calibri" w:hAnsi="Calibri"/>
      <w:kern w:val="2"/>
      <w:sz w:val="18"/>
      <w:szCs w:val="18"/>
    </w:rPr>
  </w:style>
  <w:style w:type="paragraph" w:styleId="a7">
    <w:name w:val="footer"/>
    <w:basedOn w:val="a"/>
    <w:link w:val="Char0"/>
    <w:rsid w:val="00223F78"/>
    <w:pPr>
      <w:tabs>
        <w:tab w:val="center" w:pos="4153"/>
        <w:tab w:val="right" w:pos="8306"/>
      </w:tabs>
      <w:snapToGrid w:val="0"/>
      <w:jc w:val="left"/>
    </w:pPr>
    <w:rPr>
      <w:sz w:val="18"/>
      <w:szCs w:val="18"/>
    </w:rPr>
  </w:style>
  <w:style w:type="character" w:customStyle="1" w:styleId="Char0">
    <w:name w:val="页脚 Char"/>
    <w:basedOn w:val="a0"/>
    <w:link w:val="a7"/>
    <w:rsid w:val="00223F78"/>
    <w:rPr>
      <w:rFonts w:ascii="Calibri" w:hAnsi="Calibri"/>
      <w:kern w:val="2"/>
      <w:sz w:val="18"/>
      <w:szCs w:val="18"/>
    </w:rPr>
  </w:style>
  <w:style w:type="paragraph" w:styleId="a8">
    <w:name w:val="Balloon Text"/>
    <w:basedOn w:val="a"/>
    <w:link w:val="Char1"/>
    <w:rsid w:val="00223F78"/>
    <w:rPr>
      <w:sz w:val="18"/>
      <w:szCs w:val="18"/>
    </w:rPr>
  </w:style>
  <w:style w:type="character" w:customStyle="1" w:styleId="Char1">
    <w:name w:val="批注框文本 Char"/>
    <w:basedOn w:val="a0"/>
    <w:link w:val="a8"/>
    <w:rsid w:val="00223F7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406-yt</dc:creator>
  <cp:lastModifiedBy>Administrator</cp:lastModifiedBy>
  <cp:revision>2</cp:revision>
  <cp:lastPrinted>2020-04-14T06:49:00Z</cp:lastPrinted>
  <dcterms:created xsi:type="dcterms:W3CDTF">2019-10-22T08:11:00Z</dcterms:created>
  <dcterms:modified xsi:type="dcterms:W3CDTF">2020-04-14T06:49:00Z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