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00" w:lineRule="exact"/>
        <w:jc w:val="center"/>
        <w:rPr>
          <w:rFonts w:hint="eastAsia" w:ascii="Times New Roman" w:hAnsi="Times New Roman" w:eastAsia="黑体" w:cs="Times New Roman"/>
          <w:b/>
          <w:color w:val="000000"/>
          <w:kern w:val="0"/>
          <w:sz w:val="32"/>
          <w:szCs w:val="32"/>
        </w:rPr>
      </w:pPr>
      <w:r>
        <w:rPr>
          <w:rFonts w:hint="eastAsia" w:ascii="Times New Roman" w:hAnsi="Times New Roman" w:eastAsia="黑体" w:cs="Times New Roman"/>
          <w:b/>
          <w:color w:val="000000"/>
          <w:kern w:val="0"/>
          <w:sz w:val="32"/>
          <w:szCs w:val="32"/>
        </w:rPr>
        <w:t>《</w:t>
      </w:r>
      <w:r>
        <w:rPr>
          <w:rFonts w:hint="eastAsia" w:ascii="Times New Roman" w:hAnsi="Times New Roman" w:eastAsia="黑体" w:cs="Times New Roman"/>
          <w:b/>
          <w:color w:val="000000"/>
          <w:kern w:val="0"/>
          <w:sz w:val="32"/>
          <w:szCs w:val="32"/>
        </w:rPr>
        <w:t>春玉米化控抗寒促熟技术规程</w:t>
      </w:r>
      <w:r>
        <w:rPr>
          <w:rFonts w:hint="eastAsia" w:ascii="Times New Roman" w:hAnsi="Times New Roman" w:eastAsia="黑体" w:cs="Times New Roman"/>
          <w:b/>
          <w:color w:val="000000"/>
          <w:kern w:val="0"/>
          <w:sz w:val="32"/>
          <w:szCs w:val="32"/>
        </w:rPr>
        <w:t>》</w:t>
      </w:r>
    </w:p>
    <w:p>
      <w:pPr>
        <w:widowControl/>
        <w:shd w:val="clear" w:color="auto" w:fill="FFFFFF"/>
        <w:spacing w:line="400" w:lineRule="exact"/>
        <w:jc w:val="center"/>
        <w:rPr>
          <w:rFonts w:hint="eastAsia" w:ascii="Times New Roman" w:hAnsi="Times New Roman" w:eastAsia="黑体" w:cs="Times New Roman"/>
          <w:b/>
          <w:color w:val="000000"/>
          <w:kern w:val="0"/>
          <w:sz w:val="32"/>
          <w:szCs w:val="32"/>
        </w:rPr>
      </w:pPr>
    </w:p>
    <w:p>
      <w:pPr>
        <w:widowControl/>
        <w:shd w:val="clear" w:color="auto" w:fill="FFFFFF"/>
        <w:spacing w:line="400" w:lineRule="exact"/>
        <w:jc w:val="center"/>
        <w:rPr>
          <w:rFonts w:ascii="Times New Roman" w:hAnsi="Times New Roman" w:eastAsia="黑体" w:cs="Times New Roman"/>
          <w:b/>
          <w:color w:val="000000"/>
          <w:kern w:val="0"/>
          <w:sz w:val="32"/>
          <w:szCs w:val="32"/>
        </w:rPr>
      </w:pPr>
      <w:r>
        <w:rPr>
          <w:rFonts w:hint="eastAsia" w:ascii="Times New Roman" w:hAnsi="Times New Roman" w:eastAsia="黑体" w:cs="Times New Roman"/>
          <w:b/>
          <w:color w:val="000000"/>
          <w:kern w:val="0"/>
          <w:sz w:val="32"/>
          <w:szCs w:val="32"/>
        </w:rPr>
        <w:t>地方</w:t>
      </w:r>
      <w:r>
        <w:rPr>
          <w:rFonts w:ascii="Times New Roman" w:hAnsi="Times New Roman" w:eastAsia="黑体" w:cs="Times New Roman"/>
          <w:b/>
          <w:color w:val="000000"/>
          <w:kern w:val="0"/>
          <w:sz w:val="32"/>
          <w:szCs w:val="32"/>
        </w:rPr>
        <w:t>标准编制说明</w:t>
      </w:r>
    </w:p>
    <w:p>
      <w:pPr>
        <w:widowControl/>
        <w:shd w:val="clear" w:color="auto" w:fill="FFFFFF"/>
        <w:spacing w:line="400" w:lineRule="exact"/>
        <w:jc w:val="center"/>
        <w:rPr>
          <w:rFonts w:ascii="Times New Roman" w:hAnsi="Times New Roman" w:eastAsia="黑体" w:cs="Times New Roman"/>
          <w:color w:val="000000"/>
          <w:kern w:val="0"/>
          <w:szCs w:val="21"/>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hint="eastAsia" w:ascii="Times New Roman" w:hAnsi="宋体" w:eastAsia="宋体" w:cs="Times New Roman"/>
          <w:b/>
          <w:color w:val="000000"/>
          <w:kern w:val="0"/>
          <w:sz w:val="30"/>
          <w:szCs w:val="30"/>
        </w:rPr>
        <w:t>一、工作简况</w:t>
      </w:r>
    </w:p>
    <w:p>
      <w:pPr>
        <w:widowControl/>
        <w:shd w:val="clear" w:color="auto" w:fill="FFFFFF"/>
        <w:spacing w:before="156" w:beforeLines="50" w:line="400" w:lineRule="exact"/>
        <w:ind w:firstLine="482" w:firstLineChars="200"/>
        <w:jc w:val="left"/>
        <w:rPr>
          <w:rFonts w:ascii="Times New Roman" w:hAnsi="宋体" w:eastAsia="宋体" w:cs="Times New Roman"/>
          <w:b/>
          <w:color w:val="000000"/>
          <w:kern w:val="0"/>
          <w:sz w:val="24"/>
          <w:szCs w:val="24"/>
        </w:rPr>
      </w:pPr>
      <w:r>
        <w:rPr>
          <w:rFonts w:hint="eastAsia" w:ascii="Times New Roman" w:hAnsi="宋体" w:eastAsia="宋体" w:cs="Times New Roman"/>
          <w:b/>
          <w:color w:val="000000"/>
          <w:kern w:val="0"/>
          <w:sz w:val="24"/>
          <w:szCs w:val="24"/>
        </w:rPr>
        <w:t>（1）任务来源</w:t>
      </w:r>
    </w:p>
    <w:p>
      <w:pPr>
        <w:spacing w:before="156" w:beforeLines="50"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“十三五</w:t>
      </w:r>
      <w:r>
        <w:rPr>
          <w:rFonts w:ascii="宋体" w:hAnsi="宋体" w:eastAsia="宋体" w:cs="Times New Roman"/>
          <w:sz w:val="24"/>
          <w:szCs w:val="24"/>
        </w:rPr>
        <w:t>”</w:t>
      </w:r>
      <w:r>
        <w:rPr>
          <w:rFonts w:hint="eastAsia" w:ascii="宋体" w:hAnsi="宋体" w:eastAsia="宋体" w:cs="Times New Roman"/>
          <w:sz w:val="24"/>
          <w:szCs w:val="24"/>
        </w:rPr>
        <w:t>以来</w:t>
      </w:r>
      <w:r>
        <w:rPr>
          <w:rFonts w:ascii="宋体" w:hAnsi="宋体" w:eastAsia="宋体" w:cs="Times New Roman"/>
          <w:sz w:val="24"/>
          <w:szCs w:val="24"/>
        </w:rPr>
        <w:t>，</w:t>
      </w:r>
      <w:r>
        <w:rPr>
          <w:rFonts w:hint="eastAsia" w:ascii="宋体" w:hAnsi="宋体" w:eastAsia="宋体" w:cs="Times New Roman"/>
          <w:sz w:val="24"/>
          <w:szCs w:val="24"/>
        </w:rPr>
        <w:t>国家</w:t>
      </w:r>
      <w:r>
        <w:rPr>
          <w:rFonts w:ascii="宋体" w:hAnsi="宋体" w:eastAsia="宋体" w:cs="Times New Roman"/>
          <w:sz w:val="24"/>
          <w:szCs w:val="24"/>
        </w:rPr>
        <w:t>重点研发计划“</w:t>
      </w:r>
      <w:r>
        <w:rPr>
          <w:rFonts w:hint="eastAsia" w:ascii="宋体" w:hAnsi="宋体" w:eastAsia="宋体" w:cs="Times New Roman"/>
          <w:sz w:val="24"/>
          <w:szCs w:val="24"/>
        </w:rPr>
        <w:t>粮丰</w:t>
      </w:r>
      <w:r>
        <w:rPr>
          <w:rFonts w:ascii="宋体" w:hAnsi="宋体" w:eastAsia="宋体" w:cs="Times New Roman"/>
          <w:sz w:val="24"/>
          <w:szCs w:val="24"/>
        </w:rPr>
        <w:t>”</w:t>
      </w:r>
      <w:r>
        <w:rPr>
          <w:rFonts w:hint="eastAsia" w:ascii="宋体" w:hAnsi="宋体" w:eastAsia="宋体" w:cs="Times New Roman"/>
          <w:sz w:val="24"/>
          <w:szCs w:val="24"/>
        </w:rPr>
        <w:t>重点专项</w:t>
      </w:r>
      <w:r>
        <w:rPr>
          <w:rFonts w:ascii="宋体" w:hAnsi="宋体" w:eastAsia="宋体" w:cs="Times New Roman"/>
          <w:sz w:val="24"/>
          <w:szCs w:val="24"/>
        </w:rPr>
        <w:t>“</w:t>
      </w:r>
      <w:r>
        <w:rPr>
          <w:rFonts w:hint="eastAsia" w:ascii="宋体" w:hAnsi="宋体" w:eastAsia="宋体" w:cs="Times New Roman"/>
          <w:sz w:val="24"/>
          <w:szCs w:val="24"/>
        </w:rPr>
        <w:t>东北</w:t>
      </w:r>
      <w:r>
        <w:rPr>
          <w:rFonts w:ascii="宋体" w:hAnsi="宋体" w:eastAsia="宋体" w:cs="Times New Roman"/>
          <w:sz w:val="24"/>
          <w:szCs w:val="24"/>
        </w:rPr>
        <w:t>西部春玉米</w:t>
      </w:r>
      <w:r>
        <w:rPr>
          <w:rFonts w:hint="eastAsia" w:ascii="宋体" w:hAnsi="宋体" w:eastAsia="宋体" w:cs="Times New Roman"/>
          <w:sz w:val="24"/>
          <w:szCs w:val="24"/>
        </w:rPr>
        <w:t>抗逆</w:t>
      </w:r>
      <w:r>
        <w:rPr>
          <w:rFonts w:ascii="宋体" w:hAnsi="宋体" w:eastAsia="宋体" w:cs="Times New Roman"/>
          <w:sz w:val="24"/>
          <w:szCs w:val="24"/>
        </w:rPr>
        <w:t>培肥丰产增效关键技术研究与模式构建”</w:t>
      </w:r>
      <w:r>
        <w:rPr>
          <w:rFonts w:hint="eastAsia" w:ascii="宋体" w:hAnsi="宋体" w:eastAsia="宋体" w:cs="Times New Roman"/>
          <w:sz w:val="24"/>
          <w:szCs w:val="24"/>
        </w:rPr>
        <w:t>项目</w:t>
      </w:r>
      <w:r>
        <w:rPr>
          <w:rFonts w:ascii="宋体" w:hAnsi="宋体" w:eastAsia="宋体" w:cs="Times New Roman"/>
          <w:sz w:val="24"/>
          <w:szCs w:val="24"/>
        </w:rPr>
        <w:t>在</w:t>
      </w:r>
      <w:r>
        <w:rPr>
          <w:rFonts w:hint="eastAsia" w:ascii="宋体" w:hAnsi="宋体" w:eastAsia="宋体" w:cs="Times New Roman"/>
          <w:sz w:val="24"/>
          <w:szCs w:val="24"/>
        </w:rPr>
        <w:t>我区</w:t>
      </w:r>
      <w:r>
        <w:rPr>
          <w:rFonts w:ascii="宋体" w:hAnsi="宋体" w:eastAsia="宋体" w:cs="Times New Roman"/>
          <w:sz w:val="24"/>
          <w:szCs w:val="24"/>
        </w:rPr>
        <w:t>东四盟</w:t>
      </w:r>
      <w:r>
        <w:rPr>
          <w:rFonts w:hint="eastAsia" w:ascii="宋体" w:hAnsi="宋体" w:eastAsia="宋体" w:cs="Times New Roman"/>
          <w:sz w:val="24"/>
          <w:szCs w:val="24"/>
        </w:rPr>
        <w:t>市</w:t>
      </w:r>
      <w:r>
        <w:rPr>
          <w:rFonts w:ascii="宋体" w:hAnsi="宋体" w:eastAsia="宋体" w:cs="Times New Roman"/>
          <w:sz w:val="24"/>
          <w:szCs w:val="24"/>
        </w:rPr>
        <w:t>玉米主产区实施，</w:t>
      </w:r>
      <w:r>
        <w:rPr>
          <w:rFonts w:hint="eastAsia" w:ascii="宋体" w:hAnsi="宋体" w:eastAsia="宋体" w:cs="Times New Roman"/>
          <w:sz w:val="24"/>
          <w:szCs w:val="24"/>
        </w:rPr>
        <w:t>项目</w:t>
      </w:r>
      <w:r>
        <w:rPr>
          <w:rFonts w:ascii="宋体" w:hAnsi="宋体" w:eastAsia="宋体" w:cs="Times New Roman"/>
          <w:sz w:val="24"/>
          <w:szCs w:val="24"/>
        </w:rPr>
        <w:t>的重点</w:t>
      </w:r>
      <w:r>
        <w:rPr>
          <w:rFonts w:hint="eastAsia" w:ascii="宋体" w:hAnsi="宋体" w:eastAsia="宋体" w:cs="Times New Roman"/>
          <w:sz w:val="24"/>
          <w:szCs w:val="24"/>
        </w:rPr>
        <w:t>任务</w:t>
      </w:r>
      <w:r>
        <w:rPr>
          <w:rFonts w:ascii="宋体" w:hAnsi="宋体" w:eastAsia="宋体" w:cs="Times New Roman"/>
          <w:sz w:val="24"/>
          <w:szCs w:val="24"/>
        </w:rPr>
        <w:t>之一是围绕我</w:t>
      </w:r>
      <w:r>
        <w:rPr>
          <w:rFonts w:hint="eastAsia" w:ascii="宋体" w:hAnsi="宋体" w:eastAsia="宋体" w:cs="Times New Roman"/>
          <w:sz w:val="24"/>
          <w:szCs w:val="24"/>
        </w:rPr>
        <w:t>区低温冷害频发而导致的产量降低、玉米生育期延长等</w:t>
      </w:r>
      <w:r>
        <w:rPr>
          <w:rFonts w:ascii="宋体" w:hAnsi="宋体" w:eastAsia="宋体" w:cs="Times New Roman"/>
          <w:sz w:val="24"/>
          <w:szCs w:val="24"/>
        </w:rPr>
        <w:t>问题，开展关键技术</w:t>
      </w:r>
      <w:r>
        <w:rPr>
          <w:rFonts w:hint="eastAsia" w:ascii="宋体" w:hAnsi="宋体" w:eastAsia="宋体" w:cs="Times New Roman"/>
          <w:sz w:val="24"/>
          <w:szCs w:val="24"/>
        </w:rPr>
        <w:t>创新</w:t>
      </w:r>
      <w:r>
        <w:rPr>
          <w:rFonts w:ascii="宋体" w:hAnsi="宋体" w:eastAsia="宋体" w:cs="Times New Roman"/>
          <w:sz w:val="24"/>
          <w:szCs w:val="24"/>
        </w:rPr>
        <w:t>集成</w:t>
      </w:r>
      <w:r>
        <w:rPr>
          <w:rFonts w:hint="eastAsia" w:ascii="宋体" w:hAnsi="宋体" w:eastAsia="宋体" w:cs="Times New Roman"/>
          <w:sz w:val="24"/>
          <w:szCs w:val="24"/>
        </w:rPr>
        <w:t>。</w:t>
      </w:r>
      <w:r>
        <w:rPr>
          <w:rFonts w:ascii="宋体" w:hAnsi="宋体" w:eastAsia="宋体" w:cs="Times New Roman"/>
          <w:sz w:val="24"/>
          <w:szCs w:val="24"/>
        </w:rPr>
        <w:t>为</w:t>
      </w:r>
      <w:r>
        <w:rPr>
          <w:rFonts w:hint="eastAsia" w:ascii="宋体" w:hAnsi="宋体" w:eastAsia="宋体" w:cs="Times New Roman"/>
          <w:sz w:val="24"/>
          <w:szCs w:val="24"/>
        </w:rPr>
        <w:t>解决低温冷害下</w:t>
      </w:r>
      <w:r>
        <w:rPr>
          <w:rFonts w:ascii="宋体" w:hAnsi="宋体" w:eastAsia="宋体" w:cs="Times New Roman"/>
          <w:sz w:val="24"/>
          <w:szCs w:val="24"/>
        </w:rPr>
        <w:t>玉米</w:t>
      </w:r>
      <w:r>
        <w:rPr>
          <w:rFonts w:hint="eastAsia" w:ascii="宋体" w:hAnsi="宋体" w:eastAsia="宋体" w:cs="Times New Roman"/>
          <w:sz w:val="24"/>
          <w:szCs w:val="24"/>
        </w:rPr>
        <w:t>不能正常成熟，造成减产及影响机械化收获的问题</w:t>
      </w:r>
      <w:r>
        <w:rPr>
          <w:rFonts w:ascii="宋体" w:hAnsi="宋体" w:eastAsia="宋体" w:cs="Times New Roman"/>
          <w:sz w:val="24"/>
          <w:szCs w:val="24"/>
        </w:rPr>
        <w:t>，促进我</w:t>
      </w:r>
      <w:r>
        <w:rPr>
          <w:rFonts w:hint="eastAsia" w:ascii="宋体" w:hAnsi="宋体" w:eastAsia="宋体" w:cs="Times New Roman"/>
          <w:sz w:val="24"/>
          <w:szCs w:val="24"/>
        </w:rPr>
        <w:t>区</w:t>
      </w:r>
      <w:r>
        <w:rPr>
          <w:rFonts w:ascii="宋体" w:hAnsi="宋体" w:eastAsia="宋体" w:cs="Times New Roman"/>
          <w:sz w:val="24"/>
          <w:szCs w:val="24"/>
        </w:rPr>
        <w:t>玉米</w:t>
      </w:r>
      <w:r>
        <w:rPr>
          <w:rFonts w:hint="eastAsia" w:ascii="宋体" w:hAnsi="宋体" w:eastAsia="宋体" w:cs="Times New Roman"/>
          <w:sz w:val="24"/>
          <w:szCs w:val="24"/>
        </w:rPr>
        <w:t>生产</w:t>
      </w:r>
      <w:r>
        <w:rPr>
          <w:rFonts w:ascii="宋体" w:hAnsi="宋体" w:eastAsia="宋体" w:cs="Times New Roman"/>
          <w:sz w:val="24"/>
          <w:szCs w:val="24"/>
        </w:rPr>
        <w:t>竞争力提升，在</w:t>
      </w:r>
      <w:r>
        <w:rPr>
          <w:rFonts w:hint="eastAsia" w:ascii="宋体" w:hAnsi="宋体" w:eastAsia="宋体" w:cs="Times New Roman"/>
          <w:sz w:val="24"/>
          <w:szCs w:val="24"/>
        </w:rPr>
        <w:t>“粮丰</w:t>
      </w:r>
      <w:r>
        <w:rPr>
          <w:rFonts w:ascii="宋体" w:hAnsi="宋体" w:eastAsia="宋体" w:cs="Times New Roman"/>
          <w:sz w:val="24"/>
          <w:szCs w:val="24"/>
        </w:rPr>
        <w:t>专项”</w:t>
      </w:r>
      <w:r>
        <w:rPr>
          <w:rFonts w:hint="eastAsia" w:ascii="宋体" w:hAnsi="宋体" w:eastAsia="宋体" w:cs="Times New Roman"/>
          <w:sz w:val="24"/>
          <w:szCs w:val="24"/>
        </w:rPr>
        <w:t>和</w:t>
      </w:r>
      <w:r>
        <w:rPr>
          <w:rFonts w:ascii="宋体" w:hAnsi="宋体" w:eastAsia="宋体" w:cs="Times New Roman"/>
          <w:sz w:val="24"/>
          <w:szCs w:val="24"/>
        </w:rPr>
        <w:t>“</w:t>
      </w:r>
      <w:r>
        <w:rPr>
          <w:rFonts w:hint="eastAsia" w:ascii="宋体" w:hAnsi="宋体" w:eastAsia="宋体" w:cs="Times New Roman"/>
          <w:sz w:val="24"/>
          <w:szCs w:val="24"/>
        </w:rPr>
        <w:t>自治区十大</w:t>
      </w:r>
      <w:r>
        <w:rPr>
          <w:rFonts w:ascii="宋体" w:hAnsi="宋体" w:eastAsia="宋体" w:cs="Times New Roman"/>
          <w:sz w:val="24"/>
          <w:szCs w:val="24"/>
        </w:rPr>
        <w:t>标准化行动”</w:t>
      </w:r>
      <w:r>
        <w:rPr>
          <w:rFonts w:hint="eastAsia" w:ascii="宋体" w:hAnsi="宋体" w:eastAsia="宋体" w:cs="Times New Roman"/>
          <w:sz w:val="24"/>
          <w:szCs w:val="24"/>
        </w:rPr>
        <w:t>的</w:t>
      </w:r>
      <w:r>
        <w:rPr>
          <w:rFonts w:ascii="宋体" w:hAnsi="宋体" w:eastAsia="宋体" w:cs="Times New Roman"/>
          <w:sz w:val="24"/>
          <w:szCs w:val="24"/>
        </w:rPr>
        <w:t>支持下，</w:t>
      </w:r>
      <w:r>
        <w:rPr>
          <w:rFonts w:hint="eastAsia" w:ascii="宋体" w:hAnsi="宋体" w:eastAsia="宋体" w:cs="Times New Roman"/>
          <w:sz w:val="24"/>
          <w:szCs w:val="24"/>
        </w:rPr>
        <w:t>内蒙古</w:t>
      </w:r>
      <w:r>
        <w:rPr>
          <w:rFonts w:ascii="宋体" w:hAnsi="宋体" w:eastAsia="宋体" w:cs="Times New Roman"/>
          <w:sz w:val="24"/>
          <w:szCs w:val="24"/>
        </w:rPr>
        <w:t>农业大学</w:t>
      </w:r>
      <w:r>
        <w:rPr>
          <w:rFonts w:hint="eastAsia" w:ascii="宋体" w:hAnsi="宋体" w:eastAsia="宋体" w:cs="Times New Roman"/>
          <w:sz w:val="24"/>
          <w:szCs w:val="24"/>
        </w:rPr>
        <w:t>与</w:t>
      </w:r>
      <w:r>
        <w:rPr>
          <w:rFonts w:ascii="宋体" w:hAnsi="宋体" w:eastAsia="宋体" w:cs="Times New Roman"/>
          <w:sz w:val="24"/>
          <w:szCs w:val="24"/>
        </w:rPr>
        <w:t>东四盟市农业技术推广部门业务骨干合作，</w:t>
      </w:r>
      <w:r>
        <w:rPr>
          <w:rFonts w:hint="eastAsia" w:ascii="宋体" w:hAnsi="宋体" w:eastAsia="宋体" w:cs="Times New Roman"/>
          <w:sz w:val="24"/>
          <w:szCs w:val="24"/>
        </w:rPr>
        <w:t>研究</w:t>
      </w:r>
      <w:r>
        <w:rPr>
          <w:rFonts w:ascii="宋体" w:hAnsi="宋体" w:eastAsia="宋体" w:cs="Times New Roman"/>
          <w:sz w:val="24"/>
          <w:szCs w:val="24"/>
        </w:rPr>
        <w:t>并</w:t>
      </w:r>
      <w:r>
        <w:rPr>
          <w:rFonts w:hint="eastAsia" w:ascii="宋体" w:hAnsi="宋体" w:eastAsia="宋体" w:cs="Times New Roman"/>
          <w:sz w:val="24"/>
          <w:szCs w:val="24"/>
        </w:rPr>
        <w:t>编制了《玉米化控抗寒促熟技术规程》。</w:t>
      </w:r>
      <w:r>
        <w:rPr>
          <w:rStyle w:val="13"/>
          <w:rFonts w:hint="eastAsia" w:ascii="宋体" w:hAnsi="宋体"/>
          <w:sz w:val="24"/>
          <w:szCs w:val="24"/>
        </w:rPr>
        <w:t>经内蒙古自治区市场监督管理局《关于下达2019年第二批内蒙古自治区地方标准修订项目计划的通知》（内市监标准字〔2019〕300号）批准立项，由内蒙古农业大学</w:t>
      </w:r>
      <w:r>
        <w:rPr>
          <w:rStyle w:val="13"/>
          <w:rFonts w:ascii="宋体" w:hAnsi="宋体"/>
          <w:sz w:val="24"/>
          <w:szCs w:val="24"/>
        </w:rPr>
        <w:t>农学院</w:t>
      </w:r>
      <w:r>
        <w:rPr>
          <w:rStyle w:val="13"/>
          <w:rFonts w:hint="eastAsia" w:ascii="宋体" w:hAnsi="宋体"/>
          <w:sz w:val="24"/>
          <w:szCs w:val="24"/>
        </w:rPr>
        <w:t>负责标准的起草工作。</w:t>
      </w:r>
    </w:p>
    <w:p>
      <w:pPr>
        <w:widowControl/>
        <w:shd w:val="clear" w:color="auto" w:fill="FFFFFF"/>
        <w:spacing w:before="156" w:beforeLines="50" w:line="400" w:lineRule="exact"/>
        <w:ind w:firstLine="482" w:firstLineChars="200"/>
        <w:jc w:val="left"/>
        <w:rPr>
          <w:rFonts w:ascii="Times New Roman" w:hAnsi="宋体" w:eastAsia="宋体" w:cs="Times New Roman"/>
          <w:b/>
          <w:color w:val="000000"/>
          <w:kern w:val="0"/>
          <w:sz w:val="24"/>
          <w:szCs w:val="24"/>
        </w:rPr>
      </w:pPr>
      <w:r>
        <w:rPr>
          <w:rFonts w:hint="eastAsia" w:ascii="Times New Roman" w:hAnsi="宋体" w:eastAsia="宋体" w:cs="Times New Roman"/>
          <w:b/>
          <w:color w:val="000000"/>
          <w:kern w:val="0"/>
          <w:sz w:val="24"/>
          <w:szCs w:val="24"/>
        </w:rPr>
        <w:t>（2）起草单位及协作单位、归口单位</w:t>
      </w:r>
    </w:p>
    <w:p>
      <w:pPr>
        <w:widowControl/>
        <w:shd w:val="clear" w:color="auto" w:fill="FFFFFF"/>
        <w:spacing w:before="156" w:beforeLines="50" w:line="4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本标准由</w:t>
      </w:r>
      <w:r>
        <w:rPr>
          <w:rFonts w:hint="eastAsia" w:ascii="Times New Roman" w:hAnsi="Times New Roman" w:eastAsia="宋体" w:cs="Times New Roman"/>
          <w:sz w:val="24"/>
          <w:szCs w:val="24"/>
        </w:rPr>
        <w:t>内蒙古农业大学农学院</w:t>
      </w:r>
      <w:r>
        <w:rPr>
          <w:rFonts w:ascii="Times New Roman" w:hAnsi="Times New Roman" w:eastAsia="宋体" w:cs="Times New Roman"/>
          <w:sz w:val="24"/>
          <w:szCs w:val="24"/>
        </w:rPr>
        <w:t>提出，</w:t>
      </w:r>
      <w:r>
        <w:rPr>
          <w:rFonts w:hint="eastAsia" w:ascii="Times New Roman" w:hAnsi="Times New Roman" w:eastAsia="宋体" w:cs="Times New Roman"/>
          <w:sz w:val="24"/>
          <w:szCs w:val="24"/>
        </w:rPr>
        <w:t>由呼伦贝尔市农业技术推广服务中心、</w:t>
      </w:r>
      <w:r>
        <w:rPr>
          <w:rFonts w:ascii="Times New Roman" w:hAnsi="Times New Roman" w:eastAsia="宋体" w:cs="Times New Roman"/>
          <w:sz w:val="24"/>
          <w:szCs w:val="24"/>
        </w:rPr>
        <w:t>兴安盟农业技术推广站、通辽市农业技术推广站、赤峰市农业技术推广服务中心</w:t>
      </w:r>
      <w:r>
        <w:rPr>
          <w:rFonts w:hint="eastAsia" w:ascii="Times New Roman" w:hAnsi="Times New Roman" w:eastAsia="宋体" w:cs="Times New Roman"/>
          <w:sz w:val="24"/>
          <w:szCs w:val="24"/>
        </w:rPr>
        <w:t>协作</w:t>
      </w:r>
      <w:r>
        <w:rPr>
          <w:rFonts w:ascii="Times New Roman" w:hAnsi="Times New Roman" w:eastAsia="宋体" w:cs="Times New Roman"/>
          <w:sz w:val="24"/>
          <w:szCs w:val="24"/>
        </w:rPr>
        <w:t>起草。</w:t>
      </w:r>
      <w:r>
        <w:rPr>
          <w:rFonts w:hint="eastAsia" w:ascii="Times New Roman" w:hAnsi="Times New Roman" w:eastAsia="宋体" w:cs="Times New Roman"/>
          <w:sz w:val="24"/>
          <w:szCs w:val="24"/>
        </w:rPr>
        <w:t>本标准归口单位内蒙古自治区农业标准化技术委员会。</w:t>
      </w:r>
    </w:p>
    <w:p>
      <w:pPr>
        <w:widowControl/>
        <w:shd w:val="clear" w:color="auto" w:fill="FFFFFF"/>
        <w:spacing w:before="156" w:beforeLines="50" w:line="400" w:lineRule="exact"/>
        <w:ind w:firstLine="482" w:firstLineChars="200"/>
        <w:jc w:val="left"/>
        <w:rPr>
          <w:rFonts w:ascii="Times New Roman" w:hAnsi="宋体" w:eastAsia="宋体" w:cs="Times New Roman"/>
          <w:b/>
          <w:color w:val="000000"/>
          <w:kern w:val="0"/>
          <w:sz w:val="24"/>
          <w:szCs w:val="24"/>
        </w:rPr>
      </w:pPr>
      <w:r>
        <w:rPr>
          <w:rFonts w:hint="eastAsia" w:ascii="Times New Roman" w:hAnsi="宋体" w:eastAsia="宋体" w:cs="Times New Roman"/>
          <w:b/>
          <w:color w:val="000000"/>
          <w:kern w:val="0"/>
          <w:sz w:val="24"/>
          <w:szCs w:val="24"/>
        </w:rPr>
        <w:t>（3）主要起草人</w:t>
      </w:r>
    </w:p>
    <w:p>
      <w:pPr>
        <w:widowControl/>
        <w:shd w:val="clear" w:color="auto" w:fill="FFFFFF"/>
        <w:spacing w:before="156" w:beforeLines="50" w:line="400" w:lineRule="exact"/>
        <w:ind w:firstLine="496" w:firstLineChars="207"/>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本标准</w:t>
      </w:r>
      <w:r>
        <w:rPr>
          <w:rFonts w:ascii="Times New Roman" w:hAnsi="Times New Roman" w:eastAsia="宋体" w:cs="Times New Roman"/>
          <w:sz w:val="24"/>
          <w:szCs w:val="24"/>
        </w:rPr>
        <w:t>主要起草人</w:t>
      </w:r>
      <w:r>
        <w:rPr>
          <w:rFonts w:hint="eastAsia" w:ascii="Times New Roman" w:hAnsi="Times New Roman" w:eastAsia="宋体" w:cs="Times New Roman"/>
          <w:sz w:val="24"/>
          <w:szCs w:val="24"/>
        </w:rPr>
        <w:t>为：</w:t>
      </w:r>
      <w:r>
        <w:rPr>
          <w:rFonts w:hint="eastAsia" w:ascii="Times New Roman" w:hAnsi="Times New Roman" w:eastAsia="宋体" w:cs="Times New Roman"/>
          <w:szCs w:val="24"/>
        </w:rPr>
        <w:t>王志刚、王振、张宝林、高聚林、廉博、张永胜、王宇飞、刘景秀。</w:t>
      </w:r>
    </w:p>
    <w:p>
      <w:pPr>
        <w:widowControl/>
        <w:shd w:val="clear" w:color="auto" w:fill="FFFFFF"/>
        <w:spacing w:before="156" w:beforeLines="50" w:after="156" w:afterLines="50" w:line="400" w:lineRule="exact"/>
        <w:jc w:val="left"/>
        <w:rPr>
          <w:rFonts w:ascii="Times New Roman" w:hAnsi="Times New Roman" w:eastAsia="宋体" w:cs="Times New Roman"/>
          <w:b/>
          <w:color w:val="000000"/>
          <w:kern w:val="0"/>
          <w:sz w:val="24"/>
          <w:szCs w:val="24"/>
        </w:rPr>
      </w:pPr>
      <w:r>
        <w:rPr>
          <w:rFonts w:ascii="Times New Roman" w:hAnsi="宋体" w:eastAsia="宋体" w:cs="Times New Roman"/>
          <w:b/>
          <w:color w:val="000000"/>
          <w:kern w:val="0"/>
          <w:sz w:val="30"/>
          <w:szCs w:val="30"/>
        </w:rPr>
        <w:t>二</w:t>
      </w:r>
      <w:r>
        <w:rPr>
          <w:rFonts w:hint="eastAsia" w:ascii="Times New Roman" w:hAnsi="宋体" w:eastAsia="宋体" w:cs="Times New Roman"/>
          <w:b/>
          <w:color w:val="000000"/>
          <w:kern w:val="0"/>
          <w:sz w:val="30"/>
          <w:szCs w:val="30"/>
        </w:rPr>
        <w:t>、</w:t>
      </w:r>
      <w:r>
        <w:rPr>
          <w:rFonts w:ascii="Times New Roman" w:hAnsi="宋体" w:eastAsia="宋体" w:cs="Times New Roman"/>
          <w:b/>
          <w:color w:val="000000"/>
          <w:kern w:val="0"/>
          <w:sz w:val="30"/>
          <w:szCs w:val="30"/>
        </w:rPr>
        <w:t>制定标准的必要性和意义</w:t>
      </w:r>
    </w:p>
    <w:p>
      <w:pPr>
        <w:widowControl/>
        <w:shd w:val="clear" w:color="auto" w:fill="FFFFFF"/>
        <w:spacing w:before="50" w:line="400" w:lineRule="exact"/>
        <w:ind w:firstLine="470" w:firstLineChars="196"/>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近年来，在全球气候逐渐变暖为主要特征的大背景下，各种非生物胁迫（低温、干旱、盐碱、涝害等）成为</w:t>
      </w:r>
      <w:r>
        <w:rPr>
          <w:rFonts w:ascii="Times New Roman" w:hAnsi="Times New Roman" w:eastAsia="宋体" w:cs="Times New Roman"/>
          <w:sz w:val="24"/>
          <w:szCs w:val="24"/>
        </w:rPr>
        <w:t>影响粮食产量的重要限制因素。虽然气温升高所致的活动积温有所增加，但人们在过</w:t>
      </w:r>
      <w:r>
        <w:rPr>
          <w:rFonts w:ascii="Times New Roman" w:hAnsi="Times New Roman" w:eastAsia="宋体" w:cs="Times New Roman"/>
          <w:color w:val="000000"/>
          <w:sz w:val="24"/>
          <w:szCs w:val="24"/>
        </w:rPr>
        <w:t>度追求高产的思想下，跨区域选</w:t>
      </w:r>
      <w:r>
        <w:rPr>
          <w:rFonts w:ascii="Times New Roman" w:hAnsi="Times New Roman" w:eastAsia="宋体" w:cs="Times New Roman"/>
          <w:color w:val="000000" w:themeColor="text1"/>
          <w:sz w:val="24"/>
          <w:szCs w:val="24"/>
          <w14:textFill>
            <w14:solidFill>
              <w14:schemeClr w14:val="tx1"/>
            </w14:solidFill>
          </w14:textFill>
        </w:rPr>
        <w:t>种</w:t>
      </w:r>
      <w:r>
        <w:rPr>
          <w:rFonts w:ascii="Times New Roman" w:hAnsi="Times New Roman" w:eastAsia="宋体" w:cs="Times New Roman"/>
          <w:color w:val="000000"/>
          <w:sz w:val="24"/>
          <w:szCs w:val="24"/>
        </w:rPr>
        <w:t>过于晚熟的品种现象愈加严重，减弱了积温增加的效应。植物在低温环境下</w:t>
      </w:r>
      <w:r>
        <w:rPr>
          <w:rFonts w:ascii="Times New Roman" w:hAnsi="Times New Roman" w:eastAsia="宋体" w:cs="Times New Roman"/>
          <w:sz w:val="24"/>
          <w:szCs w:val="24"/>
        </w:rPr>
        <w:t>时</w:t>
      </w:r>
      <w:r>
        <w:rPr>
          <w:rFonts w:ascii="Times New Roman" w:hAnsi="Times New Roman" w:eastAsia="宋体" w:cs="Times New Roman"/>
          <w:color w:val="000000"/>
          <w:sz w:val="24"/>
          <w:szCs w:val="24"/>
        </w:rPr>
        <w:t>，活性氧得到累积，细胞膜受损，整个细胞结构遭到破坏，若低温程度较大，细胞损伤无法修复，植株最终会致死，所以，寒害仍然是影响农作物生长发育和粮食安全生产</w:t>
      </w:r>
      <w:r>
        <w:rPr>
          <w:rFonts w:ascii="Times New Roman" w:hAnsi="Times New Roman" w:eastAsia="宋体" w:cs="Times New Roman"/>
          <w:sz w:val="24"/>
          <w:szCs w:val="24"/>
        </w:rPr>
        <w:t>的</w:t>
      </w:r>
      <w:r>
        <w:rPr>
          <w:rFonts w:ascii="Times New Roman" w:hAnsi="Times New Roman" w:eastAsia="宋体" w:cs="Times New Roman"/>
          <w:color w:val="000000"/>
          <w:sz w:val="24"/>
          <w:szCs w:val="24"/>
        </w:rPr>
        <w:t>最重要的非生物胁迫之一。</w:t>
      </w:r>
    </w:p>
    <w:p>
      <w:pPr>
        <w:widowControl/>
        <w:shd w:val="clear" w:color="auto" w:fill="FFFFFF"/>
        <w:spacing w:before="50" w:line="400" w:lineRule="exact"/>
        <w:ind w:firstLine="470" w:firstLineChars="196"/>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而玉米是一</w:t>
      </w:r>
      <w:r>
        <w:rPr>
          <w:rFonts w:ascii="Times New Roman" w:hAnsi="Times New Roman" w:eastAsia="宋体" w:cs="Times New Roman"/>
          <w:color w:val="000000"/>
          <w:sz w:val="24"/>
          <w:szCs w:val="24"/>
        </w:rPr>
        <w:t>种典型的喜温作物，对温度敏感，其最适生长温度在 18—25</w:t>
      </w:r>
      <w:r>
        <w:rPr>
          <w:rFonts w:hint="eastAsia" w:ascii="宋体" w:hAnsi="宋体" w:eastAsia="宋体" w:cs="宋体"/>
          <w:color w:val="000000"/>
          <w:sz w:val="24"/>
          <w:szCs w:val="24"/>
        </w:rPr>
        <w:t>℃</w:t>
      </w:r>
      <w:r>
        <w:rPr>
          <w:rFonts w:ascii="Times New Roman" w:hAnsi="Times New Roman" w:eastAsia="宋体" w:cs="Times New Roman"/>
          <w:sz w:val="24"/>
          <w:szCs w:val="24"/>
        </w:rPr>
        <w:t>左右</w:t>
      </w:r>
      <w:r>
        <w:rPr>
          <w:rFonts w:ascii="Times New Roman" w:hAnsi="Times New Roman" w:eastAsia="宋体" w:cs="Times New Roman"/>
          <w:color w:val="000000"/>
          <w:sz w:val="24"/>
          <w:szCs w:val="24"/>
        </w:rPr>
        <w:t>，低于 15</w:t>
      </w:r>
      <w:r>
        <w:rPr>
          <w:rFonts w:hint="eastAsia" w:ascii="宋体" w:hAnsi="宋体" w:eastAsia="宋体" w:cs="宋体"/>
          <w:color w:val="000000"/>
          <w:sz w:val="24"/>
          <w:szCs w:val="24"/>
        </w:rPr>
        <w:t>℃</w:t>
      </w:r>
      <w:r>
        <w:rPr>
          <w:rFonts w:ascii="Times New Roman" w:hAnsi="Times New Roman" w:eastAsia="宋体" w:cs="Times New Roman"/>
          <w:color w:val="000000"/>
          <w:sz w:val="24"/>
          <w:szCs w:val="24"/>
        </w:rPr>
        <w:t>玉米生长受到抑制，低于12</w:t>
      </w:r>
      <w:r>
        <w:rPr>
          <w:rFonts w:hint="eastAsia" w:ascii="宋体" w:hAnsi="宋体" w:eastAsia="宋体" w:cs="宋体"/>
          <w:color w:val="000000"/>
          <w:sz w:val="24"/>
          <w:szCs w:val="24"/>
        </w:rPr>
        <w:t>℃</w:t>
      </w:r>
      <w:r>
        <w:rPr>
          <w:rFonts w:ascii="Times New Roman" w:hAnsi="Times New Roman" w:eastAsia="宋体" w:cs="Times New Roman"/>
          <w:color w:val="000000"/>
          <w:sz w:val="24"/>
          <w:szCs w:val="24"/>
        </w:rPr>
        <w:t>将对玉米</w:t>
      </w:r>
      <w:r>
        <w:rPr>
          <w:rFonts w:ascii="Times New Roman" w:hAnsi="Times New Roman" w:eastAsia="宋体" w:cs="Times New Roman"/>
          <w:color w:val="000000" w:themeColor="text1"/>
          <w:sz w:val="24"/>
          <w:szCs w:val="24"/>
          <w14:textFill>
            <w14:solidFill>
              <w14:schemeClr w14:val="tx1"/>
            </w14:solidFill>
          </w14:textFill>
        </w:rPr>
        <w:t>生长发育</w:t>
      </w:r>
      <w:r>
        <w:rPr>
          <w:rFonts w:ascii="Times New Roman" w:hAnsi="Times New Roman" w:eastAsia="宋体" w:cs="Times New Roman"/>
          <w:color w:val="000000"/>
          <w:sz w:val="24"/>
          <w:szCs w:val="24"/>
        </w:rPr>
        <w:t>造成低温损害。东北大部分地区的玉米苗期几乎每年都会受到倒春寒的侵袭，温度过低</w:t>
      </w:r>
      <w:r>
        <w:rPr>
          <w:rFonts w:ascii="Times New Roman" w:hAnsi="Times New Roman" w:eastAsia="宋体" w:cs="Times New Roman"/>
          <w:sz w:val="24"/>
          <w:szCs w:val="24"/>
        </w:rPr>
        <w:t>出</w:t>
      </w:r>
      <w:r>
        <w:rPr>
          <w:rFonts w:ascii="Times New Roman" w:hAnsi="Times New Roman" w:eastAsia="宋体" w:cs="Times New Roman"/>
          <w:color w:val="000000" w:themeColor="text1"/>
          <w:sz w:val="24"/>
          <w:szCs w:val="24"/>
          <w14:textFill>
            <w14:solidFill>
              <w14:schemeClr w14:val="tx1"/>
            </w14:solidFill>
          </w14:textFill>
        </w:rPr>
        <w:t>芽</w:t>
      </w:r>
      <w:r>
        <w:rPr>
          <w:rFonts w:ascii="Times New Roman" w:hAnsi="Times New Roman" w:eastAsia="宋体" w:cs="Times New Roman"/>
          <w:color w:val="000000"/>
          <w:sz w:val="24"/>
          <w:szCs w:val="24"/>
        </w:rPr>
        <w:t>缓慢，影响</w:t>
      </w:r>
      <w:r>
        <w:rPr>
          <w:rFonts w:ascii="Times New Roman" w:hAnsi="Times New Roman" w:eastAsia="宋体" w:cs="Times New Roman"/>
          <w:sz w:val="24"/>
          <w:szCs w:val="24"/>
        </w:rPr>
        <w:t>发芽率和芽势</w:t>
      </w:r>
      <w:r>
        <w:rPr>
          <w:rFonts w:ascii="Times New Roman" w:hAnsi="Times New Roman" w:eastAsia="宋体" w:cs="Times New Roman"/>
          <w:color w:val="000000"/>
          <w:sz w:val="24"/>
          <w:szCs w:val="24"/>
        </w:rPr>
        <w:t>，拱土能力差，导致缺苗</w:t>
      </w:r>
      <w:r>
        <w:rPr>
          <w:rFonts w:ascii="Times New Roman" w:hAnsi="Times New Roman" w:eastAsia="宋体" w:cs="Times New Roman"/>
          <w:sz w:val="24"/>
          <w:szCs w:val="24"/>
        </w:rPr>
        <w:t>断垄</w:t>
      </w:r>
      <w:r>
        <w:rPr>
          <w:rFonts w:ascii="Times New Roman" w:hAnsi="Times New Roman" w:eastAsia="宋体" w:cs="Times New Roman"/>
          <w:color w:val="000000"/>
          <w:sz w:val="24"/>
          <w:szCs w:val="24"/>
        </w:rPr>
        <w:t>，苗期遇到低温，玉米生长缓慢甚至死亡，最终导致作物减产</w:t>
      </w:r>
      <w:r>
        <w:rPr>
          <w:rFonts w:ascii="Times New Roman" w:hAnsi="Times New Roman" w:eastAsia="宋体" w:cs="Times New Roman"/>
          <w:sz w:val="24"/>
          <w:szCs w:val="24"/>
        </w:rPr>
        <w:t>量</w:t>
      </w:r>
      <w:r>
        <w:rPr>
          <w:rFonts w:ascii="Times New Roman" w:hAnsi="Times New Roman" w:eastAsia="宋体" w:cs="Times New Roman"/>
          <w:color w:val="000000"/>
          <w:sz w:val="24"/>
          <w:szCs w:val="24"/>
        </w:rPr>
        <w:t>会达到20%以上。</w:t>
      </w:r>
    </w:p>
    <w:p>
      <w:pPr>
        <w:widowControl/>
        <w:shd w:val="clear" w:color="auto" w:fill="FFFFFF"/>
        <w:spacing w:before="50" w:line="400" w:lineRule="exact"/>
        <w:ind w:firstLine="470" w:firstLineChars="196"/>
        <w:jc w:val="left"/>
        <w:rPr>
          <w:rFonts w:ascii="Times New Roman" w:hAnsi="Times New Roman" w:eastAsia="宋体" w:cs="Times New Roman"/>
          <w:sz w:val="24"/>
          <w:szCs w:val="24"/>
        </w:rPr>
      </w:pPr>
      <w:r>
        <w:rPr>
          <w:rFonts w:ascii="Times New Roman" w:hAnsi="Times New Roman" w:eastAsia="宋体" w:cs="Times New Roman"/>
          <w:color w:val="000000"/>
          <w:sz w:val="24"/>
          <w:szCs w:val="24"/>
        </w:rPr>
        <w:t>根据低温程度的不同，低温胁迫分为两种，0</w:t>
      </w:r>
      <w:r>
        <w:rPr>
          <w:rFonts w:hint="eastAsia" w:ascii="宋体" w:hAnsi="宋体" w:eastAsia="宋体" w:cs="宋体"/>
          <w:color w:val="000000"/>
          <w:sz w:val="24"/>
          <w:szCs w:val="24"/>
        </w:rPr>
        <w:t>℃</w:t>
      </w:r>
      <w:r>
        <w:rPr>
          <w:rFonts w:ascii="Times New Roman" w:hAnsi="Times New Roman" w:eastAsia="宋体" w:cs="Times New Roman"/>
          <w:color w:val="000000"/>
          <w:sz w:val="24"/>
          <w:szCs w:val="24"/>
        </w:rPr>
        <w:t>以下的称为冻害，0</w:t>
      </w:r>
      <w:r>
        <w:rPr>
          <w:rFonts w:hint="eastAsia" w:ascii="宋体" w:hAnsi="宋体" w:eastAsia="宋体" w:cs="宋体"/>
          <w:color w:val="000000"/>
          <w:sz w:val="24"/>
          <w:szCs w:val="24"/>
        </w:rPr>
        <w:t>℃</w:t>
      </w:r>
      <w:r>
        <w:rPr>
          <w:rFonts w:ascii="Times New Roman" w:hAnsi="Times New Roman" w:eastAsia="宋体" w:cs="Times New Roman"/>
          <w:color w:val="000000"/>
          <w:sz w:val="24"/>
          <w:szCs w:val="24"/>
        </w:rPr>
        <w:t>-15</w:t>
      </w:r>
      <w:r>
        <w:rPr>
          <w:rFonts w:hint="eastAsia" w:ascii="宋体" w:hAnsi="宋体" w:eastAsia="宋体" w:cs="宋体"/>
          <w:color w:val="000000"/>
          <w:sz w:val="24"/>
          <w:szCs w:val="24"/>
        </w:rPr>
        <w:t>℃</w:t>
      </w:r>
      <w:r>
        <w:rPr>
          <w:rFonts w:ascii="Times New Roman" w:hAnsi="Times New Roman" w:eastAsia="宋体" w:cs="Times New Roman"/>
          <w:color w:val="000000"/>
          <w:sz w:val="24"/>
          <w:szCs w:val="24"/>
        </w:rPr>
        <w:t>给作物</w:t>
      </w:r>
      <w:r>
        <w:rPr>
          <w:rFonts w:ascii="Times New Roman" w:hAnsi="Times New Roman" w:eastAsia="宋体" w:cs="Times New Roman"/>
          <w:sz w:val="24"/>
          <w:szCs w:val="24"/>
        </w:rPr>
        <w:t>带来</w:t>
      </w:r>
      <w:r>
        <w:rPr>
          <w:rFonts w:ascii="Times New Roman" w:hAnsi="Times New Roman" w:eastAsia="宋体" w:cs="Times New Roman"/>
          <w:color w:val="000000"/>
          <w:sz w:val="24"/>
          <w:szCs w:val="24"/>
        </w:rPr>
        <w:t>的伤害称为冷害，在作物生长生育期内，冻害很少发生，而冷害较为频繁，导致作物胞质很容易成凝胶态，流速变缓，酶活性降低，细胞膜透性增强，胞质外渗等。无论冷害出现在作物的任何一个生长阶段，都会影响作物光合作用，干物质积累，最终给产量和品种</w:t>
      </w:r>
      <w:r>
        <w:rPr>
          <w:rFonts w:ascii="Times New Roman" w:hAnsi="Times New Roman" w:eastAsia="宋体" w:cs="Times New Roman"/>
          <w:sz w:val="24"/>
          <w:szCs w:val="24"/>
        </w:rPr>
        <w:t>特性带来负面影响。</w:t>
      </w:r>
    </w:p>
    <w:p>
      <w:pPr>
        <w:widowControl/>
        <w:shd w:val="clear" w:color="auto" w:fill="FFFFFF"/>
        <w:spacing w:before="50" w:line="400" w:lineRule="exact"/>
        <w:ind w:firstLine="470" w:firstLineChars="196"/>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玉米是我区第一大作物，常年播种面积在5500万亩左右，面积居全国第三、和</w:t>
      </w:r>
      <w:r>
        <w:rPr>
          <w:rFonts w:ascii="Times New Roman" w:hAnsi="Times New Roman" w:eastAsia="宋体" w:cs="Times New Roman"/>
          <w:color w:val="000000"/>
          <w:sz w:val="24"/>
          <w:szCs w:val="24"/>
        </w:rPr>
        <w:t>总产居全国第</w:t>
      </w:r>
      <w:r>
        <w:rPr>
          <w:rFonts w:ascii="Times New Roman" w:hAnsi="Times New Roman" w:eastAsia="宋体" w:cs="Times New Roman"/>
          <w:sz w:val="24"/>
          <w:szCs w:val="24"/>
        </w:rPr>
        <w:t>四</w:t>
      </w:r>
      <w:r>
        <w:rPr>
          <w:rFonts w:ascii="Times New Roman" w:hAnsi="Times New Roman" w:eastAsia="宋体" w:cs="Times New Roman"/>
          <w:color w:val="000000"/>
          <w:sz w:val="24"/>
          <w:szCs w:val="24"/>
        </w:rPr>
        <w:t>位，是我区作为全国6个粮食调出省之一的主要外调商品粮。我区玉米主产区位于东北西部，属于温带季风气候和温带大陆性气候，春季常发生倒春寒等自然灾害，给农业生产造成巨大损失。此外，寒害导致作物长势减缓，生育期延长，后期脱水慢，影响机械化收获，如2017年5月份岭东南大部分地区出现持续低温霜冻天气，使得已出苗的大豆、玉米、油菜及水稻等均遭受不同程度的影响；2019年全区温度偏低，积温不足，使玉米生育期延后10天左右，灌浆不良，产量平均损失10%以上，造成严重经济损失。因此通过相应技术手段实现抗寒促熟，不仅可提高玉米产量，还能缩短玉米熟期，实现机械化</w:t>
      </w:r>
      <w:r>
        <w:rPr>
          <w:rFonts w:ascii="Times New Roman" w:hAnsi="Times New Roman" w:eastAsia="宋体" w:cs="Times New Roman"/>
          <w:sz w:val="24"/>
          <w:szCs w:val="24"/>
        </w:rPr>
        <w:t>适期</w:t>
      </w:r>
      <w:r>
        <w:rPr>
          <w:rFonts w:ascii="Times New Roman" w:hAnsi="Times New Roman" w:eastAsia="宋体" w:cs="Times New Roman"/>
          <w:color w:val="000000"/>
          <w:sz w:val="24"/>
          <w:szCs w:val="24"/>
        </w:rPr>
        <w:t>收获，降低生产成本。</w:t>
      </w:r>
    </w:p>
    <w:p>
      <w:pPr>
        <w:widowControl/>
        <w:shd w:val="clear" w:color="auto" w:fill="FFFFFF"/>
        <w:spacing w:before="50" w:line="400" w:lineRule="exact"/>
        <w:ind w:firstLine="470" w:firstLineChars="196"/>
        <w:jc w:val="left"/>
        <w:rPr>
          <w:rFonts w:ascii="Times New Roman" w:hAnsi="Times New Roman" w:eastAsia="宋体" w:cs="Times New Roman"/>
          <w:color w:val="000000"/>
          <w:szCs w:val="21"/>
        </w:rPr>
      </w:pPr>
      <w:r>
        <w:rPr>
          <w:rFonts w:ascii="Times New Roman" w:hAnsi="Times New Roman" w:eastAsia="宋体" w:cs="Times New Roman"/>
          <w:color w:val="000000"/>
          <w:sz w:val="24"/>
          <w:szCs w:val="24"/>
        </w:rPr>
        <w:t>由于国家和内蒙古自治区尚未出台“玉米化控抗寒促熟技术规程”的标准，因此内蒙古农业大学农学院粮丰课题组为提高春玉米抗寒技术水平，降低寒害损失，需要制定《玉米化控抗寒促熟技术规程》。</w:t>
      </w: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ascii="Times New Roman" w:hAnsi="宋体" w:eastAsia="宋体" w:cs="Times New Roman"/>
          <w:b/>
          <w:color w:val="000000"/>
          <w:kern w:val="0"/>
          <w:sz w:val="30"/>
          <w:szCs w:val="30"/>
        </w:rPr>
        <w:t>三</w:t>
      </w:r>
      <w:r>
        <w:rPr>
          <w:rFonts w:hint="eastAsia" w:ascii="Times New Roman" w:hAnsi="宋体" w:eastAsia="宋体" w:cs="Times New Roman"/>
          <w:b/>
          <w:color w:val="000000"/>
          <w:kern w:val="0"/>
          <w:sz w:val="30"/>
          <w:szCs w:val="30"/>
        </w:rPr>
        <w:t>、</w:t>
      </w:r>
      <w:r>
        <w:rPr>
          <w:rFonts w:ascii="Times New Roman" w:hAnsi="宋体" w:eastAsia="宋体" w:cs="Times New Roman"/>
          <w:b/>
          <w:color w:val="000000"/>
          <w:kern w:val="0"/>
          <w:sz w:val="30"/>
          <w:szCs w:val="30"/>
        </w:rPr>
        <w:t>主要起草过程</w:t>
      </w:r>
    </w:p>
    <w:p>
      <w:pPr>
        <w:spacing w:before="50" w:line="400" w:lineRule="exact"/>
        <w:ind w:firstLine="482" w:firstLineChars="200"/>
        <w:rPr>
          <w:rFonts w:ascii="Times New Roman" w:hAnsi="Times New Roman" w:eastAsia="宋体" w:cs="Times New Roman"/>
          <w:szCs w:val="24"/>
        </w:rPr>
      </w:pPr>
      <w:r>
        <w:rPr>
          <w:rFonts w:ascii="Times New Roman" w:hAnsi="Times New Roman" w:eastAsia="宋体" w:cs="Times New Roman"/>
          <w:b/>
          <w:color w:val="000000"/>
          <w:kern w:val="0"/>
          <w:sz w:val="24"/>
          <w:szCs w:val="24"/>
        </w:rPr>
        <w:t>（1）前期准备</w:t>
      </w:r>
    </w:p>
    <w:p>
      <w:pPr>
        <w:spacing w:before="50"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在国家重点研发计划“粮食丰产增效科技创新”重点专项“东北西部春玉米抗逆培肥丰产增效关键技术研究与模式构建”等项目的支持下，联合中国农科院、内蒙古农牧业科学院、各盟市农科院及内蒙古民族大学等科研单位，围绕寒害、干旱胁迫对玉米生产造成的影响进行了深入研究，发现以东北西部属于寒害频发地区，且寒害等级较高，严重影响当地的玉米生产。经过多年的试验研究，形成了一套针对玉米抗寒促熟的技术体系，为缓解当地玉米低温冷害，提高玉米产质量提供技术支撑。</w:t>
      </w:r>
    </w:p>
    <w:p>
      <w:pPr>
        <w:spacing w:before="50" w:line="400" w:lineRule="exact"/>
        <w:ind w:firstLine="482" w:firstLineChars="200"/>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（2）组成标准起草组、制定工作方案</w:t>
      </w:r>
    </w:p>
    <w:p>
      <w:pPr>
        <w:spacing w:before="50"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由标准提出单位内蒙古农业大学农学院，组织标准起草各单位相关领域的专业技术人员成立标准起草小组，统一领导，明确职责。标准起草组</w:t>
      </w:r>
      <w:r>
        <w:rPr>
          <w:rFonts w:ascii="Times New Roman" w:hAnsi="Times New Roman" w:eastAsia="宋体" w:cs="Times New Roman"/>
          <w:color w:val="000000"/>
          <w:sz w:val="24"/>
          <w:szCs w:val="24"/>
        </w:rPr>
        <w:t>起草小组针对标准中涉及的玉米化控抗寒促熟的相关技术进行了综合分析和多次试验验证</w:t>
      </w:r>
      <w:r>
        <w:rPr>
          <w:rFonts w:ascii="Times New Roman" w:hAnsi="Times New Roman" w:eastAsia="宋体" w:cs="Times New Roman"/>
          <w:sz w:val="24"/>
          <w:szCs w:val="24"/>
        </w:rPr>
        <w:t>，总结并起草了《玉米化控抗寒促熟技术规程》。</w:t>
      </w:r>
    </w:p>
    <w:p>
      <w:pPr>
        <w:spacing w:before="50" w:line="400" w:lineRule="exact"/>
        <w:ind w:firstLine="482" w:firstLineChars="200"/>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（3）完善标准内容，形成标准征求意见稿</w:t>
      </w:r>
    </w:p>
    <w:p>
      <w:pPr>
        <w:widowControl/>
        <w:shd w:val="clear" w:color="auto" w:fill="FFFFFF"/>
        <w:spacing w:before="50" w:line="400" w:lineRule="exact"/>
        <w:ind w:firstLine="470" w:firstLineChars="196"/>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sz w:val="24"/>
          <w:szCs w:val="24"/>
        </w:rPr>
        <w:t>在标准撰写过程中严格按照内蒙古自治区地方标准的编写格式、结构和表述规则撰写标准初稿，并征求了中国农业科学院、内蒙古农牧业科学院等多家科研单位相关</w:t>
      </w:r>
      <w:r>
        <w:rPr>
          <w:rFonts w:ascii="Times New Roman" w:hAnsi="Times New Roman" w:eastAsia="宋体" w:cs="Times New Roman"/>
          <w:sz w:val="24"/>
          <w:szCs w:val="24"/>
        </w:rPr>
        <w:t>科研</w:t>
      </w:r>
      <w:r>
        <w:rPr>
          <w:rFonts w:ascii="Times New Roman" w:hAnsi="Times New Roman" w:eastAsia="宋体" w:cs="Times New Roman"/>
          <w:color w:val="000000"/>
          <w:sz w:val="24"/>
          <w:szCs w:val="24"/>
        </w:rPr>
        <w:t>专家的意见及建议，经起草小组多次讨论、慎重修改，形成了最终的地方标准征求意见稿。</w:t>
      </w:r>
    </w:p>
    <w:p>
      <w:pPr>
        <w:spacing w:before="50" w:line="400" w:lineRule="exact"/>
        <w:ind w:firstLine="482" w:firstLineChars="200"/>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（4）进一步修改完善标准内容，形成标准送审稿</w:t>
      </w:r>
    </w:p>
    <w:p>
      <w:pPr>
        <w:spacing w:before="50"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内蒙古农业大学组织专家对本标准进行评审并提出初步修改意见后，标准起草小组根据专家意见和建议对本标准进行修改完善，形成报批稿。</w:t>
      </w:r>
    </w:p>
    <w:p>
      <w:pPr>
        <w:spacing w:before="50" w:line="400" w:lineRule="exact"/>
        <w:ind w:firstLine="420" w:firstLineChars="200"/>
        <w:rPr>
          <w:rFonts w:ascii="Times New Roman" w:hAnsi="Times New Roman" w:eastAsia="宋体" w:cs="Times New Roman"/>
          <w:szCs w:val="21"/>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ascii="Times New Roman" w:hAnsi="宋体" w:eastAsia="宋体" w:cs="Times New Roman"/>
          <w:b/>
          <w:color w:val="000000"/>
          <w:kern w:val="0"/>
          <w:sz w:val="30"/>
          <w:szCs w:val="30"/>
        </w:rPr>
        <w:t>四</w:t>
      </w:r>
      <w:r>
        <w:rPr>
          <w:rFonts w:hint="eastAsia" w:ascii="Times New Roman" w:hAnsi="宋体" w:eastAsia="宋体" w:cs="Times New Roman"/>
          <w:b/>
          <w:color w:val="000000"/>
          <w:kern w:val="0"/>
          <w:sz w:val="30"/>
          <w:szCs w:val="30"/>
        </w:rPr>
        <w:t>、</w:t>
      </w:r>
      <w:r>
        <w:rPr>
          <w:rFonts w:ascii="Times New Roman" w:hAnsi="宋体" w:eastAsia="宋体" w:cs="Times New Roman"/>
          <w:b/>
          <w:color w:val="000000"/>
          <w:kern w:val="0"/>
          <w:sz w:val="30"/>
          <w:szCs w:val="30"/>
        </w:rPr>
        <w:t>制定标准的原则和依据，与现行法律、法规、标准的关系</w:t>
      </w:r>
    </w:p>
    <w:p>
      <w:pPr>
        <w:widowControl/>
        <w:shd w:val="clear" w:color="auto" w:fill="FFFFFF"/>
        <w:spacing w:before="50" w:line="400" w:lineRule="exact"/>
        <w:ind w:firstLine="482" w:firstLineChars="200"/>
        <w:jc w:val="left"/>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（1）科学性</w:t>
      </w:r>
    </w:p>
    <w:p>
      <w:pPr>
        <w:widowControl/>
        <w:shd w:val="clear" w:color="auto" w:fill="FFFFFF"/>
        <w:spacing w:before="50" w:line="4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本标准的编制以GB/T1</w:t>
      </w:r>
      <w:r>
        <w:rPr>
          <w:rFonts w:ascii="Times New Roman" w:hAnsi="Times New Roman" w:eastAsia="宋体" w:cs="Times New Roman"/>
          <w:color w:val="000000" w:themeColor="text1"/>
          <w:sz w:val="24"/>
          <w:szCs w:val="24"/>
          <w14:textFill>
            <w14:solidFill>
              <w14:schemeClr w14:val="tx1"/>
            </w14:solidFill>
          </w14:textFill>
        </w:rPr>
        <w:t>.1</w:t>
      </w:r>
      <w:r>
        <w:rPr>
          <w:rFonts w:ascii="Times New Roman" w:hAnsi="Times New Roman" w:eastAsia="宋体" w:cs="Times New Roman"/>
          <w:sz w:val="24"/>
          <w:szCs w:val="24"/>
        </w:rPr>
        <w:t>《标准化工作导则》为依据，以实用性、科学性和可操作性为基本原则，面向东北西部地区玉米生产实际，具有良好的推广应用前景，是对内蒙古自治区现行农作物高产栽培技术规程的补充和完善。</w:t>
      </w:r>
    </w:p>
    <w:p>
      <w:pPr>
        <w:widowControl/>
        <w:shd w:val="clear" w:color="auto" w:fill="FFFFFF"/>
        <w:spacing w:before="50" w:line="400" w:lineRule="exact"/>
        <w:ind w:firstLine="482" w:firstLineChars="200"/>
        <w:jc w:val="left"/>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（2）适用性</w:t>
      </w:r>
    </w:p>
    <w:p>
      <w:pPr>
        <w:widowControl/>
        <w:autoSpaceDE w:val="0"/>
        <w:autoSpaceDN w:val="0"/>
        <w:spacing w:before="50"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kern w:val="0"/>
          <w:sz w:val="24"/>
          <w:szCs w:val="24"/>
        </w:rPr>
        <w:t>本标准的编制引用了现行的国家和地方标准，</w:t>
      </w:r>
      <w:r>
        <w:rPr>
          <w:rFonts w:ascii="Times New Roman" w:hAnsi="Times New Roman" w:eastAsia="宋体" w:cs="Times New Roman"/>
          <w:sz w:val="24"/>
          <w:szCs w:val="24"/>
        </w:rPr>
        <w:t>NY/T 1276-2007 农药安全使用规范.总则，NY 618 多•福悬浮种衣剂，NY 619 福•克悬浮种衣剂，NY 620 多•克悬浮种衣剂，NY 621 多•福•克悬浮种衣剂。上述规范性引用文件对于本标准的应用是必不可少的。</w:t>
      </w:r>
    </w:p>
    <w:p>
      <w:pPr>
        <w:widowControl/>
        <w:shd w:val="clear" w:color="auto" w:fill="FFFFFF"/>
        <w:spacing w:before="50" w:line="400" w:lineRule="exact"/>
        <w:ind w:firstLine="482" w:firstLineChars="200"/>
        <w:jc w:val="left"/>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（3）可操作性</w:t>
      </w:r>
    </w:p>
    <w:p>
      <w:pPr>
        <w:spacing w:before="50" w:line="40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本标准的起草以内蒙古农业大学多年从事玉米抗低温冷害化控调节剂的科研结果为基础，经标准起草组实际操作、分析改进、验证落实而形成。标准的初稿又经征求</w:t>
      </w:r>
      <w:r>
        <w:rPr>
          <w:rFonts w:ascii="Times New Roman" w:hAnsi="Times New Roman" w:eastAsia="宋体" w:cs="Times New Roman"/>
          <w:color w:val="000000"/>
          <w:sz w:val="24"/>
          <w:szCs w:val="24"/>
        </w:rPr>
        <w:t>中国农业科学院、内蒙古农牧业科学院等多家科研单位相关科研专家的意见及建议</w:t>
      </w:r>
      <w:r>
        <w:rPr>
          <w:rFonts w:ascii="Times New Roman" w:hAnsi="Times New Roman" w:eastAsia="宋体" w:cs="Times New Roman"/>
          <w:sz w:val="24"/>
          <w:szCs w:val="24"/>
        </w:rPr>
        <w:t>，经多次讨论，慎重修改而形成定稿。对于解决玉米低温冷害促熟的应急措施，极具针对性，可操作性强。</w:t>
      </w:r>
    </w:p>
    <w:p>
      <w:pPr>
        <w:widowControl/>
        <w:shd w:val="clear" w:color="auto" w:fill="FFFFFF"/>
        <w:spacing w:before="50" w:line="400" w:lineRule="exact"/>
        <w:ind w:firstLine="482" w:firstLineChars="200"/>
        <w:jc w:val="left"/>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（4）与现行法律、法规、标准的关系</w:t>
      </w:r>
    </w:p>
    <w:p>
      <w:pPr>
        <w:spacing w:before="50"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本标准是在符合现行中华人民共和国相关法律法规的基础上，参考相关国家标准和行业标准，结合内蒙古自治区农业生产的实际情况，为提高本地区春玉米抵抗低温冷害能力而制定的地方标准。</w:t>
      </w:r>
    </w:p>
    <w:p>
      <w:pPr>
        <w:spacing w:before="50"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ascii="Times New Roman" w:hAnsi="宋体" w:eastAsia="宋体" w:cs="Times New Roman"/>
          <w:b/>
          <w:color w:val="000000"/>
          <w:kern w:val="0"/>
          <w:sz w:val="30"/>
          <w:szCs w:val="30"/>
        </w:rPr>
        <w:t>五</w:t>
      </w:r>
      <w:r>
        <w:rPr>
          <w:rFonts w:hint="eastAsia" w:ascii="Times New Roman" w:hAnsi="宋体" w:eastAsia="宋体" w:cs="Times New Roman"/>
          <w:b/>
          <w:color w:val="000000"/>
          <w:kern w:val="0"/>
          <w:sz w:val="30"/>
          <w:szCs w:val="30"/>
        </w:rPr>
        <w:t>、</w:t>
      </w:r>
      <w:r>
        <w:rPr>
          <w:rFonts w:ascii="Times New Roman" w:hAnsi="宋体" w:eastAsia="宋体" w:cs="Times New Roman"/>
          <w:b/>
          <w:color w:val="000000"/>
          <w:kern w:val="0"/>
          <w:sz w:val="30"/>
          <w:szCs w:val="30"/>
        </w:rPr>
        <w:t> 主要条款的说明，主要技术指标、参数、试验验证的论述</w:t>
      </w:r>
    </w:p>
    <w:p>
      <w:pPr>
        <w:spacing w:before="50" w:line="40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本标准的主要条款如：用于玉米芽期和苗期低温冷害及促熟等问题的技术措施，均为课题组在化控调节剂的筛选与应用试验研究基础上，并不断优化，验证后提出的。</w:t>
      </w:r>
    </w:p>
    <w:p>
      <w:pPr>
        <w:spacing w:before="50" w:line="400" w:lineRule="exact"/>
        <w:ind w:firstLine="480" w:firstLineChars="200"/>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（1）多效唑、氨基寡糖素对芽期低温冷害的调控效果</w:t>
      </w:r>
    </w:p>
    <w:p>
      <w:pPr>
        <w:pStyle w:val="11"/>
        <w:spacing w:before="50" w:line="400" w:lineRule="exact"/>
        <w:ind w:firstLine="480" w:firstLineChars="200"/>
        <w:jc w:val="left"/>
        <w:rPr>
          <w:rFonts w:ascii="Times New Roman" w:hAnsi="Times New Roman" w:eastAsia="宋体" w:cs="Times New Roman"/>
          <w:color w:val="000000" w:themeColor="text1"/>
          <w:szCs w:val="28"/>
          <w14:textFill>
            <w14:solidFill>
              <w14:schemeClr w14:val="tx1"/>
            </w14:solidFill>
          </w14:textFill>
        </w:rPr>
      </w:pPr>
      <w:r>
        <w:rPr>
          <w:rFonts w:ascii="Times New Roman" w:hAnsi="Times New Roman" w:eastAsia="宋体" w:cs="Times New Roman"/>
          <w:color w:val="000000" w:themeColor="text1"/>
          <w:szCs w:val="28"/>
          <w14:textFill>
            <w14:solidFill>
              <w14:schemeClr w14:val="tx1"/>
            </w14:solidFill>
          </w14:textFill>
        </w:rPr>
        <w:t>研究表明，采用多效唑或氨基寡糖素对玉米种子进行浸种处理，可显著提高低温胁迫下玉米种子的发芽率、根长、发芽指数和活力指数，提高发芽整齐度，对芽期玉米低温胁迫有明显调控效果。</w:t>
      </w:r>
    </w:p>
    <w:p>
      <w:pPr>
        <w:pStyle w:val="11"/>
        <w:spacing w:before="312" w:beforeLines="100"/>
        <w:rPr>
          <w:sz w:val="21"/>
          <w:szCs w:val="21"/>
        </w:rPr>
      </w:pPr>
      <w:r>
        <w:rPr>
          <w:rFonts w:cs="宋体"/>
          <w:color w:val="000000"/>
          <w:sz w:val="21"/>
          <w:szCs w:val="21"/>
        </w:rPr>
        <w:t>表1 药剂处理对低温胁迫下科河8种子萌发的</w:t>
      </w:r>
      <w:r>
        <w:rPr>
          <w:rFonts w:hint="eastAsia" w:cs="宋体"/>
          <w:color w:val="000000"/>
          <w:sz w:val="21"/>
          <w:szCs w:val="21"/>
        </w:rPr>
        <w:t>调控效果</w:t>
      </w:r>
    </w:p>
    <w:tbl>
      <w:tblPr>
        <w:tblStyle w:val="6"/>
        <w:tblW w:w="8440" w:type="dxa"/>
        <w:jc w:val="center"/>
        <w:tblInd w:w="0" w:type="dxa"/>
        <w:tblLayout w:type="fixed"/>
        <w:tblCellMar>
          <w:top w:w="0" w:type="dxa"/>
          <w:left w:w="0" w:type="dxa"/>
          <w:bottom w:w="0" w:type="dxa"/>
          <w:right w:w="0" w:type="dxa"/>
        </w:tblCellMar>
      </w:tblPr>
      <w:tblGrid>
        <w:gridCol w:w="1343"/>
        <w:gridCol w:w="1707"/>
        <w:gridCol w:w="1497"/>
        <w:gridCol w:w="1561"/>
        <w:gridCol w:w="1155"/>
        <w:gridCol w:w="1177"/>
      </w:tblGrid>
      <w:tr>
        <w:tblPrEx>
          <w:tblLayout w:type="fixed"/>
          <w:tblCellMar>
            <w:top w:w="0" w:type="dxa"/>
            <w:left w:w="0" w:type="dxa"/>
            <w:bottom w:w="0" w:type="dxa"/>
            <w:right w:w="0" w:type="dxa"/>
          </w:tblCellMar>
        </w:tblPrEx>
        <w:trPr>
          <w:trHeight w:val="312" w:hRule="atLeast"/>
          <w:jc w:val="center"/>
        </w:trPr>
        <w:tc>
          <w:tcPr>
            <w:tcW w:w="1343"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药剂</w:t>
            </w:r>
          </w:p>
        </w:tc>
        <w:tc>
          <w:tcPr>
            <w:tcW w:w="170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浓度（mg/L）</w:t>
            </w:r>
          </w:p>
        </w:tc>
        <w:tc>
          <w:tcPr>
            <w:tcW w:w="149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发芽率</w:t>
            </w:r>
          </w:p>
        </w:tc>
        <w:tc>
          <w:tcPr>
            <w:tcW w:w="1561"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根长（mm）</w:t>
            </w:r>
          </w:p>
        </w:tc>
        <w:tc>
          <w:tcPr>
            <w:tcW w:w="1155"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发芽指数</w:t>
            </w:r>
          </w:p>
        </w:tc>
        <w:tc>
          <w:tcPr>
            <w:tcW w:w="117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活力指数</w:t>
            </w:r>
          </w:p>
        </w:tc>
      </w:tr>
      <w:tr>
        <w:tblPrEx>
          <w:tblLayout w:type="fixed"/>
          <w:tblCellMar>
            <w:top w:w="0" w:type="dxa"/>
            <w:left w:w="0" w:type="dxa"/>
            <w:bottom w:w="0" w:type="dxa"/>
            <w:right w:w="0" w:type="dxa"/>
          </w:tblCellMar>
        </w:tblPrEx>
        <w:trPr>
          <w:trHeight w:val="312" w:hRule="atLeast"/>
          <w:jc w:val="center"/>
        </w:trPr>
        <w:tc>
          <w:tcPr>
            <w:tcW w:w="1343"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CK</w:t>
            </w:r>
          </w:p>
        </w:tc>
        <w:tc>
          <w:tcPr>
            <w:tcW w:w="170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w:t>
            </w:r>
          </w:p>
        </w:tc>
        <w:tc>
          <w:tcPr>
            <w:tcW w:w="149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44.98% b</w:t>
            </w:r>
          </w:p>
        </w:tc>
        <w:tc>
          <w:tcPr>
            <w:tcW w:w="1561"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5.1 a</w:t>
            </w:r>
          </w:p>
        </w:tc>
        <w:tc>
          <w:tcPr>
            <w:tcW w:w="1155"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1.06 bc</w:t>
            </w:r>
          </w:p>
        </w:tc>
        <w:tc>
          <w:tcPr>
            <w:tcW w:w="1177" w:type="dxa"/>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5.39 c</w:t>
            </w:r>
          </w:p>
        </w:tc>
      </w:tr>
      <w:tr>
        <w:tblPrEx>
          <w:tblLayout w:type="fixed"/>
          <w:tblCellMar>
            <w:top w:w="0" w:type="dxa"/>
            <w:left w:w="0" w:type="dxa"/>
            <w:bottom w:w="0" w:type="dxa"/>
            <w:right w:w="0" w:type="dxa"/>
          </w:tblCellMar>
        </w:tblPrEx>
        <w:trPr>
          <w:trHeight w:val="312" w:hRule="atLeast"/>
          <w:jc w:val="center"/>
        </w:trPr>
        <w:tc>
          <w:tcPr>
            <w:tcW w:w="1343" w:type="dxa"/>
            <w:vMerge w:val="restart"/>
            <w:tcBorders>
              <w:top w:val="single" w:color="000000" w:sz="8" w:space="0"/>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bCs/>
                <w:lang w:bidi="ar"/>
              </w:rPr>
              <w:t>多效唑</w:t>
            </w:r>
          </w:p>
        </w:tc>
        <w:tc>
          <w:tcPr>
            <w:tcW w:w="1707" w:type="dxa"/>
            <w:tcBorders>
              <w:top w:val="single" w:color="000000" w:sz="8" w:space="0"/>
              <w:left w:val="nil"/>
              <w:bottom w:val="nil"/>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0.005</w:t>
            </w:r>
          </w:p>
        </w:tc>
        <w:tc>
          <w:tcPr>
            <w:tcW w:w="1497" w:type="dxa"/>
            <w:tcBorders>
              <w:top w:val="single" w:color="000000" w:sz="8" w:space="0"/>
              <w:left w:val="nil"/>
              <w:bottom w:val="nil"/>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58.31% a</w:t>
            </w:r>
          </w:p>
        </w:tc>
        <w:tc>
          <w:tcPr>
            <w:tcW w:w="1561" w:type="dxa"/>
            <w:tcBorders>
              <w:top w:val="single" w:color="000000" w:sz="8" w:space="0"/>
              <w:left w:val="nil"/>
              <w:bottom w:val="nil"/>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4.41 ab</w:t>
            </w:r>
          </w:p>
        </w:tc>
        <w:tc>
          <w:tcPr>
            <w:tcW w:w="1155" w:type="dxa"/>
            <w:tcBorders>
              <w:top w:val="single" w:color="000000" w:sz="8" w:space="0"/>
              <w:left w:val="nil"/>
              <w:bottom w:val="nil"/>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0.82 bc</w:t>
            </w:r>
          </w:p>
        </w:tc>
        <w:tc>
          <w:tcPr>
            <w:tcW w:w="1177" w:type="dxa"/>
            <w:tcBorders>
              <w:top w:val="single" w:color="000000" w:sz="8" w:space="0"/>
              <w:left w:val="nil"/>
              <w:bottom w:val="nil"/>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3.62 c</w:t>
            </w:r>
          </w:p>
        </w:tc>
      </w:tr>
      <w:tr>
        <w:tblPrEx>
          <w:tblLayout w:type="fixed"/>
          <w:tblCellMar>
            <w:top w:w="0" w:type="dxa"/>
            <w:left w:w="0" w:type="dxa"/>
            <w:bottom w:w="0" w:type="dxa"/>
            <w:right w:w="0" w:type="dxa"/>
          </w:tblCellMar>
        </w:tblPrEx>
        <w:trPr>
          <w:trHeight w:val="312" w:hRule="atLeast"/>
          <w:jc w:val="center"/>
        </w:trPr>
        <w:tc>
          <w:tcPr>
            <w:tcW w:w="1343" w:type="dxa"/>
            <w:vMerge w:val="continue"/>
            <w:tcBorders>
              <w:top w:val="single" w:color="000000" w:sz="8" w:space="0"/>
              <w:left w:val="nil"/>
              <w:bottom w:val="single" w:color="000000" w:sz="8" w:space="0"/>
              <w:right w:val="nil"/>
            </w:tcBorders>
            <w:tcMar>
              <w:top w:w="15" w:type="dxa"/>
              <w:left w:w="67" w:type="dxa"/>
              <w:right w:w="67" w:type="dxa"/>
            </w:tcMar>
            <w:vAlign w:val="center"/>
          </w:tcPr>
          <w:p>
            <w:pPr>
              <w:rPr>
                <w:rFonts w:ascii="Times New Roman" w:hAnsi="Times New Roman" w:eastAsia="楷体_GB2312"/>
              </w:rPr>
            </w:pPr>
          </w:p>
        </w:tc>
        <w:tc>
          <w:tcPr>
            <w:tcW w:w="170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0.05</w:t>
            </w:r>
          </w:p>
        </w:tc>
        <w:tc>
          <w:tcPr>
            <w:tcW w:w="149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58.25% a</w:t>
            </w:r>
          </w:p>
        </w:tc>
        <w:tc>
          <w:tcPr>
            <w:tcW w:w="1561"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4.29 ab</w:t>
            </w:r>
          </w:p>
        </w:tc>
        <w:tc>
          <w:tcPr>
            <w:tcW w:w="1155"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0.75 cd</w:t>
            </w:r>
          </w:p>
        </w:tc>
        <w:tc>
          <w:tcPr>
            <w:tcW w:w="117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3.22 c</w:t>
            </w:r>
          </w:p>
        </w:tc>
      </w:tr>
      <w:tr>
        <w:tblPrEx>
          <w:tblLayout w:type="fixed"/>
          <w:tblCellMar>
            <w:top w:w="0" w:type="dxa"/>
            <w:left w:w="0" w:type="dxa"/>
            <w:bottom w:w="0" w:type="dxa"/>
            <w:right w:w="0" w:type="dxa"/>
          </w:tblCellMar>
        </w:tblPrEx>
        <w:trPr>
          <w:trHeight w:val="312" w:hRule="atLeast"/>
          <w:jc w:val="center"/>
        </w:trPr>
        <w:tc>
          <w:tcPr>
            <w:tcW w:w="1343" w:type="dxa"/>
            <w:vMerge w:val="continue"/>
            <w:tcBorders>
              <w:top w:val="single" w:color="000000" w:sz="8" w:space="0"/>
              <w:left w:val="nil"/>
              <w:bottom w:val="single" w:color="000000" w:sz="8" w:space="0"/>
              <w:right w:val="nil"/>
            </w:tcBorders>
            <w:tcMar>
              <w:top w:w="15" w:type="dxa"/>
              <w:left w:w="67" w:type="dxa"/>
              <w:right w:w="67" w:type="dxa"/>
            </w:tcMar>
            <w:vAlign w:val="center"/>
          </w:tcPr>
          <w:p>
            <w:pPr>
              <w:rPr>
                <w:rFonts w:ascii="Times New Roman" w:hAnsi="Times New Roman" w:eastAsia="楷体_GB2312"/>
              </w:rPr>
            </w:pPr>
          </w:p>
        </w:tc>
        <w:tc>
          <w:tcPr>
            <w:tcW w:w="170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0.5</w:t>
            </w:r>
          </w:p>
        </w:tc>
        <w:tc>
          <w:tcPr>
            <w:tcW w:w="149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41.56% bc</w:t>
            </w:r>
          </w:p>
        </w:tc>
        <w:tc>
          <w:tcPr>
            <w:tcW w:w="1561"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3.78 b</w:t>
            </w:r>
          </w:p>
        </w:tc>
        <w:tc>
          <w:tcPr>
            <w:tcW w:w="1155"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0.53 d</w:t>
            </w:r>
          </w:p>
        </w:tc>
        <w:tc>
          <w:tcPr>
            <w:tcW w:w="117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2.00 cd</w:t>
            </w:r>
          </w:p>
        </w:tc>
      </w:tr>
      <w:tr>
        <w:tblPrEx>
          <w:tblLayout w:type="fixed"/>
          <w:tblCellMar>
            <w:top w:w="0" w:type="dxa"/>
            <w:left w:w="0" w:type="dxa"/>
            <w:bottom w:w="0" w:type="dxa"/>
            <w:right w:w="0" w:type="dxa"/>
          </w:tblCellMar>
        </w:tblPrEx>
        <w:trPr>
          <w:trHeight w:val="312" w:hRule="atLeast"/>
          <w:jc w:val="center"/>
        </w:trPr>
        <w:tc>
          <w:tcPr>
            <w:tcW w:w="1343" w:type="dxa"/>
            <w:vMerge w:val="continue"/>
            <w:tcBorders>
              <w:top w:val="single" w:color="000000" w:sz="8" w:space="0"/>
              <w:left w:val="nil"/>
              <w:bottom w:val="single" w:color="000000" w:sz="8" w:space="0"/>
              <w:right w:val="nil"/>
            </w:tcBorders>
            <w:tcMar>
              <w:top w:w="15" w:type="dxa"/>
              <w:left w:w="67" w:type="dxa"/>
              <w:right w:w="67" w:type="dxa"/>
            </w:tcMar>
            <w:vAlign w:val="center"/>
          </w:tcPr>
          <w:p>
            <w:pPr>
              <w:rPr>
                <w:rFonts w:ascii="Times New Roman" w:hAnsi="Times New Roman" w:eastAsia="楷体_GB2312"/>
              </w:rPr>
            </w:pPr>
          </w:p>
        </w:tc>
        <w:tc>
          <w:tcPr>
            <w:tcW w:w="170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w:t>
            </w:r>
          </w:p>
        </w:tc>
        <w:tc>
          <w:tcPr>
            <w:tcW w:w="149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27.63% c</w:t>
            </w:r>
          </w:p>
        </w:tc>
        <w:tc>
          <w:tcPr>
            <w:tcW w:w="1561"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3.25 bc</w:t>
            </w:r>
          </w:p>
        </w:tc>
        <w:tc>
          <w:tcPr>
            <w:tcW w:w="1155"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0.43 d</w:t>
            </w:r>
          </w:p>
        </w:tc>
        <w:tc>
          <w:tcPr>
            <w:tcW w:w="1177" w:type="dxa"/>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1.40 cd</w:t>
            </w:r>
          </w:p>
        </w:tc>
      </w:tr>
      <w:tr>
        <w:tblPrEx>
          <w:tblLayout w:type="fixed"/>
          <w:tblCellMar>
            <w:top w:w="0" w:type="dxa"/>
            <w:left w:w="0" w:type="dxa"/>
            <w:bottom w:w="0" w:type="dxa"/>
            <w:right w:w="0" w:type="dxa"/>
          </w:tblCellMar>
        </w:tblPrEx>
        <w:trPr>
          <w:trHeight w:val="312" w:hRule="atLeast"/>
          <w:jc w:val="center"/>
        </w:trPr>
        <w:tc>
          <w:tcPr>
            <w:tcW w:w="1343" w:type="dxa"/>
            <w:vMerge w:val="continue"/>
            <w:tcBorders>
              <w:top w:val="single" w:color="000000" w:sz="8" w:space="0"/>
              <w:left w:val="nil"/>
              <w:bottom w:val="single" w:color="000000" w:sz="8" w:space="0"/>
              <w:right w:val="nil"/>
            </w:tcBorders>
            <w:tcMar>
              <w:top w:w="15" w:type="dxa"/>
              <w:left w:w="67" w:type="dxa"/>
              <w:right w:w="67" w:type="dxa"/>
            </w:tcMar>
            <w:vAlign w:val="center"/>
          </w:tcPr>
          <w:p>
            <w:pPr>
              <w:rPr>
                <w:rFonts w:ascii="Times New Roman" w:hAnsi="Times New Roman" w:eastAsia="楷体_GB2312"/>
              </w:rPr>
            </w:pPr>
          </w:p>
        </w:tc>
        <w:tc>
          <w:tcPr>
            <w:tcW w:w="1707" w:type="dxa"/>
            <w:tcBorders>
              <w:top w:val="nil"/>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50</w:t>
            </w:r>
          </w:p>
        </w:tc>
        <w:tc>
          <w:tcPr>
            <w:tcW w:w="1497" w:type="dxa"/>
            <w:tcBorders>
              <w:top w:val="nil"/>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1.86% de</w:t>
            </w:r>
          </w:p>
        </w:tc>
        <w:tc>
          <w:tcPr>
            <w:tcW w:w="1561" w:type="dxa"/>
            <w:tcBorders>
              <w:top w:val="nil"/>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2.38 cd</w:t>
            </w:r>
          </w:p>
        </w:tc>
        <w:tc>
          <w:tcPr>
            <w:tcW w:w="1155" w:type="dxa"/>
            <w:tcBorders>
              <w:top w:val="nil"/>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0.05 e</w:t>
            </w:r>
          </w:p>
        </w:tc>
        <w:tc>
          <w:tcPr>
            <w:tcW w:w="1177" w:type="dxa"/>
            <w:tcBorders>
              <w:top w:val="nil"/>
              <w:left w:val="nil"/>
              <w:bottom w:val="single" w:color="000000" w:sz="8" w:space="0"/>
              <w:right w:val="nil"/>
            </w:tcBorders>
            <w:tcMar>
              <w:top w:w="15" w:type="dxa"/>
              <w:left w:w="67" w:type="dxa"/>
              <w:right w:w="67" w:type="dxa"/>
            </w:tcMar>
            <w:vAlign w:val="center"/>
          </w:tcPr>
          <w:p>
            <w:pPr>
              <w:overflowPunct w:val="0"/>
              <w:autoSpaceDE w:val="0"/>
              <w:autoSpaceDN w:val="0"/>
              <w:adjustRightInd w:val="0"/>
              <w:jc w:val="center"/>
              <w:rPr>
                <w:rFonts w:ascii="Times New Roman" w:hAnsi="Times New Roman" w:eastAsia="楷体_GB2312"/>
              </w:rPr>
            </w:pPr>
            <w:r>
              <w:rPr>
                <w:rFonts w:ascii="Times New Roman" w:hAnsi="Times New Roman" w:eastAsia="楷体_GB2312"/>
                <w:lang w:bidi="ar"/>
              </w:rPr>
              <w:t>0.12 e</w:t>
            </w:r>
          </w:p>
        </w:tc>
      </w:tr>
      <w:tr>
        <w:tblPrEx>
          <w:tblLayout w:type="fixed"/>
          <w:tblCellMar>
            <w:top w:w="0" w:type="dxa"/>
            <w:left w:w="0" w:type="dxa"/>
            <w:bottom w:w="0" w:type="dxa"/>
            <w:right w:w="0" w:type="dxa"/>
          </w:tblCellMar>
        </w:tblPrEx>
        <w:trPr>
          <w:trHeight w:val="312" w:hRule="atLeast"/>
        </w:trPr>
        <w:tc>
          <w:tcPr>
            <w:tcW w:w="1343" w:type="dxa"/>
            <w:vMerge w:val="restart"/>
            <w:tcBorders>
              <w:top w:val="single" w:color="000000" w:sz="8" w:space="0"/>
              <w:left w:val="nil"/>
              <w:bottom w:val="single" w:color="000000" w:sz="8" w:space="0"/>
              <w:right w:val="nil"/>
            </w:tcBorders>
            <w:shd w:val="clear" w:color="auto" w:fill="auto"/>
            <w:tcMar>
              <w:top w:w="15" w:type="dxa"/>
              <w:left w:w="67" w:type="dxa"/>
              <w:bottom w:w="0" w:type="dxa"/>
              <w:right w:w="67" w:type="dxa"/>
            </w:tcMar>
            <w:vAlign w:val="center"/>
          </w:tcPr>
          <w:p>
            <w:pPr>
              <w:overflowPunct w:val="0"/>
              <w:autoSpaceDE w:val="0"/>
              <w:autoSpaceDN w:val="0"/>
              <w:adjustRightInd w:val="0"/>
              <w:ind w:left="-214" w:leftChars="-102" w:firstLine="212"/>
              <w:jc w:val="center"/>
              <w:rPr>
                <w:rFonts w:ascii="Times New Roman" w:hAnsi="Times New Roman" w:eastAsia="楷体_GB2312"/>
                <w:bCs/>
                <w:lang w:bidi="ar"/>
              </w:rPr>
            </w:pPr>
            <w:r>
              <w:rPr>
                <w:rFonts w:hint="eastAsia" w:ascii="Times New Roman" w:hAnsi="Times New Roman" w:eastAsia="楷体_GB2312"/>
                <w:bCs/>
                <w:lang w:bidi="ar"/>
              </w:rPr>
              <w:t>氨基寡糖素</w:t>
            </w:r>
          </w:p>
        </w:tc>
        <w:tc>
          <w:tcPr>
            <w:tcW w:w="1707" w:type="dxa"/>
            <w:tcBorders>
              <w:top w:val="single" w:color="000000" w:sz="8" w:space="0"/>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0.00005</w:t>
            </w:r>
          </w:p>
        </w:tc>
        <w:tc>
          <w:tcPr>
            <w:tcW w:w="1497" w:type="dxa"/>
            <w:tcBorders>
              <w:top w:val="single" w:color="000000" w:sz="8" w:space="0"/>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58.17%a</w:t>
            </w:r>
          </w:p>
        </w:tc>
        <w:tc>
          <w:tcPr>
            <w:tcW w:w="1561" w:type="dxa"/>
            <w:tcBorders>
              <w:top w:val="single" w:color="000000" w:sz="8" w:space="0"/>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4.03 ab</w:t>
            </w:r>
          </w:p>
        </w:tc>
        <w:tc>
          <w:tcPr>
            <w:tcW w:w="1155" w:type="dxa"/>
            <w:tcBorders>
              <w:top w:val="single" w:color="000000" w:sz="8" w:space="0"/>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2.24 a</w:t>
            </w:r>
          </w:p>
        </w:tc>
        <w:tc>
          <w:tcPr>
            <w:tcW w:w="1177" w:type="dxa"/>
            <w:tcBorders>
              <w:top w:val="single" w:color="000000" w:sz="8" w:space="0"/>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9.26 a</w:t>
            </w:r>
          </w:p>
        </w:tc>
      </w:tr>
      <w:tr>
        <w:tblPrEx>
          <w:tblLayout w:type="fixed"/>
          <w:tblCellMar>
            <w:top w:w="0" w:type="dxa"/>
            <w:left w:w="0" w:type="dxa"/>
            <w:bottom w:w="0" w:type="dxa"/>
            <w:right w:w="0" w:type="dxa"/>
          </w:tblCellMar>
        </w:tblPrEx>
        <w:trPr>
          <w:trHeight w:val="312" w:hRule="atLeast"/>
        </w:trPr>
        <w:tc>
          <w:tcPr>
            <w:tcW w:w="1343" w:type="dxa"/>
            <w:vMerge w:val="continue"/>
            <w:tcBorders>
              <w:top w:val="single" w:color="000000" w:sz="8" w:space="0"/>
              <w:left w:val="nil"/>
              <w:bottom w:val="single" w:color="000000" w:sz="8" w:space="0"/>
              <w:right w:val="nil"/>
            </w:tcBorders>
            <w:shd w:val="clear" w:color="auto" w:fill="auto"/>
            <w:vAlign w:val="center"/>
          </w:tcPr>
          <w:p/>
        </w:tc>
        <w:tc>
          <w:tcPr>
            <w:tcW w:w="1707" w:type="dxa"/>
            <w:tcBorders>
              <w:top w:val="nil"/>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0.05</w:t>
            </w:r>
          </w:p>
        </w:tc>
        <w:tc>
          <w:tcPr>
            <w:tcW w:w="1497" w:type="dxa"/>
            <w:tcBorders>
              <w:top w:val="nil"/>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46.30%b</w:t>
            </w:r>
          </w:p>
        </w:tc>
        <w:tc>
          <w:tcPr>
            <w:tcW w:w="1561" w:type="dxa"/>
            <w:tcBorders>
              <w:top w:val="nil"/>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4.20 a</w:t>
            </w:r>
          </w:p>
        </w:tc>
        <w:tc>
          <w:tcPr>
            <w:tcW w:w="1155" w:type="dxa"/>
            <w:tcBorders>
              <w:top w:val="nil"/>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1.87 ab</w:t>
            </w:r>
          </w:p>
        </w:tc>
        <w:tc>
          <w:tcPr>
            <w:tcW w:w="1177" w:type="dxa"/>
            <w:tcBorders>
              <w:top w:val="nil"/>
              <w:left w:val="nil"/>
              <w:bottom w:val="nil"/>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8.01 ab</w:t>
            </w:r>
          </w:p>
        </w:tc>
      </w:tr>
      <w:tr>
        <w:tblPrEx>
          <w:tblLayout w:type="fixed"/>
          <w:tblCellMar>
            <w:top w:w="0" w:type="dxa"/>
            <w:left w:w="0" w:type="dxa"/>
            <w:bottom w:w="0" w:type="dxa"/>
            <w:right w:w="0" w:type="dxa"/>
          </w:tblCellMar>
        </w:tblPrEx>
        <w:trPr>
          <w:trHeight w:val="312" w:hRule="atLeast"/>
        </w:trPr>
        <w:tc>
          <w:tcPr>
            <w:tcW w:w="1343" w:type="dxa"/>
            <w:vMerge w:val="continue"/>
            <w:tcBorders>
              <w:top w:val="single" w:color="000000" w:sz="8" w:space="0"/>
              <w:left w:val="nil"/>
              <w:bottom w:val="single" w:color="000000" w:sz="8" w:space="0"/>
              <w:right w:val="nil"/>
            </w:tcBorders>
            <w:shd w:val="clear" w:color="auto" w:fill="auto"/>
            <w:vAlign w:val="center"/>
          </w:tcPr>
          <w:p/>
        </w:tc>
        <w:tc>
          <w:tcPr>
            <w:tcW w:w="1707" w:type="dxa"/>
            <w:tcBorders>
              <w:top w:val="nil"/>
              <w:left w:val="nil"/>
              <w:bottom w:val="single" w:color="000000" w:sz="8" w:space="0"/>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50</w:t>
            </w:r>
          </w:p>
        </w:tc>
        <w:tc>
          <w:tcPr>
            <w:tcW w:w="1497" w:type="dxa"/>
            <w:tcBorders>
              <w:top w:val="nil"/>
              <w:left w:val="nil"/>
              <w:bottom w:val="single" w:color="000000" w:sz="8" w:space="0"/>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71.02%a</w:t>
            </w:r>
          </w:p>
        </w:tc>
        <w:tc>
          <w:tcPr>
            <w:tcW w:w="1561" w:type="dxa"/>
            <w:tcBorders>
              <w:top w:val="nil"/>
              <w:left w:val="nil"/>
              <w:bottom w:val="single" w:color="000000" w:sz="8" w:space="0"/>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3.57 abc</w:t>
            </w:r>
          </w:p>
        </w:tc>
        <w:tc>
          <w:tcPr>
            <w:tcW w:w="1155" w:type="dxa"/>
            <w:tcBorders>
              <w:top w:val="nil"/>
              <w:left w:val="nil"/>
              <w:bottom w:val="single" w:color="000000" w:sz="8" w:space="0"/>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2.97 a</w:t>
            </w:r>
          </w:p>
        </w:tc>
        <w:tc>
          <w:tcPr>
            <w:tcW w:w="1177" w:type="dxa"/>
            <w:tcBorders>
              <w:top w:val="nil"/>
              <w:left w:val="nil"/>
              <w:bottom w:val="single" w:color="000000" w:sz="8" w:space="0"/>
              <w:right w:val="nil"/>
            </w:tcBorders>
            <w:shd w:val="clear" w:color="auto" w:fill="auto"/>
            <w:tcMar>
              <w:top w:w="15" w:type="dxa"/>
              <w:left w:w="67" w:type="dxa"/>
              <w:bottom w:w="0" w:type="dxa"/>
              <w:right w:w="67" w:type="dxa"/>
            </w:tcMar>
            <w:vAlign w:val="center"/>
          </w:tcPr>
          <w:p>
            <w:pPr>
              <w:jc w:val="center"/>
              <w:rPr>
                <w:rFonts w:ascii="Times New Roman" w:hAnsi="Times New Roman"/>
              </w:rPr>
            </w:pPr>
            <w:r>
              <w:rPr>
                <w:rFonts w:ascii="Times New Roman" w:hAnsi="Times New Roman"/>
              </w:rPr>
              <w:t>10.48 a</w:t>
            </w:r>
          </w:p>
        </w:tc>
      </w:tr>
    </w:tbl>
    <w:p>
      <w:pPr>
        <w:spacing w:line="520" w:lineRule="exact"/>
        <w:ind w:firstLine="480" w:firstLineChars="200"/>
        <w:rPr>
          <w:rFonts w:ascii="宋体" w:hAnsi="宋体" w:cs="宋体"/>
          <w:color w:val="000000"/>
          <w:sz w:val="24"/>
          <w:szCs w:val="28"/>
        </w:rPr>
      </w:pPr>
      <w:r>
        <w:rPr>
          <w:rFonts w:hint="eastAsia" w:ascii="宋体" w:hAnsi="宋体" w:cs="宋体"/>
          <w:color w:val="000000"/>
          <w:sz w:val="24"/>
          <w:szCs w:val="28"/>
        </w:rPr>
        <w:t>注：不同字母表示在0.05水平下各处理之间有显著差异。</w:t>
      </w:r>
    </w:p>
    <w:p>
      <w:pPr>
        <w:spacing w:line="520" w:lineRule="exact"/>
        <w:ind w:firstLine="480" w:firstLineChars="200"/>
        <w:rPr>
          <w:rFonts w:ascii="宋体" w:hAnsi="宋体" w:cs="宋体"/>
          <w:color w:val="000000"/>
          <w:sz w:val="24"/>
          <w:szCs w:val="28"/>
        </w:rPr>
      </w:pP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（2）亚精胺等化控措施对玉米根系形态影响</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从图1可以看出，喷施亚精胺（spd）处理组的玉米根长根表面积及根体积均高于对照，其中根长较对照增加12.86%，喷施氨基寡糖素（ami）和吨田宝（dtb）处理组根体积和根直径显著高于对照，但根长和根表面积与对照无明显差异。</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研究表明，喷施亚精胺对提高玉米根长、根表面积、根体积和根直径，对低温胁迫下玉米生长发育具有明显促进作用。</w:t>
      </w:r>
    </w:p>
    <w:p>
      <w:pPr>
        <w:spacing w:line="360" w:lineRule="auto"/>
        <w:jc w:val="left"/>
        <w:rPr>
          <w:color w:val="000000"/>
          <w:sz w:val="28"/>
          <w:szCs w:val="28"/>
        </w:rPr>
      </w:pPr>
      <w:r>
        <w:rPr>
          <w:color w:val="000000"/>
          <w:sz w:val="28"/>
          <w:szCs w:val="28"/>
        </w:rPr>
        <w:drawing>
          <wp:inline distT="0" distB="0" distL="0" distR="0">
            <wp:extent cx="5251450" cy="1304925"/>
            <wp:effectExtent l="0" t="0" r="635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t="8170" r="1736"/>
                    <a:stretch>
                      <a:fillRect/>
                    </a:stretch>
                  </pic:blipFill>
                  <pic:spPr>
                    <a:xfrm>
                      <a:off x="0" y="0"/>
                      <a:ext cx="5251450" cy="1304925"/>
                    </a:xfrm>
                    <a:prstGeom prst="rect">
                      <a:avLst/>
                    </a:prstGeom>
                    <a:noFill/>
                    <a:ln>
                      <a:noFill/>
                    </a:ln>
                  </pic:spPr>
                </pic:pic>
              </a:graphicData>
            </a:graphic>
          </wp:inline>
        </w:drawing>
      </w:r>
    </w:p>
    <w:p>
      <w:pPr>
        <w:pStyle w:val="12"/>
        <w:ind w:firstLine="0" w:firstLineChars="0"/>
        <w:jc w:val="center"/>
        <w:rPr>
          <w:rFonts w:ascii="黑体" w:hAnsi="黑体" w:eastAsia="黑体"/>
          <w:szCs w:val="21"/>
        </w:rPr>
      </w:pPr>
      <w:r>
        <w:rPr>
          <w:rFonts w:hint="eastAsia" w:ascii="黑体" w:hAnsi="黑体" w:eastAsia="黑体"/>
          <w:szCs w:val="21"/>
        </w:rPr>
        <w:t>图</w:t>
      </w:r>
      <w:r>
        <w:rPr>
          <w:rFonts w:ascii="黑体" w:hAnsi="黑体" w:eastAsia="黑体"/>
          <w:szCs w:val="21"/>
        </w:rPr>
        <w:t>1</w:t>
      </w:r>
      <w:r>
        <w:rPr>
          <w:rFonts w:hint="eastAsia" w:ascii="黑体" w:hAnsi="黑体" w:eastAsia="黑体"/>
          <w:szCs w:val="21"/>
        </w:rPr>
        <w:t>不同化控措施对玉米根系生长的影响</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w:t>
      </w:r>
      <w:r>
        <w:rPr>
          <w:rFonts w:ascii="宋体" w:hAnsi="宋体" w:cs="宋体"/>
          <w:color w:val="000000" w:themeColor="text1"/>
          <w:sz w:val="24"/>
          <w:szCs w:val="28"/>
          <w14:textFill>
            <w14:solidFill>
              <w14:schemeClr w14:val="tx1"/>
            </w14:solidFill>
          </w14:textFill>
        </w:rPr>
        <w:t>3</w:t>
      </w:r>
      <w:r>
        <w:rPr>
          <w:rFonts w:hint="eastAsia" w:ascii="宋体" w:hAnsi="宋体" w:cs="宋体"/>
          <w:color w:val="000000" w:themeColor="text1"/>
          <w:sz w:val="24"/>
          <w:szCs w:val="28"/>
          <w14:textFill>
            <w14:solidFill>
              <w14:schemeClr w14:val="tx1"/>
            </w14:solidFill>
          </w14:textFill>
        </w:rPr>
        <w:t>）亚精胺等化控措施对玉米光合特性的影响</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从图</w:t>
      </w:r>
      <w:r>
        <w:rPr>
          <w:rFonts w:ascii="宋体" w:hAnsi="宋体" w:cs="宋体"/>
          <w:color w:val="000000" w:themeColor="text1"/>
          <w:sz w:val="24"/>
          <w:szCs w:val="28"/>
          <w14:textFill>
            <w14:solidFill>
              <w14:schemeClr w14:val="tx1"/>
            </w14:solidFill>
          </w14:textFill>
        </w:rPr>
        <w:t>2</w:t>
      </w:r>
      <w:r>
        <w:rPr>
          <w:rFonts w:hint="eastAsia" w:ascii="宋体" w:hAnsi="宋体" w:cs="宋体"/>
          <w:color w:val="000000" w:themeColor="text1"/>
          <w:sz w:val="24"/>
          <w:szCs w:val="28"/>
          <w14:textFill>
            <w14:solidFill>
              <w14:schemeClr w14:val="tx1"/>
            </w14:solidFill>
          </w14:textFill>
        </w:rPr>
        <w:t>可以看出，药剂处理组净光合速率均高于对照组，其中黄腐酸水剂处理组净光合速率最高。从图3可以看出，药剂处理组最大光合速率均高于对照组。发生低温胁迫后，所有处理组的Fv/Fm均呈现明显下降趋势，但是喷施化控剂处理的Fv/Fm在胁迫后6天呈现显著上升，而对照组上升趋势较缓。</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研究发现，喷施化控调节剂明显提高了玉米的净光合速率和最大光化学速率，且在发生低温胁迫后能加速光合能力的恢复。研究表明多胺合剂、氨基寡糖素、吨田宝和黄腐酸对玉米低温冷害有较好调控效果。</w:t>
      </w:r>
    </w:p>
    <w:p>
      <w:pPr>
        <w:pStyle w:val="12"/>
        <w:ind w:firstLine="0" w:firstLineChars="0"/>
        <w:jc w:val="center"/>
      </w:pPr>
      <w:r>
        <w:drawing>
          <wp:inline distT="0" distB="0" distL="0" distR="0">
            <wp:extent cx="2685415" cy="215963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685687" cy="2160000"/>
                    </a:xfrm>
                    <a:prstGeom prst="rect">
                      <a:avLst/>
                    </a:prstGeom>
                    <a:noFill/>
                    <a:ln>
                      <a:noFill/>
                    </a:ln>
                  </pic:spPr>
                </pic:pic>
              </a:graphicData>
            </a:graphic>
          </wp:inline>
        </w:drawing>
      </w:r>
    </w:p>
    <w:p>
      <w:pPr>
        <w:pStyle w:val="12"/>
        <w:ind w:firstLine="0" w:firstLineChars="0"/>
        <w:jc w:val="center"/>
        <w:rPr>
          <w:rFonts w:ascii="黑体" w:hAnsi="黑体" w:eastAsia="黑体"/>
          <w:szCs w:val="21"/>
        </w:rPr>
      </w:pPr>
      <w:bookmarkStart w:id="0" w:name="_Hlk24313933"/>
      <w:r>
        <w:rPr>
          <w:rFonts w:hint="eastAsia" w:ascii="黑体" w:hAnsi="黑体" w:eastAsia="黑体"/>
          <w:szCs w:val="21"/>
        </w:rPr>
        <w:t>图2不同化控措施对玉米植株光合速率的影响</w:t>
      </w:r>
    </w:p>
    <w:bookmarkEnd w:id="0"/>
    <w:p>
      <w:pPr>
        <w:pStyle w:val="12"/>
        <w:ind w:firstLine="0" w:firstLineChars="0"/>
        <w:jc w:val="center"/>
        <w:rPr>
          <w:rFonts w:ascii="黑体" w:hAnsi="黑体" w:eastAsia="黑体"/>
        </w:rPr>
      </w:pPr>
      <w:r>
        <w:drawing>
          <wp:inline distT="0" distB="0" distL="0" distR="0">
            <wp:extent cx="2737485" cy="2159635"/>
            <wp:effectExtent l="0" t="0" r="571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38102" cy="2160000"/>
                    </a:xfrm>
                    <a:prstGeom prst="rect">
                      <a:avLst/>
                    </a:prstGeom>
                    <a:noFill/>
                    <a:ln>
                      <a:noFill/>
                    </a:ln>
                  </pic:spPr>
                </pic:pic>
              </a:graphicData>
            </a:graphic>
          </wp:inline>
        </w:drawing>
      </w:r>
    </w:p>
    <w:p>
      <w:pPr>
        <w:pStyle w:val="12"/>
        <w:ind w:firstLine="0" w:firstLineChars="0"/>
        <w:jc w:val="center"/>
        <w:rPr>
          <w:rFonts w:ascii="黑体" w:hAnsi="黑体" w:eastAsia="黑体"/>
          <w:szCs w:val="21"/>
        </w:rPr>
      </w:pPr>
      <w:bookmarkStart w:id="1" w:name="_Hlk24314390"/>
      <w:r>
        <w:rPr>
          <w:rFonts w:hint="eastAsia" w:ascii="黑体" w:hAnsi="黑体" w:eastAsia="黑体"/>
          <w:szCs w:val="21"/>
        </w:rPr>
        <w:t>图3不同化控措施对玉米最大光合速率的影响</w:t>
      </w:r>
    </w:p>
    <w:bookmarkEnd w:id="1"/>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w:t>
      </w:r>
      <w:r>
        <w:rPr>
          <w:rFonts w:ascii="宋体" w:hAnsi="宋体" w:cs="宋体"/>
          <w:color w:val="000000" w:themeColor="text1"/>
          <w:sz w:val="24"/>
          <w:szCs w:val="28"/>
          <w14:textFill>
            <w14:solidFill>
              <w14:schemeClr w14:val="tx1"/>
            </w14:solidFill>
          </w14:textFill>
        </w:rPr>
        <w:t>4</w:t>
      </w:r>
      <w:r>
        <w:rPr>
          <w:rFonts w:hint="eastAsia" w:ascii="宋体" w:hAnsi="宋体" w:cs="宋体"/>
          <w:color w:val="000000" w:themeColor="text1"/>
          <w:sz w:val="24"/>
          <w:szCs w:val="28"/>
          <w14:textFill>
            <w14:solidFill>
              <w14:schemeClr w14:val="tx1"/>
            </w14:solidFill>
          </w14:textFill>
        </w:rPr>
        <w:t>）亚精胺等化控措施对玉米粒重和含水量的影响</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从表2可以看出，苗期采用多胺合剂、氨基寡糖素水剂、吨田宝、黄腐酸等药剂进行喷雾处理后，可提高籽粒千粒重，增加产量，同时还可降低收获时籽粒含水量，促进玉米成熟，利于机械化收获。</w:t>
      </w:r>
    </w:p>
    <w:p>
      <w:pPr>
        <w:pStyle w:val="11"/>
        <w:spacing w:before="312" w:beforeLines="100"/>
        <w:rPr>
          <w:rFonts w:cs="宋体"/>
          <w:color w:val="000000"/>
          <w:sz w:val="21"/>
          <w:szCs w:val="21"/>
        </w:rPr>
      </w:pPr>
      <w:r>
        <w:rPr>
          <w:rFonts w:hint="eastAsia" w:cs="宋体"/>
          <w:color w:val="000000"/>
          <w:sz w:val="21"/>
          <w:szCs w:val="21"/>
        </w:rPr>
        <w:t>表2</w:t>
      </w:r>
      <w:r>
        <w:rPr>
          <w:rFonts w:cs="宋体"/>
          <w:color w:val="000000"/>
          <w:sz w:val="21"/>
          <w:szCs w:val="21"/>
        </w:rPr>
        <w:t xml:space="preserve"> </w:t>
      </w:r>
      <w:r>
        <w:rPr>
          <w:rFonts w:hint="eastAsia" w:cs="宋体"/>
          <w:color w:val="000000"/>
          <w:sz w:val="21"/>
          <w:szCs w:val="21"/>
        </w:rPr>
        <w:t>不同调控措施对收获期玉米籽粒重量和含水量的影响</w:t>
      </w:r>
    </w:p>
    <w:tbl>
      <w:tblPr>
        <w:tblStyle w:val="6"/>
        <w:tblW w:w="8522" w:type="dxa"/>
        <w:jc w:val="center"/>
        <w:tblInd w:w="0" w:type="dxa"/>
        <w:tblLayout w:type="fixed"/>
        <w:tblCellMar>
          <w:top w:w="0" w:type="dxa"/>
          <w:left w:w="108" w:type="dxa"/>
          <w:bottom w:w="0" w:type="dxa"/>
          <w:right w:w="108" w:type="dxa"/>
        </w:tblCellMar>
      </w:tblPr>
      <w:tblGrid>
        <w:gridCol w:w="2642"/>
        <w:gridCol w:w="2429"/>
        <w:gridCol w:w="3451"/>
      </w:tblGrid>
      <w:tr>
        <w:tblPrEx>
          <w:tblLayout w:type="fixed"/>
          <w:tblCellMar>
            <w:top w:w="0" w:type="dxa"/>
            <w:left w:w="108" w:type="dxa"/>
            <w:bottom w:w="0" w:type="dxa"/>
            <w:right w:w="108" w:type="dxa"/>
          </w:tblCellMar>
        </w:tblPrEx>
        <w:trPr>
          <w:trHeight w:val="372" w:hRule="atLeast"/>
          <w:jc w:val="center"/>
        </w:trPr>
        <w:tc>
          <w:tcPr>
            <w:tcW w:w="2642" w:type="dxa"/>
            <w:tcBorders>
              <w:top w:val="single" w:color="auto" w:sz="4" w:space="0"/>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处理</w:t>
            </w:r>
          </w:p>
        </w:tc>
        <w:tc>
          <w:tcPr>
            <w:tcW w:w="2429" w:type="dxa"/>
            <w:tcBorders>
              <w:top w:val="single" w:color="auto" w:sz="4" w:space="0"/>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千粒重</w:t>
            </w:r>
          </w:p>
        </w:tc>
        <w:tc>
          <w:tcPr>
            <w:tcW w:w="3451" w:type="dxa"/>
            <w:tcBorders>
              <w:top w:val="single" w:color="auto" w:sz="4" w:space="0"/>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含水量</w:t>
            </w:r>
          </w:p>
        </w:tc>
      </w:tr>
      <w:tr>
        <w:tblPrEx>
          <w:tblLayout w:type="fixed"/>
          <w:tblCellMar>
            <w:top w:w="0" w:type="dxa"/>
            <w:left w:w="108" w:type="dxa"/>
            <w:bottom w:w="0" w:type="dxa"/>
            <w:right w:w="108" w:type="dxa"/>
          </w:tblCellMar>
        </w:tblPrEx>
        <w:trPr>
          <w:trHeight w:val="372" w:hRule="atLeast"/>
          <w:jc w:val="center"/>
        </w:trPr>
        <w:tc>
          <w:tcPr>
            <w:tcW w:w="2642" w:type="dxa"/>
            <w:tcBorders>
              <w:top w:val="single" w:color="auto" w:sz="4" w:space="0"/>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对照</w:t>
            </w:r>
          </w:p>
        </w:tc>
        <w:tc>
          <w:tcPr>
            <w:tcW w:w="2429" w:type="dxa"/>
            <w:tcBorders>
              <w:top w:val="single" w:color="auto" w:sz="4" w:space="0"/>
              <w:left w:val="nil"/>
              <w:bottom w:val="nil"/>
              <w:right w:val="nil"/>
            </w:tcBorders>
            <w:vAlign w:val="center"/>
          </w:tcPr>
          <w:p>
            <w:pPr>
              <w:widowControl/>
              <w:jc w:val="center"/>
              <w:rPr>
                <w:rFonts w:eastAsia="等线"/>
                <w:color w:val="000000"/>
                <w:kern w:val="0"/>
                <w:szCs w:val="18"/>
              </w:rPr>
            </w:pPr>
            <w:r>
              <w:rPr>
                <w:rFonts w:eastAsia="等线"/>
                <w:color w:val="000000"/>
                <w:kern w:val="0"/>
                <w:szCs w:val="18"/>
              </w:rPr>
              <w:t xml:space="preserve">340.20b </w:t>
            </w:r>
          </w:p>
        </w:tc>
        <w:tc>
          <w:tcPr>
            <w:tcW w:w="3451" w:type="dxa"/>
            <w:tcBorders>
              <w:top w:val="single" w:color="auto" w:sz="4" w:space="0"/>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1</w:t>
            </w:r>
            <w:r>
              <w:rPr>
                <w:rFonts w:eastAsia="等线"/>
                <w:color w:val="000000"/>
                <w:kern w:val="0"/>
                <w:szCs w:val="18"/>
              </w:rPr>
              <w:t>9.90c</w:t>
            </w:r>
          </w:p>
        </w:tc>
      </w:tr>
      <w:tr>
        <w:tblPrEx>
          <w:tblLayout w:type="fixed"/>
          <w:tblCellMar>
            <w:top w:w="0" w:type="dxa"/>
            <w:left w:w="108" w:type="dxa"/>
            <w:bottom w:w="0" w:type="dxa"/>
            <w:right w:w="108" w:type="dxa"/>
          </w:tblCellMar>
        </w:tblPrEx>
        <w:trPr>
          <w:trHeight w:val="384" w:hRule="atLeast"/>
          <w:jc w:val="center"/>
        </w:trPr>
        <w:tc>
          <w:tcPr>
            <w:tcW w:w="2642"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多胺合剂</w:t>
            </w:r>
          </w:p>
        </w:tc>
        <w:tc>
          <w:tcPr>
            <w:tcW w:w="2429" w:type="dxa"/>
            <w:tcBorders>
              <w:top w:val="nil"/>
              <w:left w:val="nil"/>
              <w:bottom w:val="nil"/>
              <w:right w:val="nil"/>
            </w:tcBorders>
            <w:vAlign w:val="center"/>
          </w:tcPr>
          <w:p>
            <w:pPr>
              <w:widowControl/>
              <w:jc w:val="center"/>
              <w:rPr>
                <w:rFonts w:eastAsia="等线"/>
                <w:color w:val="000000"/>
                <w:kern w:val="0"/>
                <w:szCs w:val="18"/>
              </w:rPr>
            </w:pPr>
            <w:r>
              <w:rPr>
                <w:rFonts w:eastAsia="等线"/>
                <w:color w:val="000000"/>
                <w:kern w:val="0"/>
                <w:szCs w:val="18"/>
              </w:rPr>
              <w:t xml:space="preserve">383.27a </w:t>
            </w:r>
          </w:p>
        </w:tc>
        <w:tc>
          <w:tcPr>
            <w:tcW w:w="3451"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1</w:t>
            </w:r>
            <w:r>
              <w:rPr>
                <w:rFonts w:eastAsia="等线"/>
                <w:color w:val="000000"/>
                <w:kern w:val="0"/>
                <w:szCs w:val="18"/>
              </w:rPr>
              <w:t>6.47a</w:t>
            </w:r>
          </w:p>
        </w:tc>
      </w:tr>
      <w:tr>
        <w:tblPrEx>
          <w:tblLayout w:type="fixed"/>
          <w:tblCellMar>
            <w:top w:w="0" w:type="dxa"/>
            <w:left w:w="108" w:type="dxa"/>
            <w:bottom w:w="0" w:type="dxa"/>
            <w:right w:w="108" w:type="dxa"/>
          </w:tblCellMar>
        </w:tblPrEx>
        <w:trPr>
          <w:trHeight w:val="395" w:hRule="atLeast"/>
          <w:jc w:val="center"/>
        </w:trPr>
        <w:tc>
          <w:tcPr>
            <w:tcW w:w="2642"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氨基寡糖素</w:t>
            </w:r>
          </w:p>
        </w:tc>
        <w:tc>
          <w:tcPr>
            <w:tcW w:w="2429" w:type="dxa"/>
            <w:tcBorders>
              <w:top w:val="nil"/>
              <w:left w:val="nil"/>
              <w:bottom w:val="nil"/>
              <w:right w:val="nil"/>
            </w:tcBorders>
            <w:vAlign w:val="center"/>
          </w:tcPr>
          <w:p>
            <w:pPr>
              <w:widowControl/>
              <w:jc w:val="center"/>
              <w:rPr>
                <w:rFonts w:eastAsia="等线"/>
                <w:color w:val="000000"/>
                <w:kern w:val="0"/>
                <w:szCs w:val="18"/>
              </w:rPr>
            </w:pPr>
            <w:r>
              <w:rPr>
                <w:rFonts w:eastAsia="等线"/>
                <w:color w:val="000000"/>
                <w:kern w:val="0"/>
                <w:szCs w:val="18"/>
              </w:rPr>
              <w:t xml:space="preserve">373.47a </w:t>
            </w:r>
          </w:p>
        </w:tc>
        <w:tc>
          <w:tcPr>
            <w:tcW w:w="3451"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1</w:t>
            </w:r>
            <w:r>
              <w:rPr>
                <w:rFonts w:eastAsia="等线"/>
                <w:color w:val="000000"/>
                <w:kern w:val="0"/>
                <w:szCs w:val="18"/>
              </w:rPr>
              <w:t>8.31b</w:t>
            </w:r>
          </w:p>
        </w:tc>
      </w:tr>
      <w:tr>
        <w:tblPrEx>
          <w:tblLayout w:type="fixed"/>
          <w:tblCellMar>
            <w:top w:w="0" w:type="dxa"/>
            <w:left w:w="108" w:type="dxa"/>
            <w:bottom w:w="0" w:type="dxa"/>
            <w:right w:w="108" w:type="dxa"/>
          </w:tblCellMar>
        </w:tblPrEx>
        <w:trPr>
          <w:trHeight w:val="372" w:hRule="atLeast"/>
          <w:jc w:val="center"/>
        </w:trPr>
        <w:tc>
          <w:tcPr>
            <w:tcW w:w="2642"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吨田宝</w:t>
            </w:r>
          </w:p>
        </w:tc>
        <w:tc>
          <w:tcPr>
            <w:tcW w:w="2429" w:type="dxa"/>
            <w:tcBorders>
              <w:top w:val="nil"/>
              <w:left w:val="nil"/>
              <w:bottom w:val="nil"/>
              <w:right w:val="nil"/>
            </w:tcBorders>
            <w:vAlign w:val="center"/>
          </w:tcPr>
          <w:p>
            <w:pPr>
              <w:widowControl/>
              <w:jc w:val="center"/>
              <w:rPr>
                <w:rFonts w:eastAsia="等线"/>
                <w:color w:val="000000"/>
                <w:kern w:val="0"/>
                <w:szCs w:val="18"/>
              </w:rPr>
            </w:pPr>
            <w:r>
              <w:rPr>
                <w:rFonts w:eastAsia="等线"/>
                <w:color w:val="000000"/>
                <w:kern w:val="0"/>
                <w:szCs w:val="18"/>
              </w:rPr>
              <w:t xml:space="preserve">365.47a </w:t>
            </w:r>
          </w:p>
        </w:tc>
        <w:tc>
          <w:tcPr>
            <w:tcW w:w="3451" w:type="dxa"/>
            <w:tcBorders>
              <w:top w:val="nil"/>
              <w:left w:val="nil"/>
              <w:bottom w:val="nil"/>
              <w:right w:val="nil"/>
            </w:tcBorders>
            <w:vAlign w:val="center"/>
          </w:tcPr>
          <w:p>
            <w:pPr>
              <w:widowControl/>
              <w:jc w:val="center"/>
              <w:rPr>
                <w:rFonts w:eastAsia="等线"/>
                <w:color w:val="000000"/>
                <w:kern w:val="0"/>
                <w:szCs w:val="18"/>
              </w:rPr>
            </w:pPr>
            <w:r>
              <w:rPr>
                <w:rFonts w:hint="eastAsia" w:eastAsia="等线"/>
                <w:color w:val="000000"/>
                <w:kern w:val="0"/>
                <w:szCs w:val="18"/>
              </w:rPr>
              <w:t>1</w:t>
            </w:r>
            <w:r>
              <w:rPr>
                <w:rFonts w:eastAsia="等线"/>
                <w:color w:val="000000"/>
                <w:kern w:val="0"/>
                <w:szCs w:val="18"/>
              </w:rPr>
              <w:t>8.17b</w:t>
            </w:r>
          </w:p>
        </w:tc>
      </w:tr>
      <w:tr>
        <w:tblPrEx>
          <w:tblLayout w:type="fixed"/>
          <w:tblCellMar>
            <w:top w:w="0" w:type="dxa"/>
            <w:left w:w="108" w:type="dxa"/>
            <w:bottom w:w="0" w:type="dxa"/>
            <w:right w:w="108" w:type="dxa"/>
          </w:tblCellMar>
        </w:tblPrEx>
        <w:trPr>
          <w:trHeight w:val="372" w:hRule="atLeast"/>
          <w:jc w:val="center"/>
        </w:trPr>
        <w:tc>
          <w:tcPr>
            <w:tcW w:w="2642" w:type="dxa"/>
            <w:tcBorders>
              <w:top w:val="nil"/>
              <w:left w:val="nil"/>
              <w:bottom w:val="single" w:color="auto" w:sz="4" w:space="0"/>
              <w:right w:val="nil"/>
            </w:tcBorders>
            <w:vAlign w:val="center"/>
          </w:tcPr>
          <w:p>
            <w:pPr>
              <w:widowControl/>
              <w:jc w:val="center"/>
              <w:rPr>
                <w:rFonts w:eastAsia="等线"/>
                <w:color w:val="000000"/>
                <w:kern w:val="0"/>
                <w:szCs w:val="18"/>
              </w:rPr>
            </w:pPr>
            <w:r>
              <w:rPr>
                <w:rFonts w:hint="eastAsia" w:eastAsia="等线"/>
                <w:color w:val="000000"/>
                <w:kern w:val="0"/>
                <w:szCs w:val="18"/>
              </w:rPr>
              <w:t>黄腐酸</w:t>
            </w:r>
          </w:p>
        </w:tc>
        <w:tc>
          <w:tcPr>
            <w:tcW w:w="2429" w:type="dxa"/>
            <w:tcBorders>
              <w:top w:val="nil"/>
              <w:left w:val="nil"/>
              <w:bottom w:val="single" w:color="auto" w:sz="4" w:space="0"/>
              <w:right w:val="nil"/>
            </w:tcBorders>
            <w:vAlign w:val="center"/>
          </w:tcPr>
          <w:p>
            <w:pPr>
              <w:widowControl/>
              <w:jc w:val="center"/>
              <w:rPr>
                <w:rFonts w:eastAsia="等线"/>
                <w:color w:val="000000"/>
                <w:kern w:val="0"/>
                <w:szCs w:val="18"/>
              </w:rPr>
            </w:pPr>
            <w:r>
              <w:rPr>
                <w:rFonts w:eastAsia="等线"/>
                <w:color w:val="000000"/>
                <w:kern w:val="0"/>
                <w:szCs w:val="18"/>
              </w:rPr>
              <w:t xml:space="preserve">365.00a </w:t>
            </w:r>
          </w:p>
        </w:tc>
        <w:tc>
          <w:tcPr>
            <w:tcW w:w="3451" w:type="dxa"/>
            <w:tcBorders>
              <w:top w:val="nil"/>
              <w:left w:val="nil"/>
              <w:bottom w:val="single" w:color="auto" w:sz="4" w:space="0"/>
              <w:right w:val="nil"/>
            </w:tcBorders>
            <w:vAlign w:val="center"/>
          </w:tcPr>
          <w:p>
            <w:pPr>
              <w:widowControl/>
              <w:jc w:val="center"/>
              <w:rPr>
                <w:rFonts w:eastAsia="等线"/>
                <w:color w:val="000000"/>
                <w:kern w:val="0"/>
                <w:szCs w:val="18"/>
              </w:rPr>
            </w:pPr>
            <w:r>
              <w:rPr>
                <w:rFonts w:hint="eastAsia" w:eastAsia="等线"/>
                <w:color w:val="000000"/>
                <w:kern w:val="0"/>
                <w:szCs w:val="18"/>
              </w:rPr>
              <w:t>1</w:t>
            </w:r>
            <w:r>
              <w:rPr>
                <w:rFonts w:eastAsia="等线"/>
                <w:color w:val="000000"/>
                <w:kern w:val="0"/>
                <w:szCs w:val="18"/>
              </w:rPr>
              <w:t>8.10b</w:t>
            </w:r>
          </w:p>
        </w:tc>
      </w:tr>
    </w:tbl>
    <w:p>
      <w:pPr>
        <w:spacing w:line="520" w:lineRule="exact"/>
        <w:ind w:firstLine="480" w:firstLineChars="200"/>
        <w:rPr>
          <w:rFonts w:ascii="宋体" w:hAnsi="宋体" w:cs="宋体"/>
          <w:color w:val="000000"/>
          <w:sz w:val="24"/>
          <w:szCs w:val="28"/>
        </w:rPr>
      </w:pPr>
      <w:r>
        <w:rPr>
          <w:rFonts w:hint="eastAsia" w:ascii="宋体" w:hAnsi="宋体" w:cs="宋体"/>
          <w:color w:val="000000"/>
          <w:sz w:val="24"/>
          <w:szCs w:val="28"/>
        </w:rPr>
        <w:t>注：不同字母表示在0.05水平下各处理之间有显著差异。</w:t>
      </w:r>
    </w:p>
    <w:p>
      <w:pPr>
        <w:spacing w:before="312" w:beforeLines="100"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w:t>
      </w:r>
      <w:r>
        <w:rPr>
          <w:rFonts w:ascii="宋体" w:hAnsi="宋体" w:cs="宋体"/>
          <w:color w:val="000000" w:themeColor="text1"/>
          <w:sz w:val="24"/>
          <w:szCs w:val="28"/>
          <w14:textFill>
            <w14:solidFill>
              <w14:schemeClr w14:val="tx1"/>
            </w14:solidFill>
          </w14:textFill>
        </w:rPr>
        <w:t>5</w:t>
      </w:r>
      <w:r>
        <w:rPr>
          <w:rFonts w:hint="eastAsia" w:ascii="宋体" w:hAnsi="宋体" w:cs="宋体"/>
          <w:color w:val="000000" w:themeColor="text1"/>
          <w:sz w:val="24"/>
          <w:szCs w:val="28"/>
          <w14:textFill>
            <w14:solidFill>
              <w14:schemeClr w14:val="tx1"/>
            </w14:solidFill>
          </w14:textFill>
        </w:rPr>
        <w:t>）亚精胺等化控措施对玉米产量的影响</w:t>
      </w:r>
    </w:p>
    <w:p>
      <w:pPr>
        <w:spacing w:line="4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从图</w:t>
      </w:r>
      <w:r>
        <w:rPr>
          <w:rFonts w:ascii="宋体" w:hAnsi="宋体" w:cs="宋体"/>
          <w:color w:val="000000" w:themeColor="text1"/>
          <w:sz w:val="24"/>
          <w:szCs w:val="28"/>
          <w14:textFill>
            <w14:solidFill>
              <w14:schemeClr w14:val="tx1"/>
            </w14:solidFill>
          </w14:textFill>
        </w:rPr>
        <w:t>4</w:t>
      </w:r>
      <w:r>
        <w:rPr>
          <w:rFonts w:hint="eastAsia" w:ascii="宋体" w:hAnsi="宋体" w:cs="宋体"/>
          <w:color w:val="000000" w:themeColor="text1"/>
          <w:sz w:val="24"/>
          <w:szCs w:val="28"/>
          <w14:textFill>
            <w14:solidFill>
              <w14:schemeClr w14:val="tx1"/>
            </w14:solidFill>
          </w14:textFill>
        </w:rPr>
        <w:t>可以看出，苗期采用多胺合剂、氨基寡糖素水剂、吨田宝、黄腐酸等药剂进行喷雾处理，可降低低温冷害对玉米产量的影响，因此可采用多胺合剂、氨基寡糖素水剂、吨田宝、黄腐酸等药剂改善苗期玉米的抗寒性。</w:t>
      </w:r>
    </w:p>
    <w:p>
      <w:pPr>
        <w:tabs>
          <w:tab w:val="left" w:pos="1302"/>
        </w:tabs>
        <w:jc w:val="center"/>
        <w:rPr>
          <w:rFonts w:ascii="黑体" w:hAnsi="黑体" w:eastAsia="黑体"/>
        </w:rPr>
      </w:pPr>
      <w:r>
        <w:rPr>
          <w:rFonts w:ascii="Times New Roman" w:hAnsi="Times New Roman"/>
        </w:rPr>
        <w:drawing>
          <wp:inline distT="0" distB="0" distL="0" distR="0">
            <wp:extent cx="3800475" cy="2879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t="5957" b="13974"/>
                    <a:stretch>
                      <a:fillRect/>
                    </a:stretch>
                  </pic:blipFill>
                  <pic:spPr>
                    <a:xfrm>
                      <a:off x="0" y="0"/>
                      <a:ext cx="3800523" cy="2880000"/>
                    </a:xfrm>
                    <a:prstGeom prst="rect">
                      <a:avLst/>
                    </a:prstGeom>
                    <a:noFill/>
                    <a:ln>
                      <a:noFill/>
                    </a:ln>
                  </pic:spPr>
                </pic:pic>
              </a:graphicData>
            </a:graphic>
          </wp:inline>
        </w:drawing>
      </w:r>
    </w:p>
    <w:p>
      <w:pPr>
        <w:tabs>
          <w:tab w:val="left" w:pos="1302"/>
        </w:tabs>
        <w:jc w:val="center"/>
        <w:rPr>
          <w:rFonts w:ascii="黑体" w:hAnsi="黑体" w:eastAsia="黑体"/>
          <w:szCs w:val="21"/>
        </w:rPr>
      </w:pPr>
      <w:r>
        <w:rPr>
          <w:rFonts w:hint="eastAsia" w:ascii="黑体" w:hAnsi="黑体" w:eastAsia="黑体"/>
          <w:szCs w:val="21"/>
        </w:rPr>
        <w:t>图</w:t>
      </w:r>
      <w:r>
        <w:rPr>
          <w:rFonts w:ascii="黑体" w:hAnsi="黑体" w:eastAsia="黑体"/>
          <w:szCs w:val="21"/>
        </w:rPr>
        <w:t xml:space="preserve">4 </w:t>
      </w:r>
      <w:r>
        <w:rPr>
          <w:rFonts w:hint="eastAsia" w:ascii="黑体" w:hAnsi="黑体" w:eastAsia="黑体"/>
          <w:szCs w:val="21"/>
        </w:rPr>
        <w:t>不同调控措施对玉米苗期低温调控效果</w:t>
      </w:r>
    </w:p>
    <w:p>
      <w:pPr>
        <w:tabs>
          <w:tab w:val="left" w:pos="1302"/>
        </w:tabs>
        <w:jc w:val="left"/>
        <w:rPr>
          <w:rFonts w:ascii="黑体" w:hAnsi="黑体" w:eastAsia="黑体"/>
          <w:sz w:val="18"/>
          <w:szCs w:val="18"/>
        </w:rPr>
      </w:pPr>
      <w:r>
        <w:rPr>
          <w:rFonts w:hint="eastAsia" w:ascii="黑体" w:hAnsi="黑体" w:eastAsia="黑体"/>
          <w:sz w:val="18"/>
          <w:szCs w:val="18"/>
        </w:rPr>
        <w:t>注：ck为清水，spd为多胺合剂处理，ami为氨基寡糖素水剂处理，dtb为吨田宝处理，sf为黄腐酸处理。</w:t>
      </w:r>
    </w:p>
    <w:p>
      <w:pPr>
        <w:tabs>
          <w:tab w:val="left" w:pos="1302"/>
        </w:tabs>
        <w:spacing w:before="156" w:beforeLines="50" w:line="400" w:lineRule="exact"/>
        <w:jc w:val="left"/>
        <w:rPr>
          <w:rFonts w:ascii="Times New Roman" w:hAnsi="Times New Roman" w:eastAsia="宋体" w:cs="Times New Roman"/>
          <w:color w:val="000000"/>
          <w:sz w:val="24"/>
          <w:szCs w:val="24"/>
        </w:rPr>
      </w:pPr>
    </w:p>
    <w:p>
      <w:pPr>
        <w:widowControl/>
        <w:shd w:val="clear" w:color="auto" w:fill="FFFFFF"/>
        <w:spacing w:before="156" w:beforeLines="50" w:after="156" w:afterLines="50" w:line="400" w:lineRule="exact"/>
        <w:jc w:val="left"/>
        <w:rPr>
          <w:rFonts w:ascii="Times New Roman" w:hAnsi="Times New Roman" w:eastAsia="宋体" w:cs="Times New Roman"/>
          <w:b/>
          <w:color w:val="000000"/>
          <w:kern w:val="0"/>
          <w:sz w:val="24"/>
          <w:szCs w:val="24"/>
        </w:rPr>
      </w:pPr>
      <w:r>
        <w:rPr>
          <w:rFonts w:hint="eastAsia" w:ascii="Times New Roman" w:hAnsi="宋体" w:eastAsia="宋体" w:cs="Times New Roman"/>
          <w:b/>
          <w:color w:val="000000"/>
          <w:kern w:val="0"/>
          <w:sz w:val="30"/>
          <w:szCs w:val="30"/>
        </w:rPr>
        <w:t>六、</w:t>
      </w:r>
      <w:r>
        <w:rPr>
          <w:rFonts w:ascii="Times New Roman" w:hAnsi="宋体" w:eastAsia="宋体" w:cs="Times New Roman"/>
          <w:b/>
          <w:color w:val="000000"/>
          <w:kern w:val="0"/>
          <w:sz w:val="30"/>
          <w:szCs w:val="30"/>
        </w:rPr>
        <w:t>重大意见分歧的处理依据和结果</w:t>
      </w:r>
    </w:p>
    <w:p>
      <w:pPr>
        <w:widowControl/>
        <w:shd w:val="clear" w:color="auto" w:fill="FFFFFF"/>
        <w:spacing w:before="156" w:beforeLines="50" w:line="400" w:lineRule="exact"/>
        <w:ind w:firstLine="480"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本标准初稿完成后，征求了国内相关研究机构的多位专家的意见和建议，得到了专家的一致认可，无任何重大意见分歧。</w:t>
      </w:r>
      <w:r>
        <w:rPr>
          <w:rFonts w:hint="eastAsia" w:ascii="Times New Roman" w:hAnsi="Times New Roman" w:eastAsia="宋体" w:cs="Times New Roman"/>
          <w:color w:val="000000"/>
          <w:sz w:val="24"/>
          <w:szCs w:val="24"/>
        </w:rPr>
        <w:t>若审定过程中出现需要修订完善的部分，需由起草</w:t>
      </w:r>
      <w:r>
        <w:rPr>
          <w:rFonts w:ascii="Times New Roman" w:hAnsi="Times New Roman" w:eastAsia="宋体" w:cs="Times New Roman"/>
          <w:color w:val="000000"/>
          <w:sz w:val="24"/>
          <w:szCs w:val="24"/>
        </w:rPr>
        <w:t>小组根据专家意见进行修改。</w:t>
      </w:r>
    </w:p>
    <w:p>
      <w:pPr>
        <w:widowControl/>
        <w:shd w:val="clear" w:color="auto" w:fill="FFFFFF"/>
        <w:spacing w:before="156" w:beforeLines="50" w:line="400" w:lineRule="exact"/>
        <w:ind w:firstLine="480" w:firstLineChars="200"/>
        <w:jc w:val="left"/>
        <w:rPr>
          <w:rFonts w:ascii="Times New Roman" w:hAnsi="Times New Roman" w:eastAsia="宋体" w:cs="Times New Roman"/>
          <w:color w:val="000000"/>
          <w:sz w:val="24"/>
          <w:szCs w:val="24"/>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hint="eastAsia" w:ascii="Times New Roman" w:hAnsi="宋体" w:eastAsia="宋体" w:cs="Times New Roman"/>
          <w:b/>
          <w:color w:val="000000"/>
          <w:kern w:val="0"/>
          <w:sz w:val="30"/>
          <w:szCs w:val="30"/>
        </w:rPr>
        <w:t>七、国内外同类标准水平的对比情况</w:t>
      </w:r>
    </w:p>
    <w:p>
      <w:pPr>
        <w:spacing w:before="156" w:beforeLines="50" w:line="400" w:lineRule="exact"/>
        <w:ind w:firstLine="480" w:firstLineChars="200"/>
        <w:rPr>
          <w:sz w:val="24"/>
        </w:rPr>
      </w:pPr>
      <w:r>
        <w:rPr>
          <w:rFonts w:hint="eastAsia"/>
          <w:sz w:val="24"/>
        </w:rPr>
        <w:t>本标准是依据内蒙古寒旱区特征</w:t>
      </w:r>
      <w:r>
        <w:rPr>
          <w:sz w:val="24"/>
        </w:rPr>
        <w:t>和玉米</w:t>
      </w:r>
      <w:r>
        <w:rPr>
          <w:rFonts w:hint="eastAsia"/>
          <w:sz w:val="24"/>
        </w:rPr>
        <w:t>生产实际情况所制定，未见国内外同类标准。</w:t>
      </w:r>
    </w:p>
    <w:p>
      <w:pPr>
        <w:widowControl/>
        <w:shd w:val="clear" w:color="auto" w:fill="FFFFFF"/>
        <w:spacing w:before="156" w:beforeLines="50" w:line="400" w:lineRule="exact"/>
        <w:jc w:val="left"/>
        <w:rPr>
          <w:rFonts w:ascii="Times New Roman" w:hAnsi="Times New Roman" w:eastAsia="宋体" w:cs="Times New Roman"/>
          <w:color w:val="000000"/>
          <w:sz w:val="24"/>
          <w:szCs w:val="24"/>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hint="eastAsia" w:ascii="Times New Roman" w:hAnsi="宋体" w:eastAsia="宋体" w:cs="Times New Roman"/>
          <w:b/>
          <w:color w:val="000000"/>
          <w:kern w:val="0"/>
          <w:sz w:val="30"/>
          <w:szCs w:val="30"/>
        </w:rPr>
        <w:t>八、</w:t>
      </w:r>
      <w:r>
        <w:rPr>
          <w:rFonts w:ascii="Times New Roman" w:hAnsi="宋体" w:eastAsia="宋体" w:cs="Times New Roman"/>
          <w:b/>
          <w:color w:val="000000"/>
          <w:kern w:val="0"/>
          <w:sz w:val="30"/>
          <w:szCs w:val="30"/>
        </w:rPr>
        <w:t xml:space="preserve">其他应说明的事项。 </w:t>
      </w:r>
    </w:p>
    <w:p>
      <w:pPr>
        <w:spacing w:before="156" w:beforeLines="50" w:line="400" w:lineRule="exact"/>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无。</w:t>
      </w:r>
    </w:p>
    <w:p>
      <w:pPr>
        <w:spacing w:before="156" w:beforeLines="50" w:line="400" w:lineRule="exact"/>
        <w:ind w:firstLine="480" w:firstLineChars="200"/>
        <w:rPr>
          <w:rFonts w:ascii="Times New Roman" w:hAnsi="Times New Roman" w:eastAsia="宋体" w:cs="Times New Roman"/>
          <w:color w:val="000000"/>
          <w:sz w:val="24"/>
          <w:szCs w:val="24"/>
        </w:rPr>
      </w:pPr>
    </w:p>
    <w:p>
      <w:pPr>
        <w:widowControl/>
        <w:shd w:val="clear" w:color="auto" w:fill="FFFFFF"/>
        <w:spacing w:before="156" w:beforeLines="50" w:after="156" w:afterLines="50" w:line="400" w:lineRule="exact"/>
        <w:jc w:val="left"/>
        <w:rPr>
          <w:rFonts w:ascii="Times New Roman" w:hAnsi="宋体" w:eastAsia="宋体" w:cs="Times New Roman"/>
          <w:b/>
          <w:color w:val="000000"/>
          <w:kern w:val="0"/>
          <w:sz w:val="30"/>
          <w:szCs w:val="30"/>
        </w:rPr>
      </w:pPr>
      <w:r>
        <w:rPr>
          <w:rFonts w:hint="eastAsia" w:ascii="Times New Roman" w:hAnsi="宋体" w:eastAsia="宋体" w:cs="Times New Roman"/>
          <w:b/>
          <w:color w:val="000000"/>
          <w:kern w:val="0"/>
          <w:sz w:val="30"/>
          <w:szCs w:val="30"/>
        </w:rPr>
        <w:t>九、标准草稿征求意见情况汇总表</w:t>
      </w:r>
    </w:p>
    <w:p>
      <w:pPr>
        <w:widowControl/>
        <w:shd w:val="clear" w:color="auto" w:fill="FFFFFF"/>
        <w:spacing w:line="400" w:lineRule="exact"/>
        <w:jc w:val="left"/>
        <w:rPr>
          <w:rFonts w:ascii="Times New Roman" w:hAnsi="宋体" w:eastAsia="宋体" w:cs="Times New Roman"/>
          <w:b/>
          <w:kern w:val="0"/>
          <w:sz w:val="24"/>
          <w:szCs w:val="24"/>
        </w:rPr>
      </w:pPr>
    </w:p>
    <w:tbl>
      <w:tblPr>
        <w:tblStyle w:val="6"/>
        <w:tblW w:w="8322"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554"/>
        <w:gridCol w:w="2715"/>
        <w:gridCol w:w="2836"/>
        <w:gridCol w:w="707"/>
        <w:gridCol w:w="151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701" w:hRule="atLeast"/>
          <w:jc w:val="center"/>
        </w:trPr>
        <w:tc>
          <w:tcPr>
            <w:tcW w:w="55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序号</w:t>
            </w:r>
          </w:p>
        </w:tc>
        <w:tc>
          <w:tcPr>
            <w:tcW w:w="2715"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意见</w:t>
            </w:r>
          </w:p>
        </w:tc>
        <w:tc>
          <w:tcPr>
            <w:tcW w:w="2836"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提出单位/专家</w:t>
            </w:r>
          </w:p>
        </w:tc>
        <w:tc>
          <w:tcPr>
            <w:tcW w:w="707"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采纳</w:t>
            </w:r>
          </w:p>
        </w:tc>
        <w:tc>
          <w:tcPr>
            <w:tcW w:w="151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不采纳（说明原因）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1701" w:hRule="atLeast"/>
          <w:jc w:val="center"/>
        </w:trPr>
        <w:tc>
          <w:tcPr>
            <w:tcW w:w="55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1</w:t>
            </w:r>
          </w:p>
        </w:tc>
        <w:tc>
          <w:tcPr>
            <w:tcW w:w="2715"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 标题及标准中增加“春季”，少数文字修改</w:t>
            </w:r>
          </w:p>
        </w:tc>
        <w:tc>
          <w:tcPr>
            <w:tcW w:w="2836"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 xml:space="preserve">内蒙古自治区农牧业科学院/赵瑞霞研究员 </w:t>
            </w:r>
          </w:p>
        </w:tc>
        <w:tc>
          <w:tcPr>
            <w:tcW w:w="707"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部分采纳</w:t>
            </w:r>
          </w:p>
        </w:tc>
        <w:tc>
          <w:tcPr>
            <w:tcW w:w="151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内容涉及夏季化控，不宜用“春季”限定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1701" w:hRule="atLeast"/>
          <w:jc w:val="center"/>
        </w:trPr>
        <w:tc>
          <w:tcPr>
            <w:tcW w:w="55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2</w:t>
            </w:r>
          </w:p>
        </w:tc>
        <w:tc>
          <w:tcPr>
            <w:tcW w:w="2715"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 少量文字及格式修改</w:t>
            </w:r>
          </w:p>
        </w:tc>
        <w:tc>
          <w:tcPr>
            <w:tcW w:w="2836"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内蒙古自治区农牧业科学院/李银换高级农艺师</w:t>
            </w:r>
          </w:p>
        </w:tc>
        <w:tc>
          <w:tcPr>
            <w:tcW w:w="707"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采纳</w:t>
            </w:r>
          </w:p>
        </w:tc>
        <w:tc>
          <w:tcPr>
            <w:tcW w:w="151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1701" w:hRule="atLeast"/>
          <w:jc w:val="center"/>
        </w:trPr>
        <w:tc>
          <w:tcPr>
            <w:tcW w:w="55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3</w:t>
            </w:r>
          </w:p>
        </w:tc>
        <w:tc>
          <w:tcPr>
            <w:tcW w:w="2715"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 苗期抗旱用化控后，是否能够保证后期早熟？</w:t>
            </w:r>
          </w:p>
        </w:tc>
        <w:tc>
          <w:tcPr>
            <w:tcW w:w="2836"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left"/>
              <w:rPr>
                <w:rFonts w:ascii="Times New Roman" w:hAnsi="Times New Roman" w:eastAsia="宋体" w:cs="Times New Roman"/>
                <w:kern w:val="0"/>
                <w:sz w:val="24"/>
                <w:szCs w:val="32"/>
              </w:rPr>
            </w:pPr>
            <w:r>
              <w:rPr>
                <w:rFonts w:ascii="Times New Roman" w:hAnsi="Times New Roman" w:eastAsia="宋体" w:cs="Times New Roman"/>
                <w:kern w:val="0"/>
                <w:sz w:val="24"/>
                <w:szCs w:val="32"/>
              </w:rPr>
              <w:t> 内蒙古自治区农业技术推广站/贾利欣推广研究员</w:t>
            </w:r>
          </w:p>
        </w:tc>
        <w:tc>
          <w:tcPr>
            <w:tcW w:w="707"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采纳</w:t>
            </w:r>
          </w:p>
        </w:tc>
        <w:tc>
          <w:tcPr>
            <w:tcW w:w="151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widowControl/>
              <w:jc w:val="center"/>
              <w:rPr>
                <w:rFonts w:ascii="Times New Roman" w:hAnsi="Times New Roman" w:eastAsia="宋体" w:cs="Times New Roman"/>
                <w:kern w:val="0"/>
                <w:sz w:val="24"/>
                <w:szCs w:val="32"/>
              </w:rPr>
            </w:pPr>
            <w:r>
              <w:rPr>
                <w:rFonts w:ascii="Times New Roman" w:hAnsi="Times New Roman" w:eastAsia="宋体" w:cs="Times New Roman"/>
                <w:kern w:val="0"/>
                <w:sz w:val="24"/>
                <w:szCs w:val="32"/>
              </w:rPr>
              <w:t> </w:t>
            </w:r>
            <w:bookmarkStart w:id="2" w:name="_GoBack"/>
            <w:bookmarkEnd w:id="2"/>
          </w:p>
        </w:tc>
      </w:tr>
    </w:tbl>
    <w:p/>
    <w:sectPr>
      <w:headerReference r:id="rId3" w:type="default"/>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A85"/>
    <w:rsid w:val="000355A6"/>
    <w:rsid w:val="00037ABA"/>
    <w:rsid w:val="00042B2B"/>
    <w:rsid w:val="000647F5"/>
    <w:rsid w:val="000C5ECA"/>
    <w:rsid w:val="000F1CF9"/>
    <w:rsid w:val="001B3E6D"/>
    <w:rsid w:val="00207008"/>
    <w:rsid w:val="00220575"/>
    <w:rsid w:val="0028490A"/>
    <w:rsid w:val="00286ABB"/>
    <w:rsid w:val="00291846"/>
    <w:rsid w:val="003115A0"/>
    <w:rsid w:val="00311DDB"/>
    <w:rsid w:val="00314B43"/>
    <w:rsid w:val="00351DE2"/>
    <w:rsid w:val="003B7A31"/>
    <w:rsid w:val="00436F29"/>
    <w:rsid w:val="004D784D"/>
    <w:rsid w:val="004E0A1B"/>
    <w:rsid w:val="00543684"/>
    <w:rsid w:val="00573287"/>
    <w:rsid w:val="005878A9"/>
    <w:rsid w:val="005B3432"/>
    <w:rsid w:val="005B63E2"/>
    <w:rsid w:val="006076DE"/>
    <w:rsid w:val="0065109C"/>
    <w:rsid w:val="006673C3"/>
    <w:rsid w:val="00716E56"/>
    <w:rsid w:val="007E1EC0"/>
    <w:rsid w:val="00814DE0"/>
    <w:rsid w:val="00844392"/>
    <w:rsid w:val="00862E78"/>
    <w:rsid w:val="008B66A2"/>
    <w:rsid w:val="008D14F2"/>
    <w:rsid w:val="008D7BB0"/>
    <w:rsid w:val="009077A3"/>
    <w:rsid w:val="00977B65"/>
    <w:rsid w:val="00A54F1C"/>
    <w:rsid w:val="00A55183"/>
    <w:rsid w:val="00A6611F"/>
    <w:rsid w:val="00AC27DD"/>
    <w:rsid w:val="00AD2134"/>
    <w:rsid w:val="00AF36EB"/>
    <w:rsid w:val="00B2576D"/>
    <w:rsid w:val="00B62238"/>
    <w:rsid w:val="00C236EC"/>
    <w:rsid w:val="00C47DF1"/>
    <w:rsid w:val="00CF2294"/>
    <w:rsid w:val="00D21792"/>
    <w:rsid w:val="00D31A85"/>
    <w:rsid w:val="00D55982"/>
    <w:rsid w:val="00D5769F"/>
    <w:rsid w:val="00D57BCA"/>
    <w:rsid w:val="00D914E4"/>
    <w:rsid w:val="00DC409B"/>
    <w:rsid w:val="00E928F6"/>
    <w:rsid w:val="00EA4884"/>
    <w:rsid w:val="00EF6AFA"/>
    <w:rsid w:val="00F229F4"/>
    <w:rsid w:val="00F46324"/>
    <w:rsid w:val="00F87EB1"/>
    <w:rsid w:val="00FA42C6"/>
    <w:rsid w:val="00FC1F27"/>
    <w:rsid w:val="7D930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批注框文本 字符"/>
    <w:basedOn w:val="5"/>
    <w:link w:val="2"/>
    <w:semiHidden/>
    <w:uiPriority w:val="99"/>
    <w:rPr>
      <w:sz w:val="18"/>
      <w:szCs w:val="18"/>
    </w:rPr>
  </w:style>
  <w:style w:type="character" w:customStyle="1" w:styleId="10">
    <w:name w:val="图 字符"/>
    <w:link w:val="11"/>
    <w:uiPriority w:val="0"/>
    <w:rPr>
      <w:rFonts w:ascii="黑体" w:hAnsi="黑体" w:eastAsia="黑体"/>
      <w:sz w:val="24"/>
      <w:szCs w:val="24"/>
      <w:lang w:val="en-US" w:eastAsia="zh-CN"/>
    </w:rPr>
  </w:style>
  <w:style w:type="paragraph" w:customStyle="1" w:styleId="11">
    <w:name w:val="图"/>
    <w:basedOn w:val="1"/>
    <w:link w:val="10"/>
    <w:qFormat/>
    <w:uiPriority w:val="0"/>
    <w:pPr>
      <w:snapToGrid w:val="0"/>
      <w:spacing w:line="360" w:lineRule="auto"/>
      <w:jc w:val="center"/>
    </w:pPr>
    <w:rPr>
      <w:rFonts w:ascii="黑体" w:hAnsi="黑体" w:eastAsia="黑体"/>
      <w:sz w:val="24"/>
      <w:szCs w:val="24"/>
    </w:rPr>
  </w:style>
  <w:style w:type="paragraph" w:customStyle="1" w:styleId="12">
    <w:name w:val="List Paragraph"/>
    <w:basedOn w:val="1"/>
    <w:qFormat/>
    <w:uiPriority w:val="34"/>
    <w:pPr>
      <w:ind w:firstLine="420" w:firstLineChars="200"/>
    </w:pPr>
    <w:rPr>
      <w:rFonts w:ascii="Times New Roman" w:hAnsi="Times New Roman" w:eastAsia="宋体" w:cs="Times New Roman"/>
      <w:szCs w:val="24"/>
    </w:rPr>
  </w:style>
  <w:style w:type="character" w:customStyle="1" w:styleId="13">
    <w:name w:val="text141"/>
    <w:uiPriority w:val="0"/>
    <w:rPr>
      <w:sz w:val="21"/>
      <w:szCs w:val="21"/>
      <w:u w:val="none"/>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704</Words>
  <Characters>4013</Characters>
  <Lines>33</Lines>
  <Paragraphs>9</Paragraphs>
  <TotalTime>0</TotalTime>
  <ScaleCrop>false</ScaleCrop>
  <LinksUpToDate>false</LinksUpToDate>
  <CharactersWithSpaces>4708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2019-12-28T13:30:00Z</dcterms:created>
  <dc:creator>nky</dc:creator>
  <cp:lastModifiedBy>HCH</cp:lastModifiedBy>
  <dcterms:modified xsi:type="dcterms:W3CDTF">2020-04-15T07:36:34Z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