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F" w:rsidRPr="00F55344" w:rsidRDefault="00695665" w:rsidP="006876C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 w:rsidRPr="00F55344"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部分</w:t>
      </w:r>
      <w:r w:rsidR="006876CF" w:rsidRPr="00F55344"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不合格项目解读</w:t>
      </w:r>
    </w:p>
    <w:p w:rsidR="006876CF" w:rsidRPr="00695665" w:rsidRDefault="006876CF" w:rsidP="006876C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  <w:highlight w:val="yellow"/>
        </w:rPr>
      </w:pPr>
    </w:p>
    <w:p w:rsidR="009B44E4" w:rsidRPr="009E01B0" w:rsidRDefault="006876CF" w:rsidP="009E01B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01B0">
        <w:rPr>
          <w:rFonts w:ascii="黑体" w:eastAsia="黑体" w:hAnsi="黑体" w:cs="Times New Roman"/>
          <w:sz w:val="32"/>
          <w:szCs w:val="32"/>
        </w:rPr>
        <w:t>一、</w:t>
      </w:r>
      <w:r w:rsidR="009B44E4" w:rsidRPr="009E01B0">
        <w:rPr>
          <w:rFonts w:ascii="黑体" w:eastAsia="黑体" w:hAnsi="黑体" w:cs="Times New Roman"/>
          <w:sz w:val="32"/>
          <w:szCs w:val="32"/>
        </w:rPr>
        <w:t>氧氟沙星</w:t>
      </w:r>
    </w:p>
    <w:p w:rsidR="009B44E4" w:rsidRPr="00F55344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F55344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F55344">
        <w:rPr>
          <w:rFonts w:ascii="Times New Roman" w:eastAsia="仿宋_GB2312" w:hAnsi="Times New Roman" w:cs="Times New Roman"/>
          <w:sz w:val="32"/>
          <w:szCs w:val="32"/>
        </w:rPr>
        <w:t>诺酮类药物具有广谱抗菌作用，抗菌力强，用于治疗动物的皮肤感染、呼吸道感染等，在养殖业中应用非常普遍。</w:t>
      </w:r>
    </w:p>
    <w:p w:rsidR="009B44E4" w:rsidRPr="00F55344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55344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F55344">
        <w:rPr>
          <w:rFonts w:ascii="Times New Roman" w:eastAsia="仿宋_GB2312" w:hAnsi="Times New Roman" w:cs="Times New Roman"/>
          <w:sz w:val="32"/>
          <w:szCs w:val="32"/>
        </w:rPr>
        <w:t>年发布的农业部公告第</w:t>
      </w:r>
      <w:r w:rsidRPr="00F55344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F55344">
        <w:rPr>
          <w:rFonts w:ascii="Times New Roman" w:eastAsia="仿宋_GB2312" w:hAnsi="Times New Roman" w:cs="Times New Roman"/>
          <w:sz w:val="32"/>
          <w:szCs w:val="32"/>
        </w:rPr>
        <w:t>号明令禁止在食品动物中使用氧氟沙星原料药的各种盐、</w:t>
      </w:r>
      <w:proofErr w:type="gramStart"/>
      <w:r w:rsidRPr="00F55344">
        <w:rPr>
          <w:rFonts w:ascii="Times New Roman" w:eastAsia="仿宋_GB2312" w:hAnsi="Times New Roman" w:cs="Times New Roman"/>
          <w:sz w:val="32"/>
          <w:szCs w:val="32"/>
        </w:rPr>
        <w:t>酯及其</w:t>
      </w:r>
      <w:proofErr w:type="gramEnd"/>
      <w:r w:rsidRPr="00F55344">
        <w:rPr>
          <w:rFonts w:ascii="Times New Roman" w:eastAsia="仿宋_GB2312" w:hAnsi="Times New Roman" w:cs="Times New Roman"/>
          <w:sz w:val="32"/>
          <w:szCs w:val="32"/>
        </w:rPr>
        <w:t>各种制剂。</w:t>
      </w:r>
    </w:p>
    <w:p w:rsidR="009B44E4" w:rsidRPr="00F55344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55344">
        <w:rPr>
          <w:rFonts w:ascii="Times New Roman" w:eastAsia="仿宋_GB2312" w:hAnsi="Times New Roman" w:cs="Times New Roman"/>
          <w:sz w:val="32"/>
          <w:szCs w:val="32"/>
        </w:rPr>
        <w:t>乌鸡和乌鱼中</w:t>
      </w:r>
      <w:proofErr w:type="gramStart"/>
      <w:r w:rsidRPr="00F55344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F55344">
        <w:rPr>
          <w:rFonts w:ascii="Times New Roman" w:eastAsia="仿宋_GB2312" w:hAnsi="Times New Roman" w:cs="Times New Roman"/>
          <w:sz w:val="32"/>
          <w:szCs w:val="32"/>
        </w:rPr>
        <w:t>诺酮类药物超标的原因可能是养殖户不规范</w:t>
      </w:r>
      <w:r w:rsidR="003521E2" w:rsidRPr="00F55344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F55344">
        <w:rPr>
          <w:rFonts w:ascii="Times New Roman" w:eastAsia="仿宋_GB2312" w:hAnsi="Times New Roman" w:cs="Times New Roman"/>
          <w:sz w:val="32"/>
          <w:szCs w:val="32"/>
        </w:rPr>
        <w:t>使用兽药，并不严格遵守休药期的规定造成的。</w:t>
      </w:r>
      <w:proofErr w:type="gramStart"/>
      <w:r w:rsidRPr="00F55344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F55344">
        <w:rPr>
          <w:rFonts w:ascii="Times New Roman" w:eastAsia="仿宋_GB2312" w:hAnsi="Times New Roman" w:cs="Times New Roman"/>
          <w:sz w:val="32"/>
          <w:szCs w:val="32"/>
        </w:rPr>
        <w:t>诺酮类药物的过量摄入</w:t>
      </w:r>
      <w:r w:rsidR="003521E2" w:rsidRPr="00F55344"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 w:rsidRPr="00F55344">
        <w:rPr>
          <w:rFonts w:ascii="Times New Roman" w:eastAsia="仿宋_GB2312" w:hAnsi="Times New Roman" w:cs="Times New Roman"/>
          <w:sz w:val="32"/>
          <w:szCs w:val="32"/>
        </w:rPr>
        <w:t>引起头晕等中枢神经系统疾病，产生肝脏损伤，引起关节水肿，腹泻、恶心和呕吐等胃肠道反应</w:t>
      </w:r>
      <w:r w:rsidR="003521E2" w:rsidRPr="00F5534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006A6" w:rsidRPr="009E01B0" w:rsidRDefault="00F55344" w:rsidP="009E01B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01B0">
        <w:rPr>
          <w:rFonts w:ascii="黑体" w:eastAsia="黑体" w:hAnsi="黑体" w:cs="Times New Roman" w:hint="eastAsia"/>
          <w:sz w:val="32"/>
          <w:szCs w:val="32"/>
        </w:rPr>
        <w:t>二</w:t>
      </w:r>
      <w:r w:rsidR="003521E2" w:rsidRPr="009E01B0">
        <w:rPr>
          <w:rFonts w:ascii="黑体" w:eastAsia="黑体" w:hAnsi="黑体" w:cs="Times New Roman" w:hint="eastAsia"/>
          <w:sz w:val="32"/>
          <w:szCs w:val="32"/>
        </w:rPr>
        <w:t>、</w:t>
      </w:r>
      <w:r w:rsidR="000006A6" w:rsidRPr="009E01B0">
        <w:rPr>
          <w:rFonts w:ascii="黑体" w:eastAsia="黑体" w:hAnsi="黑体" w:cs="Times New Roman"/>
          <w:sz w:val="32"/>
          <w:szCs w:val="32"/>
        </w:rPr>
        <w:t>磺胺类（总量）</w:t>
      </w:r>
    </w:p>
    <w:p w:rsidR="000006A6" w:rsidRPr="00695665" w:rsidRDefault="000006A6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5665">
        <w:rPr>
          <w:rFonts w:ascii="Times New Roman" w:eastAsia="仿宋_GB2312" w:hAnsi="Times New Roman" w:cs="Times New Roman"/>
          <w:sz w:val="32"/>
          <w:szCs w:val="32"/>
        </w:rPr>
        <w:t>磺胺类药物是应用最早的一类人工合成抗菌药，具有抗菌广、性质稳定、较为安全的特点，对大多数革兰氏阳性菌和阴性</w:t>
      </w:r>
      <w:proofErr w:type="gramStart"/>
      <w:r w:rsidRPr="00695665">
        <w:rPr>
          <w:rFonts w:ascii="Times New Roman" w:eastAsia="仿宋_GB2312" w:hAnsi="Times New Roman" w:cs="Times New Roman"/>
          <w:sz w:val="32"/>
          <w:szCs w:val="32"/>
        </w:rPr>
        <w:t>菌</w:t>
      </w:r>
      <w:proofErr w:type="gramEnd"/>
      <w:r w:rsidRPr="00695665">
        <w:rPr>
          <w:rFonts w:ascii="Times New Roman" w:eastAsia="仿宋_GB2312" w:hAnsi="Times New Roman" w:cs="Times New Roman"/>
          <w:sz w:val="32"/>
          <w:szCs w:val="32"/>
        </w:rPr>
        <w:t>都有较强抑制作用，在养殖业中应用广泛。</w:t>
      </w:r>
    </w:p>
    <w:p w:rsidR="000006A6" w:rsidRPr="00695665" w:rsidRDefault="003521E2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5665">
        <w:rPr>
          <w:rFonts w:ascii="Times New Roman" w:eastAsia="仿宋_GB2312" w:hAnsi="Times New Roman" w:cs="Times New Roman"/>
          <w:sz w:val="32"/>
          <w:szCs w:val="32"/>
        </w:rPr>
        <w:t>长期摄入磺胺类超标的食物，会造成人体过敏反应、泌尿系统损害、血液系统反应。</w:t>
      </w:r>
      <w:r w:rsidR="000006A6" w:rsidRPr="00695665">
        <w:rPr>
          <w:rFonts w:ascii="Times New Roman" w:eastAsia="仿宋_GB2312" w:hAnsi="Times New Roman" w:cs="Times New Roman"/>
          <w:sz w:val="32"/>
          <w:szCs w:val="32"/>
        </w:rPr>
        <w:t>《动物性食品中兽药最高残留限量》（农业部公告第</w:t>
      </w:r>
      <w:r w:rsidR="000006A6" w:rsidRPr="00695665">
        <w:rPr>
          <w:rFonts w:ascii="Times New Roman" w:eastAsia="仿宋_GB2312" w:hAnsi="Times New Roman" w:cs="Times New Roman"/>
          <w:sz w:val="32"/>
          <w:szCs w:val="32"/>
        </w:rPr>
        <w:t>235</w:t>
      </w:r>
      <w:r w:rsidR="000006A6" w:rsidRPr="00695665">
        <w:rPr>
          <w:rFonts w:ascii="Times New Roman" w:eastAsia="仿宋_GB2312" w:hAnsi="Times New Roman" w:cs="Times New Roman"/>
          <w:sz w:val="32"/>
          <w:szCs w:val="32"/>
        </w:rPr>
        <w:t>号）中规定动物源食品中残留的磺胺类药物（总量）</w:t>
      </w:r>
      <w:r w:rsidR="000006A6" w:rsidRPr="00695665">
        <w:rPr>
          <w:rFonts w:ascii="仿宋_GB2312" w:eastAsia="仿宋_GB2312" w:hAnsi="Times New Roman" w:cs="Times New Roman" w:hint="eastAsia"/>
          <w:sz w:val="32"/>
          <w:szCs w:val="32"/>
        </w:rPr>
        <w:t>≤</w:t>
      </w:r>
      <w:r w:rsidR="000006A6" w:rsidRPr="00695665">
        <w:rPr>
          <w:rFonts w:ascii="Times New Roman" w:eastAsia="仿宋_GB2312" w:hAnsi="Times New Roman" w:cs="Times New Roman"/>
          <w:sz w:val="32"/>
          <w:szCs w:val="32"/>
        </w:rPr>
        <w:t>100μg/kg</w:t>
      </w:r>
      <w:r w:rsidR="000006A6" w:rsidRPr="006956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B44E4" w:rsidRPr="009E01B0" w:rsidRDefault="00F55344" w:rsidP="00E25F04">
      <w:pPr>
        <w:keepNext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01B0">
        <w:rPr>
          <w:rFonts w:ascii="黑体" w:eastAsia="黑体" w:hAnsi="黑体" w:cs="Times New Roman" w:hint="eastAsia"/>
          <w:sz w:val="32"/>
          <w:szCs w:val="32"/>
        </w:rPr>
        <w:t>三</w:t>
      </w:r>
      <w:r w:rsidR="003521E2" w:rsidRPr="009E01B0">
        <w:rPr>
          <w:rFonts w:ascii="黑体" w:eastAsia="黑体" w:hAnsi="黑体" w:cs="Times New Roman" w:hint="eastAsia"/>
          <w:sz w:val="32"/>
          <w:szCs w:val="32"/>
        </w:rPr>
        <w:t>、</w:t>
      </w:r>
      <w:r w:rsidR="009B44E4" w:rsidRPr="009E01B0">
        <w:rPr>
          <w:rFonts w:ascii="黑体" w:eastAsia="黑体" w:hAnsi="黑体" w:cs="Times New Roman"/>
          <w:sz w:val="32"/>
          <w:szCs w:val="32"/>
        </w:rPr>
        <w:t>4-氯苯氧乙酸钠</w:t>
      </w:r>
    </w:p>
    <w:p w:rsidR="009B44E4" w:rsidRPr="00695665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氯苯氧乙酸钠，又名</w:t>
      </w:r>
      <w:proofErr w:type="gramStart"/>
      <w:r w:rsidRPr="00695665">
        <w:rPr>
          <w:rFonts w:ascii="Times New Roman" w:eastAsia="仿宋_GB2312" w:hAnsi="Times New Roman" w:cs="Times New Roman"/>
          <w:sz w:val="32"/>
          <w:szCs w:val="32"/>
        </w:rPr>
        <w:t>防落素</w:t>
      </w:r>
      <w:proofErr w:type="gramEnd"/>
      <w:r w:rsidRPr="00695665">
        <w:rPr>
          <w:rFonts w:ascii="Times New Roman" w:eastAsia="仿宋_GB2312" w:hAnsi="Times New Roman" w:cs="Times New Roman"/>
          <w:sz w:val="32"/>
          <w:szCs w:val="32"/>
        </w:rPr>
        <w:t>，是一种较为广谱的植物生长调节剂，酸化后以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氯苯氧乙酸存在。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lastRenderedPageBreak/>
        <w:t>在豆芽生产中可以促进豆芽下胚轴粗大，减少根部萌发，加速细胞分裂，使豆芽更加肥嫩、粗壮，提高豆芽的产量。</w:t>
      </w:r>
    </w:p>
    <w:p w:rsidR="003521E2" w:rsidRPr="00695665" w:rsidRDefault="003521E2" w:rsidP="003521E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5665">
        <w:rPr>
          <w:rFonts w:ascii="Times New Roman" w:eastAsia="仿宋_GB2312" w:hAnsi="Times New Roman" w:cs="Times New Roman"/>
          <w:sz w:val="32"/>
          <w:szCs w:val="32"/>
        </w:rPr>
        <w:t>相关研究表明，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氯苯氧乙酸钠对小鼠为低毒、低蓄积性药物，其毒性效应主要表现为对小鼠肝脏和肾脏的毒性作用。此外，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氯苯氧乙酸钠能够诱导大鼠性细胞凋亡。因此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氯苯氧乙酸钠在人体内的残留及其对健康的危害作用不容忽视。</w:t>
      </w:r>
    </w:p>
    <w:p w:rsidR="005F735A" w:rsidRDefault="009B44E4" w:rsidP="003521E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566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年，国家食品药品监督管理总局、农业部和国家卫生和计划生育委员会联合发布的《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11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号公告》规定，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6-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氯苯氧乙酸钠、赤霉素等物质作为低毒农药登记管理并限定了使用范围，豆芽生产不在可使用范围之列。生产者不得在豆芽生产过程中使用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 xml:space="preserve"> 6-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氯苯氧乙酸钠、赤霉素等物质，豆芽经营者不得经营含有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6-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4-</w:t>
      </w:r>
      <w:r w:rsidRPr="00695665">
        <w:rPr>
          <w:rFonts w:ascii="Times New Roman" w:eastAsia="仿宋_GB2312" w:hAnsi="Times New Roman" w:cs="Times New Roman"/>
          <w:sz w:val="32"/>
          <w:szCs w:val="32"/>
        </w:rPr>
        <w:t>氯苯氧乙酸钠、赤霉素等物质的豆芽。</w:t>
      </w:r>
    </w:p>
    <w:p w:rsidR="00F55344" w:rsidRPr="009E01B0" w:rsidRDefault="00F55344" w:rsidP="009E01B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01B0">
        <w:rPr>
          <w:rFonts w:ascii="黑体" w:eastAsia="黑体" w:hAnsi="黑体" w:cs="Times New Roman" w:hint="eastAsia"/>
          <w:sz w:val="32"/>
          <w:szCs w:val="32"/>
        </w:rPr>
        <w:t>四、冰乙酸含量</w:t>
      </w:r>
    </w:p>
    <w:p w:rsidR="00F55344" w:rsidRDefault="00F55344" w:rsidP="00F5534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55344">
        <w:rPr>
          <w:rFonts w:ascii="Times New Roman" w:eastAsia="仿宋_GB2312" w:hAnsi="Times New Roman" w:cs="Times New Roman" w:hint="eastAsia"/>
          <w:sz w:val="32"/>
          <w:szCs w:val="32"/>
        </w:rPr>
        <w:t>冰乙酸含量项目不合格，应是产品精馏或提纯控制不到位，导致产品可能含有较多的水分、甲酸、丙酸、乙酸酯类等杂质。</w:t>
      </w:r>
    </w:p>
    <w:p w:rsidR="00F55344" w:rsidRPr="009E01B0" w:rsidRDefault="00F55344" w:rsidP="009E01B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01B0">
        <w:rPr>
          <w:rFonts w:ascii="黑体" w:eastAsia="黑体" w:hAnsi="黑体" w:cs="Times New Roman" w:hint="eastAsia"/>
          <w:sz w:val="32"/>
          <w:szCs w:val="32"/>
        </w:rPr>
        <w:t>五、</w:t>
      </w:r>
      <w:r w:rsidR="00605AE7" w:rsidRPr="009E01B0">
        <w:rPr>
          <w:rFonts w:ascii="黑体" w:eastAsia="黑体" w:hAnsi="黑体" w:cs="Times New Roman" w:hint="eastAsia"/>
          <w:sz w:val="32"/>
          <w:szCs w:val="32"/>
        </w:rPr>
        <w:t>水分</w:t>
      </w:r>
      <w:r w:rsidRPr="009E01B0">
        <w:rPr>
          <w:rFonts w:ascii="黑体" w:eastAsia="黑体" w:hAnsi="黑体" w:cs="Times New Roman" w:hint="eastAsia"/>
          <w:sz w:val="32"/>
          <w:szCs w:val="32"/>
        </w:rPr>
        <w:t>（</w:t>
      </w:r>
      <w:r w:rsidR="00605AE7" w:rsidRPr="009E01B0">
        <w:rPr>
          <w:rFonts w:ascii="黑体" w:eastAsia="黑体" w:hAnsi="黑体" w:cs="Times New Roman" w:hint="eastAsia"/>
          <w:sz w:val="32"/>
          <w:szCs w:val="32"/>
        </w:rPr>
        <w:t>活性白土</w:t>
      </w:r>
      <w:r w:rsidRPr="009E01B0">
        <w:rPr>
          <w:rFonts w:ascii="黑体" w:eastAsia="黑体" w:hAnsi="黑体" w:cs="Times New Roman" w:hint="eastAsia"/>
          <w:sz w:val="32"/>
          <w:szCs w:val="32"/>
        </w:rPr>
        <w:t>）</w:t>
      </w:r>
    </w:p>
    <w:p w:rsidR="00F55344" w:rsidRDefault="00F55344" w:rsidP="00F5534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活性白土</w:t>
      </w:r>
      <w:r w:rsidR="00605AE7">
        <w:rPr>
          <w:rFonts w:ascii="Times New Roman" w:eastAsia="仿宋_GB2312" w:hAnsi="Times New Roman" w:cs="Times New Roman" w:hint="eastAsia"/>
          <w:sz w:val="32"/>
          <w:szCs w:val="32"/>
        </w:rPr>
        <w:t>的水分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不合格，应</w:t>
      </w:r>
      <w:r w:rsidRPr="00F55344">
        <w:rPr>
          <w:rFonts w:ascii="Times New Roman" w:eastAsia="仿宋_GB2312" w:hAnsi="Times New Roman" w:cs="Times New Roman" w:hint="eastAsia"/>
          <w:sz w:val="32"/>
          <w:szCs w:val="32"/>
        </w:rPr>
        <w:t>是烘干、粉磨工序的烘干温度或烘干时间控制不到位，导致“水分”超标。</w:t>
      </w:r>
      <w:bookmarkStart w:id="0" w:name="_GoBack"/>
      <w:bookmarkEnd w:id="0"/>
    </w:p>
    <w:p w:rsidR="009E01B0" w:rsidRPr="009E01B0" w:rsidRDefault="009E01B0" w:rsidP="009E01B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01B0">
        <w:rPr>
          <w:rFonts w:ascii="黑体" w:eastAsia="黑体" w:hAnsi="黑体" w:cs="Times New Roman" w:hint="eastAsia"/>
          <w:sz w:val="32"/>
          <w:szCs w:val="32"/>
        </w:rPr>
        <w:t>六、维生素A</w:t>
      </w:r>
    </w:p>
    <w:p w:rsidR="009E01B0" w:rsidRPr="009E01B0" w:rsidRDefault="009E01B0" w:rsidP="009E01B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维生素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是维持人体正常代谢和机能所必须的一类重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要脂溶性维生素，可促进生长发育，保护视觉与上皮细胞。维生素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含量不符合要求的原因，可能是生产企业对原料质量把关不严，或未按照配方标准投料生产，或生产工艺设计不合理导致有效成分损失等。</w:t>
      </w:r>
    </w:p>
    <w:p w:rsidR="009E01B0" w:rsidRPr="009E01B0" w:rsidRDefault="009E01B0" w:rsidP="009E01B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r w:rsidRPr="009E01B0">
        <w:rPr>
          <w:rFonts w:ascii="黑体" w:eastAsia="黑体" w:hAnsi="黑体" w:cs="Times New Roman" w:hint="eastAsia"/>
          <w:sz w:val="32"/>
          <w:szCs w:val="32"/>
        </w:rPr>
        <w:t>、总灰分</w:t>
      </w:r>
    </w:p>
    <w:p w:rsidR="009E01B0" w:rsidRPr="009E01B0" w:rsidRDefault="009E01B0" w:rsidP="009E01B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总灰分通常是指食品经高温灼烧等手段残留下来的无机物，其来源包括生理灰分和外来杂质。根据《陕西仁康药业有限公司企业标准》（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Q/SXRK 0063S-2019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）的规定，本次抽检产品“凤</w:t>
      </w:r>
      <w:proofErr w:type="gramStart"/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鑫</w:t>
      </w:r>
      <w:proofErr w:type="gramEnd"/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龙源牌快便茶”中总灰分不得超过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8%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。总灰分含量不符合要求的原因，可能是植物原料受生长环境影响导致生理灰分偏高，或原料混有泥沙等外来杂质但加工过程清洗不到位，或在加工过程中混入一些泥沙等机械污染物等。</w:t>
      </w:r>
    </w:p>
    <w:p w:rsidR="009E01B0" w:rsidRPr="009E01B0" w:rsidRDefault="009E01B0" w:rsidP="009E01B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</w:t>
      </w:r>
      <w:r w:rsidRPr="009E01B0">
        <w:rPr>
          <w:rFonts w:ascii="黑体" w:eastAsia="黑体" w:hAnsi="黑体" w:cs="Times New Roman" w:hint="eastAsia"/>
          <w:sz w:val="32"/>
          <w:szCs w:val="32"/>
        </w:rPr>
        <w:t>、短缺量/装量差异</w:t>
      </w:r>
    </w:p>
    <w:p w:rsidR="009E01B0" w:rsidRPr="009E01B0" w:rsidRDefault="009E01B0" w:rsidP="00F6400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短缺量为净含量指标，指单件定量包装商品的实际含量低于标注净含量的值，用于控制销售包装的包装量，根据《江西省食品安全企业标准》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(Q/JHX 0017S-2016)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的规定，应符合《定量包装商品计量监督管理办法》的要求。装量差异为制剂的均匀性检测指标，根据《石药集团中诺药业（泰州）有限公司企业标准》（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Q/ZNTZ 0047S-2018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）的规定，装量差异应符合《中国药典》“制剂通则”项下“口服溶液剂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口服混悬剂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口服乳剂”的规定。抽检产品短缺量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t>装量差异不符合要求的原因，可能是生产企业计量管理制度不健全，缺乏</w:t>
      </w:r>
      <w:r w:rsidRPr="009E01B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相应管理机制；或计量器具准确度低，达不到灌装要求精度；或对指标要求理解不到位等。</w:t>
      </w:r>
    </w:p>
    <w:sectPr w:rsidR="009E01B0" w:rsidRPr="009E01B0" w:rsidSect="0044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BC" w:rsidRDefault="007D2ABC" w:rsidP="00DD49FC">
      <w:r>
        <w:separator/>
      </w:r>
    </w:p>
  </w:endnote>
  <w:endnote w:type="continuationSeparator" w:id="0">
    <w:p w:rsidR="007D2ABC" w:rsidRDefault="007D2ABC" w:rsidP="00DD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BC" w:rsidRDefault="007D2ABC" w:rsidP="00DD49FC">
      <w:r>
        <w:separator/>
      </w:r>
    </w:p>
  </w:footnote>
  <w:footnote w:type="continuationSeparator" w:id="0">
    <w:p w:rsidR="007D2ABC" w:rsidRDefault="007D2ABC" w:rsidP="00DD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4E4"/>
    <w:rsid w:val="000006A6"/>
    <w:rsid w:val="000E2400"/>
    <w:rsid w:val="001B2D32"/>
    <w:rsid w:val="003521E2"/>
    <w:rsid w:val="003A5B70"/>
    <w:rsid w:val="00444EDE"/>
    <w:rsid w:val="004632F8"/>
    <w:rsid w:val="00605AE7"/>
    <w:rsid w:val="006876CF"/>
    <w:rsid w:val="00695665"/>
    <w:rsid w:val="007D2ABC"/>
    <w:rsid w:val="009B44E4"/>
    <w:rsid w:val="009E01B0"/>
    <w:rsid w:val="00DD49FC"/>
    <w:rsid w:val="00E25F04"/>
    <w:rsid w:val="00ED3202"/>
    <w:rsid w:val="00F55344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9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11</cp:revision>
  <dcterms:created xsi:type="dcterms:W3CDTF">2020-03-13T06:27:00Z</dcterms:created>
  <dcterms:modified xsi:type="dcterms:W3CDTF">2020-04-16T01:53:00Z</dcterms:modified>
</cp:coreProperties>
</file>