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2B271" w14:textId="77777777" w:rsidR="009860DC" w:rsidRDefault="009860DC">
      <w:pPr>
        <w:pStyle w:val="affffff"/>
        <w:framePr w:wrap="around"/>
      </w:pPr>
      <w:r>
        <w:rPr>
          <w:rFonts w:ascii="Times New Roman"/>
        </w:rPr>
        <w:t>ICS</w:t>
      </w:r>
      <w:r>
        <w:rPr>
          <w:rFonts w:ascii="Cambria Math" w:hAnsi="Cambria Math" w:cs="Cambria Math"/>
        </w:rPr>
        <w:t> </w:t>
      </w:r>
      <w:bookmarkStart w:id="0" w:name="ICS"/>
      <w:r>
        <w:fldChar w:fldCharType="begin">
          <w:ffData>
            <w:name w:val="ICS"/>
            <w:enabled/>
            <w:calcOnExit w:val="0"/>
            <w:helpText w:type="autoText" w:val="请输入正确的ICS号："/>
            <w:textInput>
              <w:default w:val="点击此处添加ICS号"/>
            </w:textInput>
          </w:ffData>
        </w:fldChar>
      </w:r>
      <w:r>
        <w:instrText xml:space="preserve"> FORMTEXT </w:instrText>
      </w:r>
      <w:r>
        <w:fldChar w:fldCharType="separate"/>
      </w:r>
      <w:r w:rsidR="006C2202">
        <w:t> </w:t>
      </w:r>
      <w:r w:rsidR="006C2202">
        <w:t> </w:t>
      </w:r>
      <w:r w:rsidR="006C2202">
        <w:t> </w:t>
      </w:r>
      <w:r w:rsidR="006C2202">
        <w:t> </w:t>
      </w:r>
      <w:r w:rsidR="006C2202">
        <w:t> </w:t>
      </w:r>
      <w:r>
        <w:fldChar w:fldCharType="end"/>
      </w:r>
      <w:bookmarkEnd w:id="0"/>
    </w:p>
    <w:bookmarkStart w:id="1" w:name="WXFLH"/>
    <w:p w14:paraId="2AE44184" w14:textId="77777777" w:rsidR="009860DC" w:rsidRDefault="009860DC">
      <w:pPr>
        <w:pStyle w:val="affffff"/>
        <w:framePr w:wrap="around"/>
      </w:pPr>
      <w:r>
        <w:fldChar w:fldCharType="begin">
          <w:ffData>
            <w:name w:val="WXFLH"/>
            <w:enabled/>
            <w:calcOnExit w:val="0"/>
            <w:helpText w:type="autoText" w:val="请输入中国标准文献分类号："/>
            <w:textInput>
              <w:default w:val="点击此处添加中国标准文献分类号"/>
            </w:textInput>
          </w:ffData>
        </w:fldChar>
      </w:r>
      <w:r>
        <w:instrText xml:space="preserve"> FORMTEXT </w:instrText>
      </w:r>
      <w:r>
        <w:fldChar w:fldCharType="separate"/>
      </w:r>
      <w:r>
        <w:rPr>
          <w:rFonts w:hint="eastAsia"/>
        </w:rPr>
        <w:t>点击此处添加中国标准文献分类号</w:t>
      </w:r>
      <w:r>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9860DC" w14:paraId="78DE7FF0" w14:textId="77777777">
        <w:tc>
          <w:tcPr>
            <w:tcW w:w="9854" w:type="dxa"/>
            <w:tcBorders>
              <w:top w:val="nil"/>
              <w:left w:val="nil"/>
              <w:bottom w:val="nil"/>
              <w:right w:val="nil"/>
            </w:tcBorders>
          </w:tcPr>
          <w:p w14:paraId="11B21BBB" w14:textId="77777777" w:rsidR="009860DC" w:rsidRDefault="00E24A5C">
            <w:pPr>
              <w:pStyle w:val="affffff"/>
              <w:framePr w:wrap="around"/>
            </w:pPr>
            <w:r>
              <w:rPr>
                <w:noProof/>
              </w:rPr>
              <mc:AlternateContent>
                <mc:Choice Requires="wps">
                  <w:drawing>
                    <wp:anchor distT="0" distB="0" distL="114300" distR="114300" simplePos="0" relativeHeight="251658240" behindDoc="1" locked="0" layoutInCell="1" allowOverlap="1" wp14:anchorId="27EC8429" wp14:editId="3796E733">
                      <wp:simplePos x="0" y="0"/>
                      <wp:positionH relativeFrom="column">
                        <wp:posOffset>-66675</wp:posOffset>
                      </wp:positionH>
                      <wp:positionV relativeFrom="paragraph">
                        <wp:posOffset>0</wp:posOffset>
                      </wp:positionV>
                      <wp:extent cx="866775" cy="198120"/>
                      <wp:effectExtent l="0" t="3810" r="4445" b="0"/>
                      <wp:wrapNone/>
                      <wp:docPr id="7"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9B9D4" id="BAH" o:spid="_x0000_s1026" style="position:absolute;left:0;text-align:left;margin-left:-5.25pt;margin-top:0;width:68.25pt;height:1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" stroked="f"/>
                  </w:pict>
                </mc:Fallback>
              </mc:AlternateContent>
            </w:r>
            <w:r w:rsidR="009860DC">
              <w:fldChar w:fldCharType="begin">
                <w:ffData>
                  <w:name w:val="BAH"/>
                  <w:enabled/>
                  <w:calcOnExit w:val="0"/>
                  <w:textInput/>
                </w:ffData>
              </w:fldChar>
            </w:r>
            <w:bookmarkStart w:id="2" w:name="BAH"/>
            <w:r w:rsidR="009860DC">
              <w:instrText xml:space="preserve"> FORMTEXT </w:instrText>
            </w:r>
            <w:r w:rsidR="009860DC">
              <w:fldChar w:fldCharType="separate"/>
            </w:r>
            <w:r w:rsidR="009860DC">
              <w:t>     </w:t>
            </w:r>
            <w:r w:rsidR="009860DC">
              <w:fldChar w:fldCharType="end"/>
            </w:r>
            <w:bookmarkEnd w:id="2"/>
          </w:p>
        </w:tc>
      </w:tr>
    </w:tbl>
    <w:p w14:paraId="0ADF246F" w14:textId="77777777" w:rsidR="009860DC" w:rsidRDefault="009860DC">
      <w:pPr>
        <w:pStyle w:val="afffffc"/>
        <w:framePr w:wrap="around"/>
      </w:pPr>
      <w:r>
        <w:t>DB</w:t>
      </w:r>
      <w:bookmarkStart w:id="3" w:name="c3"/>
      <w:r>
        <w:fldChar w:fldCharType="begin">
          <w:ffData>
            <w:name w:val="c3"/>
            <w:enabled/>
            <w:calcOnExit w:val="0"/>
            <w:entryMacro w:val="ShowHelp16"/>
            <w:textInput>
              <w:maxLength w:val="2"/>
            </w:textInput>
          </w:ffData>
        </w:fldChar>
      </w:r>
      <w:r>
        <w:instrText xml:space="preserve"> FORMTEXT </w:instrText>
      </w:r>
      <w:r>
        <w:fldChar w:fldCharType="separate"/>
      </w:r>
      <w:r>
        <w:rPr>
          <w:rFonts w:hint="eastAsia"/>
        </w:rPr>
        <w:t>34</w:t>
      </w:r>
      <w:r>
        <w:fldChar w:fldCharType="end"/>
      </w:r>
      <w:bookmarkEnd w:id="3"/>
    </w:p>
    <w:bookmarkStart w:id="4" w:name="c4"/>
    <w:p w14:paraId="2D856EBF" w14:textId="77777777" w:rsidR="009860DC" w:rsidRDefault="009860DC">
      <w:pPr>
        <w:pStyle w:val="affff9"/>
        <w:framePr w:wrap="around"/>
      </w:pPr>
      <w:r>
        <w:fldChar w:fldCharType="begin">
          <w:ffData>
            <w:name w:val="c4"/>
            <w:enabled/>
            <w:calcOnExit w:val="0"/>
            <w:entryMacro w:val="showhelp12"/>
            <w:textInput/>
          </w:ffData>
        </w:fldChar>
      </w:r>
      <w:r>
        <w:instrText xml:space="preserve"> FORMTEXT </w:instrText>
      </w:r>
      <w:r>
        <w:fldChar w:fldCharType="separate"/>
      </w:r>
      <w:r>
        <w:rPr>
          <w:rFonts w:hint="eastAsia"/>
        </w:rPr>
        <w:t>安徽省</w:t>
      </w:r>
      <w:r>
        <w:fldChar w:fldCharType="end"/>
      </w:r>
      <w:bookmarkEnd w:id="4"/>
      <w:r>
        <w:rPr>
          <w:rFonts w:hint="eastAsia"/>
        </w:rPr>
        <w:t>地方标准</w:t>
      </w:r>
    </w:p>
    <w:p w14:paraId="72F6669B" w14:textId="77777777" w:rsidR="009860DC" w:rsidRDefault="009860DC">
      <w:pPr>
        <w:pStyle w:val="23"/>
        <w:framePr w:wrap="around"/>
      </w:pPr>
      <w:r>
        <w:rPr>
          <w:rFonts w:ascii="Times New Roman"/>
        </w:rPr>
        <w:t xml:space="preserve">DB </w:t>
      </w:r>
      <w:bookmarkStart w:id="5" w:name="StdNo0"/>
      <w:r>
        <w:fldChar w:fldCharType="begin">
          <w:ffData>
            <w:name w:val="StdNo0"/>
            <w:enabled/>
            <w:calcOnExit w:val="0"/>
            <w:textInput>
              <w:default w:val="XX"/>
              <w:maxLength w:val="2"/>
            </w:textInput>
          </w:ffData>
        </w:fldChar>
      </w:r>
      <w:r>
        <w:instrText xml:space="preserve"> FORMTEXT </w:instrText>
      </w:r>
      <w:r>
        <w:fldChar w:fldCharType="separate"/>
      </w:r>
      <w:r>
        <w:rPr>
          <w:rFonts w:hint="eastAsia"/>
        </w:rPr>
        <w:t>34</w:t>
      </w:r>
      <w:r>
        <w:fldChar w:fldCharType="end"/>
      </w:r>
      <w:bookmarkEnd w:id="5"/>
      <w:r>
        <w:t xml:space="preserve">/ </w:t>
      </w:r>
      <w:bookmarkStart w:id="6" w:name="StdNo1"/>
      <w:r>
        <w:fldChar w:fldCharType="begin">
          <w:ffData>
            <w:name w:val="StdNo1"/>
            <w:enabled/>
            <w:calcOnExit w:val="0"/>
            <w:textInput>
              <w:default w:val="XXXXX"/>
            </w:textInput>
          </w:ffData>
        </w:fldChar>
      </w:r>
      <w:r>
        <w:instrText xml:space="preserve"> FORMTEXT </w:instrText>
      </w:r>
      <w:r>
        <w:fldChar w:fldCharType="separate"/>
      </w:r>
      <w:r>
        <w:t>XXXXX</w:t>
      </w:r>
      <w:r>
        <w:fldChar w:fldCharType="end"/>
      </w:r>
      <w:bookmarkEnd w:id="6"/>
      <w:r>
        <w:t>—</w:t>
      </w:r>
      <w:bookmarkStart w:id="7" w:name="StdNo2"/>
      <w:r>
        <w:fldChar w:fldCharType="begin">
          <w:ffData>
            <w:name w:val="StdNo2"/>
            <w:enabled/>
            <w:calcOnExit w:val="0"/>
            <w:textInput>
              <w:default w:val="XXXX"/>
              <w:maxLength w:val="4"/>
            </w:textInput>
          </w:ffData>
        </w:fldChar>
      </w:r>
      <w:r>
        <w:instrText xml:space="preserve"> FORMTEXT </w:instrText>
      </w:r>
      <w:r>
        <w:fldChar w:fldCharType="separate"/>
      </w:r>
      <w:r>
        <w:t>XXXX</w:t>
      </w:r>
      <w:r>
        <w:fldChar w:fldCharType="end"/>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9860DC" w14:paraId="1E142210" w14:textId="77777777">
        <w:tc>
          <w:tcPr>
            <w:tcW w:w="9356" w:type="dxa"/>
            <w:tcBorders>
              <w:top w:val="nil"/>
              <w:left w:val="nil"/>
              <w:bottom w:val="nil"/>
              <w:right w:val="nil"/>
            </w:tcBorders>
          </w:tcPr>
          <w:bookmarkStart w:id="8" w:name="DT"/>
          <w:p w14:paraId="71CB449D" w14:textId="77777777" w:rsidR="009860DC" w:rsidRDefault="00E24A5C">
            <w:pPr>
              <w:pStyle w:val="afffff3"/>
              <w:framePr w:wrap="around"/>
            </w:pPr>
            <w:r>
              <w:rPr>
                <w:noProof/>
              </w:rPr>
              <mc:AlternateContent>
                <mc:Choice Requires="wps">
                  <w:drawing>
                    <wp:anchor distT="0" distB="0" distL="114300" distR="114300" simplePos="0" relativeHeight="251655168" behindDoc="1" locked="0" layoutInCell="1" allowOverlap="1" wp14:anchorId="333052E4" wp14:editId="5FE8B39E">
                      <wp:simplePos x="0" y="0"/>
                      <wp:positionH relativeFrom="column">
                        <wp:posOffset>4734560</wp:posOffset>
                      </wp:positionH>
                      <wp:positionV relativeFrom="paragraph">
                        <wp:posOffset>34290</wp:posOffset>
                      </wp:positionV>
                      <wp:extent cx="1143000" cy="228600"/>
                      <wp:effectExtent l="0" t="0" r="3175" b="0"/>
                      <wp:wrapNone/>
                      <wp:docPr id="6"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25157" id="DT" o:spid="_x0000_s1026" style="position:absolute;left:0;text-align:left;margin-left:372.8pt;margin-top:2.7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" stroked="f"/>
                  </w:pict>
                </mc:Fallback>
              </mc:AlternateContent>
            </w:r>
            <w:r w:rsidR="009860DC">
              <w:fldChar w:fldCharType="begin">
                <w:ffData>
                  <w:name w:val="DT"/>
                  <w:enabled/>
                  <w:calcOnExit w:val="0"/>
                  <w:entryMacro w:val="ShowHelp4"/>
                  <w:textInput/>
                </w:ffData>
              </w:fldChar>
            </w:r>
            <w:r w:rsidR="009860DC">
              <w:instrText xml:space="preserve"> FORMTEXT </w:instrText>
            </w:r>
            <w:r w:rsidR="009860DC">
              <w:fldChar w:fldCharType="separate"/>
            </w:r>
            <w:r w:rsidR="009860DC">
              <w:t>     </w:t>
            </w:r>
            <w:r w:rsidR="009860DC">
              <w:fldChar w:fldCharType="end"/>
            </w:r>
            <w:bookmarkEnd w:id="8"/>
          </w:p>
        </w:tc>
      </w:tr>
    </w:tbl>
    <w:p w14:paraId="056B905D" w14:textId="77777777" w:rsidR="009860DC" w:rsidRDefault="009860DC">
      <w:pPr>
        <w:pStyle w:val="23"/>
        <w:framePr w:wrap="around"/>
      </w:pPr>
    </w:p>
    <w:p w14:paraId="0A8DFD61" w14:textId="77777777" w:rsidR="009860DC" w:rsidRDefault="009860DC">
      <w:pPr>
        <w:pStyle w:val="23"/>
        <w:framePr w:wrap="around"/>
      </w:pPr>
    </w:p>
    <w:bookmarkStart w:id="9" w:name="StdName"/>
    <w:p w14:paraId="60FFDAB8" w14:textId="770EBB5B" w:rsidR="009860DC" w:rsidRDefault="009860DC" w:rsidP="00057C89">
      <w:pPr>
        <w:pStyle w:val="afffb"/>
        <w:framePr w:wrap="around"/>
      </w:pPr>
      <w:r>
        <w:fldChar w:fldCharType="begin">
          <w:ffData>
            <w:name w:val="StdName"/>
            <w:enabled/>
            <w:calcOnExit w:val="0"/>
            <w:textInput>
              <w:default w:val="点击此处添加标准名称"/>
            </w:textInput>
          </w:ffData>
        </w:fldChar>
      </w:r>
      <w:r>
        <w:instrText xml:space="preserve"> FORMTEXT </w:instrText>
      </w:r>
      <w:r>
        <w:fldChar w:fldCharType="separate"/>
      </w:r>
      <w:r w:rsidR="00057C89" w:rsidRPr="00057C89">
        <w:rPr>
          <w:rFonts w:hint="eastAsia"/>
        </w:rPr>
        <w:t>规模化猪场非洲猪瘟生物安全防控技术规范</w:t>
      </w:r>
      <w:r>
        <w:fldChar w:fldCharType="end"/>
      </w:r>
      <w:bookmarkEnd w:id="9"/>
    </w:p>
    <w:bookmarkStart w:id="10" w:name="StdEnglishName"/>
    <w:p w14:paraId="52769F48" w14:textId="2236B426" w:rsidR="009860DC" w:rsidRDefault="009860DC">
      <w:pPr>
        <w:pStyle w:val="afff7"/>
        <w:framePr w:wrap="around"/>
      </w:pPr>
      <w:r>
        <w:fldChar w:fldCharType="begin">
          <w:ffData>
            <w:name w:val="StdEnglishName"/>
            <w:enabled/>
            <w:calcOnExit w:val="0"/>
            <w:textInput>
              <w:default w:val="点击此处添加标准英文译名"/>
            </w:textInput>
          </w:ffData>
        </w:fldChar>
      </w:r>
      <w:r>
        <w:instrText xml:space="preserve"> FORMTEXT </w:instrText>
      </w:r>
      <w:r>
        <w:fldChar w:fldCharType="separate"/>
      </w:r>
      <w:r w:rsidR="00057C89" w:rsidRPr="00057C89">
        <w:t>Technical Regulations for Biosafety Prevention and Control of African Swine Fever in Scaled Pig Farms</w:t>
      </w:r>
      <w:r>
        <w:fldChar w:fldCharType="end"/>
      </w:r>
      <w:bookmarkEnd w:id="10"/>
    </w:p>
    <w:bookmarkStart w:id="11" w:name="YZBS"/>
    <w:p w14:paraId="2BC97037" w14:textId="77777777" w:rsidR="009860DC" w:rsidRDefault="009860DC">
      <w:pPr>
        <w:pStyle w:val="afff6"/>
        <w:framePr w:wrap="around"/>
      </w:pPr>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rPr>
          <w:rFonts w:hint="eastAsia"/>
        </w:rPr>
        <w:t xml:space="preserve"> 点击此处添加与国际标准一致性程度的标识</w:t>
      </w:r>
      <w:r>
        <w:fldChar w:fldCharType="end"/>
      </w:r>
      <w:bookmarkEnd w:id="1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9860DC" w14:paraId="37168EA4" w14:textId="77777777">
        <w:tc>
          <w:tcPr>
            <w:tcW w:w="9855" w:type="dxa"/>
            <w:tcBorders>
              <w:top w:val="nil"/>
              <w:left w:val="nil"/>
              <w:bottom w:val="nil"/>
              <w:right w:val="nil"/>
            </w:tcBorders>
          </w:tcPr>
          <w:p w14:paraId="69E2A666" w14:textId="1744984A" w:rsidR="009860DC" w:rsidRDefault="00E24A5C">
            <w:pPr>
              <w:pStyle w:val="afff3"/>
              <w:framePr w:wrap="around"/>
            </w:pPr>
            <w:r>
              <w:rPr>
                <w:noProof/>
              </w:rPr>
              <mc:AlternateContent>
                <mc:Choice Requires="wps">
                  <w:drawing>
                    <wp:anchor distT="0" distB="0" distL="114300" distR="114300" simplePos="0" relativeHeight="251657216" behindDoc="1" locked="1" layoutInCell="1" allowOverlap="1" wp14:anchorId="7D3F967A" wp14:editId="0B7CBD9C">
                      <wp:simplePos x="0" y="0"/>
                      <wp:positionH relativeFrom="column">
                        <wp:posOffset>2200910</wp:posOffset>
                      </wp:positionH>
                      <wp:positionV relativeFrom="paragraph">
                        <wp:posOffset>573405</wp:posOffset>
                      </wp:positionV>
                      <wp:extent cx="1905000" cy="254000"/>
                      <wp:effectExtent l="0" t="3175" r="3175" b="0"/>
                      <wp:wrapNone/>
                      <wp:docPr id="5"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D9D6D" id="RQ" o:spid="_x0000_s1026" style="position:absolute;left:0;text-align:left;margin-left:173.3pt;margin-top:45.15pt;width:150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" stroked="f">
                      <w10:anchorlock/>
                    </v:rect>
                  </w:pict>
                </mc:Fallback>
              </mc:AlternateContent>
            </w:r>
            <w:r>
              <w:rPr>
                <w:noProof/>
              </w:rPr>
              <mc:AlternateContent>
                <mc:Choice Requires="wps">
                  <w:drawing>
                    <wp:anchor distT="0" distB="0" distL="114300" distR="114300" simplePos="0" relativeHeight="251656192" behindDoc="1" locked="0" layoutInCell="1" allowOverlap="1" wp14:anchorId="4B82C3BE" wp14:editId="729C2118">
                      <wp:simplePos x="0" y="0"/>
                      <wp:positionH relativeFrom="column">
                        <wp:posOffset>2454910</wp:posOffset>
                      </wp:positionH>
                      <wp:positionV relativeFrom="paragraph">
                        <wp:posOffset>255905</wp:posOffset>
                      </wp:positionV>
                      <wp:extent cx="1270000" cy="304800"/>
                      <wp:effectExtent l="3175" t="0" r="3175" b="0"/>
                      <wp:wrapNone/>
                      <wp:docPr id="4"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F49CB" id="LB" o:spid="_x0000_s1026" style="position:absolute;left:0;text-align:left;margin-left:193.3pt;margin-top:20.15pt;width:100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" stroked="f"/>
                  </w:pict>
                </mc:Fallback>
              </mc:AlternateContent>
            </w:r>
            <w:r w:rsidR="009860DC">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12" w:name="LB"/>
            <w:r w:rsidR="009860DC">
              <w:instrText xml:space="preserve"> FORMDROPDOWN </w:instrText>
            </w:r>
            <w:r w:rsidR="0090432F">
              <w:fldChar w:fldCharType="separate"/>
            </w:r>
            <w:r w:rsidR="009860DC">
              <w:fldChar w:fldCharType="end"/>
            </w:r>
            <w:bookmarkEnd w:id="12"/>
          </w:p>
        </w:tc>
      </w:tr>
      <w:bookmarkStart w:id="13" w:name="WCRQ"/>
      <w:tr w:rsidR="009860DC" w14:paraId="5ED97844" w14:textId="77777777">
        <w:tc>
          <w:tcPr>
            <w:tcW w:w="9855" w:type="dxa"/>
            <w:tcBorders>
              <w:top w:val="nil"/>
              <w:left w:val="nil"/>
              <w:bottom w:val="nil"/>
              <w:right w:val="nil"/>
            </w:tcBorders>
          </w:tcPr>
          <w:p w14:paraId="776AFF85" w14:textId="77777777" w:rsidR="009860DC" w:rsidRDefault="009860DC">
            <w:pPr>
              <w:pStyle w:val="afff1"/>
              <w:framePr w:wrap="around"/>
            </w:pPr>
            <w:r>
              <w:fldChar w:fldCharType="begin">
                <w:ffData>
                  <w:name w:val="WCRQ"/>
                  <w:enabled/>
                  <w:calcOnExit w:val="0"/>
                  <w:textInput/>
                </w:ffData>
              </w:fldChar>
            </w:r>
            <w:r>
              <w:instrText xml:space="preserve"> FORMTEXT </w:instrText>
            </w:r>
            <w:r>
              <w:fldChar w:fldCharType="separate"/>
            </w:r>
            <w:r>
              <w:t>     </w:t>
            </w:r>
            <w:r>
              <w:fldChar w:fldCharType="end"/>
            </w:r>
            <w:bookmarkEnd w:id="13"/>
          </w:p>
        </w:tc>
      </w:tr>
    </w:tbl>
    <w:bookmarkStart w:id="14" w:name="FY"/>
    <w:p w14:paraId="57E7B8B8" w14:textId="77777777" w:rsidR="009860DC" w:rsidRDefault="009860DC">
      <w:pPr>
        <w:pStyle w:val="afffffb"/>
        <w:framePr w:wrap="around"/>
      </w:pPr>
      <w:r>
        <w:rPr>
          <w:rFonts w:ascii="黑体"/>
        </w:rPr>
        <w:fldChar w:fldCharType="begin">
          <w:ffData>
            <w:name w:val="FY"/>
            <w:enabled/>
            <w:calcOnExit w:val="0"/>
            <w:entryMacro w:val="ShowHelp8"/>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FM"/>
            <w:enabled/>
            <w:calcOnExit w:val="0"/>
            <w:entryMacro w:val="ShowHelp8"/>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r>
        <w:t xml:space="preserve"> </w:t>
      </w:r>
      <w:r>
        <w:rPr>
          <w:rFonts w:ascii="黑体"/>
        </w:rPr>
        <w:t>-</w:t>
      </w:r>
      <w:r>
        <w:t xml:space="preserve"> </w:t>
      </w:r>
      <w:bookmarkStart w:id="15" w:name="FD"/>
      <w:r>
        <w:rPr>
          <w:rFonts w:ascii="黑体"/>
        </w:rPr>
        <w:fldChar w:fldCharType="begin">
          <w:ffData>
            <w:name w:val="FD"/>
            <w:enabled/>
            <w:calcOnExit w:val="0"/>
            <w:entryMacro w:val="ShowHelp8"/>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rPr>
          <w:rFonts w:hint="eastAsia"/>
        </w:rPr>
        <w:t>发布</w:t>
      </w:r>
      <w:r w:rsidR="00E24A5C">
        <w:rPr>
          <w:noProof/>
        </w:rPr>
        <mc:AlternateContent>
          <mc:Choice Requires="wps">
            <w:drawing>
              <wp:anchor distT="0" distB="0" distL="114300" distR="114300" simplePos="0" relativeHeight="251659264" behindDoc="0" locked="1" layoutInCell="1" allowOverlap="1" wp14:anchorId="6AAE8416" wp14:editId="440E2F43">
                <wp:simplePos x="0" y="0"/>
                <wp:positionH relativeFrom="column">
                  <wp:posOffset>-635</wp:posOffset>
                </wp:positionH>
                <wp:positionV relativeFrom="page">
                  <wp:posOffset>9251950</wp:posOffset>
                </wp:positionV>
                <wp:extent cx="6120130" cy="0"/>
                <wp:effectExtent l="13970" t="12700" r="9525" b="6350"/>
                <wp:wrapNone/>
                <wp:docPr id="3"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3C5F5" id="直线 1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">
                <w10:wrap anchory="page"/>
                <w10:anchorlock/>
              </v:line>
            </w:pict>
          </mc:Fallback>
        </mc:AlternateContent>
      </w:r>
    </w:p>
    <w:bookmarkStart w:id="16" w:name="SY"/>
    <w:p w14:paraId="6FA659E3" w14:textId="77777777" w:rsidR="009860DC" w:rsidRDefault="009860DC">
      <w:pPr>
        <w:pStyle w:val="affa"/>
        <w:framePr w:wrap="around"/>
      </w:pPr>
      <w:r>
        <w:rPr>
          <w:rFonts w:ascii="黑体"/>
        </w:rPr>
        <w:fldChar w:fldCharType="begin">
          <w:ffData>
            <w:name w:val="SY"/>
            <w:enabled/>
            <w:calcOnExit w:val="0"/>
            <w:entryMacro w:val="ShowHelp9"/>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6"/>
      <w:r>
        <w:t xml:space="preserve"> </w:t>
      </w:r>
      <w:r>
        <w:rPr>
          <w:rFonts w:ascii="黑体"/>
        </w:rPr>
        <w:t>-</w:t>
      </w:r>
      <w:r>
        <w:t xml:space="preserve"> </w:t>
      </w:r>
      <w:bookmarkStart w:id="17" w:name="SM"/>
      <w:r>
        <w:rPr>
          <w:rFonts w:ascii="黑体"/>
        </w:rPr>
        <w:fldChar w:fldCharType="begin">
          <w:ffData>
            <w:name w:val="SM"/>
            <w:enabled/>
            <w:calcOnExit w:val="0"/>
            <w:entryMacro w:val="ShowHelp9"/>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bookmarkStart w:id="18" w:name="SD"/>
      <w:r>
        <w:rPr>
          <w:rFonts w:ascii="黑体"/>
        </w:rPr>
        <w:fldChar w:fldCharType="begin">
          <w:ffData>
            <w:name w:val="SD"/>
            <w:enabled/>
            <w:calcOnExit w:val="0"/>
            <w:entryMacro w:val="ShowHelp9"/>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rPr>
          <w:rFonts w:hint="eastAsia"/>
        </w:rPr>
        <w:t>实施</w:t>
      </w:r>
    </w:p>
    <w:bookmarkStart w:id="19" w:name="fm"/>
    <w:p w14:paraId="5BD33AA5" w14:textId="77777777" w:rsidR="009860DC" w:rsidRDefault="009860DC">
      <w:pPr>
        <w:pStyle w:val="afffffd"/>
        <w:framePr w:wrap="around"/>
      </w:pPr>
      <w:r>
        <w:fldChar w:fldCharType="begin">
          <w:ffData>
            <w:name w:val="fm"/>
            <w:enabled/>
            <w:calcOnExit w:val="0"/>
            <w:textInput/>
          </w:ffData>
        </w:fldChar>
      </w:r>
      <w:r>
        <w:instrText xml:space="preserve"> FORMTEXT </w:instrText>
      </w:r>
      <w:r>
        <w:fldChar w:fldCharType="separate"/>
      </w:r>
      <w:r>
        <w:t>     </w:t>
      </w:r>
      <w:r>
        <w:rPr>
          <w:rFonts w:hint="eastAsia"/>
        </w:rPr>
        <w:t>安徽省质量技术监督局</w:t>
      </w:r>
      <w:r>
        <w:fldChar w:fldCharType="end"/>
      </w:r>
      <w:bookmarkEnd w:id="19"/>
      <w:r>
        <w:rPr>
          <w:rFonts w:ascii="Cambria Math" w:hAnsi="Cambria Math" w:cs="Cambria Math"/>
        </w:rPr>
        <w:t>   </w:t>
      </w:r>
      <w:r>
        <w:rPr>
          <w:rStyle w:val="aff8"/>
          <w:rFonts w:hint="eastAsia"/>
        </w:rPr>
        <w:t>发布</w:t>
      </w:r>
    </w:p>
    <w:p w14:paraId="517DBC68" w14:textId="77777777" w:rsidR="009860DC" w:rsidRDefault="00E24A5C">
      <w:pPr>
        <w:pStyle w:val="aff7"/>
        <w:sectPr w:rsidR="009860DC">
          <w:headerReference w:type="default" r:id="rId7"/>
          <w:footerReference w:type="default" r:id="rId8"/>
          <w:pgSz w:w="11906" w:h="16838"/>
          <w:pgMar w:top="567" w:right="850" w:bottom="1134" w:left="1418" w:header="0" w:footer="0" w:gutter="0"/>
          <w:pgNumType w:start="1"/>
          <w:cols w:space="720"/>
          <w:docGrid w:type="lines" w:linePitch="312"/>
        </w:sectPr>
      </w:pPr>
      <w:r>
        <w:rPr>
          <w:noProof/>
        </w:rPr>
        <mc:AlternateContent>
          <mc:Choice Requires="wps">
            <w:drawing>
              <wp:anchor distT="0" distB="0" distL="114300" distR="114300" simplePos="0" relativeHeight="251660288" behindDoc="0" locked="0" layoutInCell="1" allowOverlap="1" wp14:anchorId="6F37ED10" wp14:editId="4F8E62D7">
                <wp:simplePos x="0" y="0"/>
                <wp:positionH relativeFrom="column">
                  <wp:posOffset>-635</wp:posOffset>
                </wp:positionH>
                <wp:positionV relativeFrom="paragraph">
                  <wp:posOffset>2339975</wp:posOffset>
                </wp:positionV>
                <wp:extent cx="6120130" cy="0"/>
                <wp:effectExtent l="13970" t="13970" r="9525" b="5080"/>
                <wp:wrapNone/>
                <wp:docPr id="2"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003E8" id="直线 1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"/>
            </w:pict>
          </mc:Fallback>
        </mc:AlternateContent>
      </w:r>
    </w:p>
    <w:p w14:paraId="5FB1D445" w14:textId="77777777" w:rsidR="009860DC" w:rsidRDefault="009860DC">
      <w:pPr>
        <w:pStyle w:val="afffc"/>
        <w:keepNext w:val="0"/>
        <w:pageBreakBefore w:val="0"/>
        <w:numPr>
          <w:ilvl w:val="0"/>
          <w:numId w:val="18"/>
        </w:numPr>
        <w:ind w:firstLineChars="200" w:firstLine="640"/>
        <w:rPr>
          <w:rFonts w:ascii="Times New Roman"/>
        </w:rPr>
      </w:pPr>
      <w:bookmarkStart w:id="20" w:name="_Toc233543003"/>
      <w:bookmarkStart w:id="21" w:name="_Toc233543042"/>
      <w:bookmarkStart w:id="22" w:name="_Toc233598866"/>
      <w:r>
        <w:rPr>
          <w:rFonts w:ascii="Times New Roman"/>
        </w:rPr>
        <w:lastRenderedPageBreak/>
        <w:t>前</w:t>
      </w:r>
      <w:r>
        <w:rPr>
          <w:rFonts w:ascii="Times New Roman"/>
        </w:rPr>
        <w:t xml:space="preserve">    </w:t>
      </w:r>
      <w:r>
        <w:rPr>
          <w:rFonts w:ascii="Times New Roman"/>
        </w:rPr>
        <w:t>言</w:t>
      </w:r>
      <w:bookmarkEnd w:id="20"/>
      <w:bookmarkEnd w:id="21"/>
      <w:bookmarkEnd w:id="22"/>
    </w:p>
    <w:p w14:paraId="442949E3" w14:textId="77777777" w:rsidR="00CE518D" w:rsidRPr="00295CA1" w:rsidRDefault="00CE518D" w:rsidP="00CE518D">
      <w:pPr>
        <w:pStyle w:val="aff7"/>
        <w:spacing w:line="360" w:lineRule="auto"/>
        <w:ind w:firstLine="480"/>
        <w:rPr>
          <w:rFonts w:ascii="Times New Roman"/>
          <w:sz w:val="24"/>
          <w:szCs w:val="24"/>
        </w:rPr>
      </w:pPr>
      <w:r w:rsidRPr="00295CA1">
        <w:rPr>
          <w:rFonts w:ascii="Times New Roman" w:hint="eastAsia"/>
          <w:sz w:val="24"/>
          <w:szCs w:val="24"/>
        </w:rPr>
        <w:t>本标准依据</w:t>
      </w:r>
      <w:r w:rsidRPr="00295CA1">
        <w:rPr>
          <w:rFonts w:ascii="Times New Roman" w:hint="eastAsia"/>
          <w:sz w:val="24"/>
          <w:szCs w:val="24"/>
        </w:rPr>
        <w:t xml:space="preserve"> GB/T 1.1-2009 </w:t>
      </w:r>
      <w:r w:rsidRPr="00295CA1">
        <w:rPr>
          <w:rFonts w:ascii="Times New Roman" w:hint="eastAsia"/>
          <w:sz w:val="24"/>
          <w:szCs w:val="24"/>
        </w:rPr>
        <w:t>给出的规则起草。</w:t>
      </w:r>
    </w:p>
    <w:p w14:paraId="7F0455BD" w14:textId="1285D606" w:rsidR="00CE518D" w:rsidRPr="00295CA1" w:rsidRDefault="00CE518D" w:rsidP="00CE518D">
      <w:pPr>
        <w:pStyle w:val="aff7"/>
        <w:spacing w:line="360" w:lineRule="auto"/>
        <w:ind w:firstLine="480"/>
        <w:rPr>
          <w:rFonts w:ascii="Times New Roman"/>
          <w:sz w:val="24"/>
          <w:szCs w:val="24"/>
        </w:rPr>
      </w:pPr>
      <w:r w:rsidRPr="00295CA1">
        <w:rPr>
          <w:rFonts w:ascii="Times New Roman" w:hint="eastAsia"/>
          <w:sz w:val="24"/>
          <w:szCs w:val="24"/>
        </w:rPr>
        <w:t>本标准由</w:t>
      </w:r>
      <w:r w:rsidR="00057C89" w:rsidRPr="00057C89">
        <w:rPr>
          <w:rFonts w:ascii="Times New Roman" w:hint="eastAsia"/>
          <w:sz w:val="24"/>
          <w:szCs w:val="24"/>
        </w:rPr>
        <w:t>安徽省动物疫病预防与控制中心</w:t>
      </w:r>
      <w:r w:rsidRPr="00295CA1">
        <w:rPr>
          <w:rFonts w:ascii="Times New Roman" w:hint="eastAsia"/>
          <w:sz w:val="24"/>
          <w:szCs w:val="24"/>
        </w:rPr>
        <w:t>提出。</w:t>
      </w:r>
    </w:p>
    <w:p w14:paraId="645A306A" w14:textId="77777777" w:rsidR="00CE518D" w:rsidRPr="00295CA1" w:rsidRDefault="00CE518D" w:rsidP="00CE518D">
      <w:pPr>
        <w:pStyle w:val="aff7"/>
        <w:spacing w:line="360" w:lineRule="auto"/>
        <w:ind w:firstLine="480"/>
        <w:rPr>
          <w:rFonts w:ascii="Times New Roman"/>
          <w:sz w:val="24"/>
          <w:szCs w:val="24"/>
        </w:rPr>
      </w:pPr>
      <w:r w:rsidRPr="00295CA1">
        <w:rPr>
          <w:rFonts w:ascii="Times New Roman" w:hint="eastAsia"/>
          <w:sz w:val="24"/>
          <w:szCs w:val="24"/>
        </w:rPr>
        <w:t>本标准由</w:t>
      </w:r>
      <w:r w:rsidRPr="00977D4E">
        <w:rPr>
          <w:rFonts w:ascii="Times New Roman" w:hint="eastAsia"/>
          <w:sz w:val="24"/>
          <w:szCs w:val="24"/>
        </w:rPr>
        <w:t>安徽省农业标准化技术委员</w:t>
      </w:r>
      <w:r w:rsidRPr="00295CA1">
        <w:rPr>
          <w:rFonts w:ascii="Times New Roman" w:hint="eastAsia"/>
          <w:sz w:val="24"/>
          <w:szCs w:val="24"/>
        </w:rPr>
        <w:t>会归口。</w:t>
      </w:r>
    </w:p>
    <w:p w14:paraId="73003CFA" w14:textId="14378FF2" w:rsidR="00CE518D" w:rsidRPr="00057C89" w:rsidRDefault="00CE518D" w:rsidP="00CE518D">
      <w:pPr>
        <w:pStyle w:val="aff7"/>
        <w:spacing w:line="360" w:lineRule="auto"/>
        <w:ind w:firstLine="480"/>
        <w:rPr>
          <w:rFonts w:ascii="Times New Roman"/>
          <w:sz w:val="24"/>
          <w:szCs w:val="24"/>
        </w:rPr>
      </w:pPr>
      <w:r w:rsidRPr="00295CA1">
        <w:rPr>
          <w:rFonts w:ascii="Times New Roman" w:hint="eastAsia"/>
          <w:sz w:val="24"/>
          <w:szCs w:val="24"/>
        </w:rPr>
        <w:t>本标准起草单位：</w:t>
      </w:r>
      <w:r w:rsidR="00057C89" w:rsidRPr="00057C89">
        <w:rPr>
          <w:rFonts w:ascii="Times New Roman" w:hint="eastAsia"/>
          <w:sz w:val="24"/>
          <w:szCs w:val="24"/>
        </w:rPr>
        <w:t>安徽省动物疫病预防与控制中心、</w:t>
      </w:r>
      <w:r w:rsidRPr="00057C89">
        <w:rPr>
          <w:rFonts w:ascii="Times New Roman" w:hint="eastAsia"/>
          <w:sz w:val="24"/>
          <w:szCs w:val="24"/>
        </w:rPr>
        <w:t>安徽省农业科学院畜牧兽医研究所</w:t>
      </w:r>
      <w:r w:rsidR="000C31E3" w:rsidRPr="00057C89">
        <w:rPr>
          <w:rFonts w:ascii="Times New Roman" w:hint="eastAsia"/>
          <w:sz w:val="24"/>
          <w:szCs w:val="24"/>
        </w:rPr>
        <w:t>等</w:t>
      </w:r>
    </w:p>
    <w:p w14:paraId="6B30474B" w14:textId="32CC8A91" w:rsidR="00CE518D" w:rsidRPr="00753A69" w:rsidRDefault="00CE518D" w:rsidP="00CE518D">
      <w:pPr>
        <w:pStyle w:val="aff7"/>
        <w:spacing w:line="360" w:lineRule="auto"/>
        <w:ind w:firstLine="480"/>
        <w:rPr>
          <w:rFonts w:ascii="Times New Roman"/>
          <w:sz w:val="24"/>
          <w:szCs w:val="24"/>
        </w:rPr>
      </w:pPr>
      <w:r w:rsidRPr="00295CA1">
        <w:rPr>
          <w:rFonts w:ascii="Times New Roman" w:hint="eastAsia"/>
          <w:sz w:val="24"/>
          <w:szCs w:val="24"/>
        </w:rPr>
        <w:t>本标准主要起草人：</w:t>
      </w:r>
      <w:r w:rsidR="00057C89" w:rsidRPr="00057C89">
        <w:rPr>
          <w:rFonts w:ascii="Times New Roman" w:hint="eastAsia"/>
          <w:sz w:val="24"/>
          <w:szCs w:val="24"/>
        </w:rPr>
        <w:t>占松鹤</w:t>
      </w:r>
      <w:r w:rsidR="00C03EC3">
        <w:rPr>
          <w:rFonts w:ascii="Times New Roman" w:hint="eastAsia"/>
          <w:sz w:val="24"/>
          <w:szCs w:val="24"/>
        </w:rPr>
        <w:t>、潘孝成</w:t>
      </w:r>
      <w:r w:rsidR="00057C89" w:rsidRPr="00057C89">
        <w:rPr>
          <w:rFonts w:ascii="Times New Roman" w:hint="eastAsia"/>
          <w:sz w:val="24"/>
          <w:szCs w:val="24"/>
        </w:rPr>
        <w:t>等</w:t>
      </w:r>
      <w:r w:rsidRPr="00CE518D">
        <w:rPr>
          <w:rFonts w:ascii="Times New Roman" w:hint="eastAsia"/>
          <w:color w:val="FF0000"/>
          <w:sz w:val="24"/>
          <w:szCs w:val="24"/>
        </w:rPr>
        <w:t xml:space="preserve"> </w:t>
      </w:r>
      <w:r w:rsidRPr="00753A69">
        <w:rPr>
          <w:rFonts w:ascii="Times New Roman" w:hint="eastAsia"/>
          <w:sz w:val="24"/>
          <w:szCs w:val="24"/>
        </w:rPr>
        <w:t xml:space="preserve"> </w:t>
      </w:r>
    </w:p>
    <w:p w14:paraId="362BE77B" w14:textId="77777777" w:rsidR="009860DC" w:rsidRPr="00CE518D" w:rsidRDefault="009860DC">
      <w:pPr>
        <w:pStyle w:val="aff7"/>
        <w:rPr>
          <w:rFonts w:ascii="Times New Roman"/>
          <w:szCs w:val="21"/>
        </w:rPr>
      </w:pPr>
    </w:p>
    <w:p w14:paraId="4D5C2E6D" w14:textId="77777777" w:rsidR="009860DC" w:rsidRPr="000C31E3" w:rsidRDefault="009860DC">
      <w:pPr>
        <w:pStyle w:val="aff7"/>
        <w:rPr>
          <w:rFonts w:ascii="Times New Roman"/>
          <w:szCs w:val="21"/>
        </w:rPr>
      </w:pPr>
    </w:p>
    <w:p w14:paraId="769F7F01" w14:textId="77777777" w:rsidR="00A84726" w:rsidRDefault="00A84726" w:rsidP="00CE29CE">
      <w:pPr>
        <w:jc w:val="center"/>
        <w:rPr>
          <w:rFonts w:ascii="黑体" w:eastAsia="黑体" w:hAnsi="黑体"/>
          <w:sz w:val="32"/>
          <w:szCs w:val="32"/>
        </w:rPr>
      </w:pPr>
    </w:p>
    <w:p w14:paraId="05BF261E" w14:textId="77777777" w:rsidR="00A84726" w:rsidRDefault="00A84726" w:rsidP="00CE29CE">
      <w:pPr>
        <w:jc w:val="center"/>
        <w:rPr>
          <w:rFonts w:ascii="黑体" w:eastAsia="黑体" w:hAnsi="黑体"/>
          <w:sz w:val="32"/>
          <w:szCs w:val="32"/>
        </w:rPr>
      </w:pPr>
    </w:p>
    <w:p w14:paraId="7BF73CE0" w14:textId="77777777" w:rsidR="00A84726" w:rsidRDefault="00A84726" w:rsidP="00CE29CE">
      <w:pPr>
        <w:jc w:val="center"/>
        <w:rPr>
          <w:rFonts w:ascii="黑体" w:eastAsia="黑体" w:hAnsi="黑体"/>
          <w:sz w:val="32"/>
          <w:szCs w:val="32"/>
        </w:rPr>
      </w:pPr>
    </w:p>
    <w:p w14:paraId="06E39296" w14:textId="77777777" w:rsidR="00A84726" w:rsidRDefault="00A84726" w:rsidP="00CE29CE">
      <w:pPr>
        <w:jc w:val="center"/>
        <w:rPr>
          <w:rFonts w:ascii="黑体" w:eastAsia="黑体" w:hAnsi="黑体"/>
          <w:sz w:val="32"/>
          <w:szCs w:val="32"/>
        </w:rPr>
      </w:pPr>
    </w:p>
    <w:p w14:paraId="082AA1C3" w14:textId="77777777" w:rsidR="00A84726" w:rsidRDefault="00A84726" w:rsidP="00CE29CE">
      <w:pPr>
        <w:jc w:val="center"/>
        <w:rPr>
          <w:rFonts w:ascii="黑体" w:eastAsia="黑体" w:hAnsi="黑体"/>
          <w:sz w:val="32"/>
          <w:szCs w:val="32"/>
        </w:rPr>
      </w:pPr>
    </w:p>
    <w:p w14:paraId="34607236" w14:textId="77777777" w:rsidR="00A84726" w:rsidRDefault="00A84726" w:rsidP="00CE29CE">
      <w:pPr>
        <w:jc w:val="center"/>
        <w:rPr>
          <w:rFonts w:ascii="黑体" w:eastAsia="黑体" w:hAnsi="黑体"/>
          <w:sz w:val="32"/>
          <w:szCs w:val="32"/>
        </w:rPr>
      </w:pPr>
    </w:p>
    <w:p w14:paraId="6C24AE8C" w14:textId="77777777" w:rsidR="00A84726" w:rsidRDefault="00A84726" w:rsidP="00CE29CE">
      <w:pPr>
        <w:jc w:val="center"/>
        <w:rPr>
          <w:rFonts w:ascii="黑体" w:eastAsia="黑体" w:hAnsi="黑体"/>
          <w:sz w:val="32"/>
          <w:szCs w:val="32"/>
        </w:rPr>
      </w:pPr>
    </w:p>
    <w:p w14:paraId="511FC23B" w14:textId="77777777" w:rsidR="00A84726" w:rsidRDefault="00A84726" w:rsidP="00CE29CE">
      <w:pPr>
        <w:jc w:val="center"/>
        <w:rPr>
          <w:rFonts w:ascii="黑体" w:eastAsia="黑体" w:hAnsi="黑体"/>
          <w:sz w:val="32"/>
          <w:szCs w:val="32"/>
        </w:rPr>
      </w:pPr>
    </w:p>
    <w:p w14:paraId="0DC3BE75" w14:textId="77777777" w:rsidR="00A84726" w:rsidRDefault="00A84726" w:rsidP="00CE29CE">
      <w:pPr>
        <w:jc w:val="center"/>
        <w:rPr>
          <w:rFonts w:ascii="黑体" w:eastAsia="黑体" w:hAnsi="黑体"/>
          <w:sz w:val="32"/>
          <w:szCs w:val="32"/>
        </w:rPr>
      </w:pPr>
    </w:p>
    <w:p w14:paraId="05D7AC82" w14:textId="77777777" w:rsidR="00A84726" w:rsidRDefault="00A84726" w:rsidP="00CE29CE">
      <w:pPr>
        <w:jc w:val="center"/>
        <w:rPr>
          <w:rFonts w:ascii="黑体" w:eastAsia="黑体" w:hAnsi="黑体"/>
          <w:sz w:val="32"/>
          <w:szCs w:val="32"/>
        </w:rPr>
      </w:pPr>
    </w:p>
    <w:p w14:paraId="5E440C7D" w14:textId="77777777" w:rsidR="00A84726" w:rsidRDefault="00A84726" w:rsidP="00CE29CE">
      <w:pPr>
        <w:jc w:val="center"/>
        <w:rPr>
          <w:rFonts w:ascii="黑体" w:eastAsia="黑体" w:hAnsi="黑体"/>
          <w:sz w:val="32"/>
          <w:szCs w:val="32"/>
        </w:rPr>
      </w:pPr>
    </w:p>
    <w:p w14:paraId="5A7E0FD8" w14:textId="77777777" w:rsidR="00A84726" w:rsidRDefault="00A84726" w:rsidP="00CE29CE">
      <w:pPr>
        <w:jc w:val="center"/>
        <w:rPr>
          <w:rFonts w:ascii="黑体" w:eastAsia="黑体" w:hAnsi="黑体"/>
          <w:sz w:val="32"/>
          <w:szCs w:val="32"/>
        </w:rPr>
      </w:pPr>
    </w:p>
    <w:p w14:paraId="7F8C8B3F" w14:textId="77777777" w:rsidR="00A84726" w:rsidRDefault="00A84726" w:rsidP="00CE29CE">
      <w:pPr>
        <w:jc w:val="center"/>
        <w:rPr>
          <w:rFonts w:ascii="黑体" w:eastAsia="黑体" w:hAnsi="黑体"/>
          <w:sz w:val="32"/>
          <w:szCs w:val="32"/>
        </w:rPr>
      </w:pPr>
    </w:p>
    <w:p w14:paraId="31838E9F" w14:textId="05FAC9FB" w:rsidR="00CE29CE" w:rsidRPr="00CE29CE" w:rsidRDefault="00CE29CE" w:rsidP="00CE29CE">
      <w:pPr>
        <w:jc w:val="center"/>
        <w:rPr>
          <w:rFonts w:ascii="黑体" w:eastAsia="黑体" w:hAnsi="黑体"/>
          <w:sz w:val="32"/>
          <w:szCs w:val="32"/>
        </w:rPr>
      </w:pPr>
      <w:r w:rsidRPr="00CE29CE">
        <w:rPr>
          <w:rFonts w:ascii="黑体" w:eastAsia="黑体" w:hAnsi="黑体" w:hint="eastAsia"/>
          <w:sz w:val="32"/>
          <w:szCs w:val="32"/>
        </w:rPr>
        <w:lastRenderedPageBreak/>
        <w:t>规模化猪场非洲猪瘟生物安全防控技术规范</w:t>
      </w:r>
    </w:p>
    <w:p w14:paraId="1F03488C" w14:textId="77777777" w:rsidR="00CE29CE" w:rsidRPr="00CE29CE" w:rsidRDefault="00CE29CE" w:rsidP="00CE29CE">
      <w:pPr>
        <w:widowControl/>
        <w:spacing w:beforeLines="100" w:before="312" w:afterLines="100" w:after="312" w:line="360" w:lineRule="auto"/>
        <w:outlineLvl w:val="1"/>
        <w:rPr>
          <w:rFonts w:ascii="黑体" w:eastAsia="黑体"/>
          <w:kern w:val="0"/>
          <w:szCs w:val="20"/>
        </w:rPr>
      </w:pPr>
      <w:r w:rsidRPr="00CE29CE">
        <w:rPr>
          <w:rFonts w:ascii="黑体" w:eastAsia="黑体" w:hint="eastAsia"/>
          <w:kern w:val="0"/>
          <w:szCs w:val="20"/>
        </w:rPr>
        <w:t>范围</w:t>
      </w:r>
    </w:p>
    <w:p w14:paraId="5C02F415" w14:textId="77777777" w:rsidR="00CE29CE" w:rsidRPr="00CE29CE" w:rsidRDefault="00CE29CE" w:rsidP="00CE29CE">
      <w:pPr>
        <w:widowControl/>
        <w:tabs>
          <w:tab w:val="center" w:pos="4201"/>
          <w:tab w:val="right" w:leader="dot" w:pos="9298"/>
        </w:tabs>
        <w:autoSpaceDE w:val="0"/>
        <w:autoSpaceDN w:val="0"/>
        <w:spacing w:line="360" w:lineRule="auto"/>
        <w:ind w:firstLineChars="200" w:firstLine="420"/>
        <w:rPr>
          <w:rFonts w:ascii="宋体"/>
          <w:kern w:val="0"/>
          <w:szCs w:val="20"/>
        </w:rPr>
      </w:pPr>
      <w:r w:rsidRPr="00CE29CE">
        <w:rPr>
          <w:rFonts w:ascii="宋体" w:hint="eastAsia"/>
          <w:kern w:val="0"/>
          <w:szCs w:val="20"/>
        </w:rPr>
        <w:t>本标准规定了规模化猪场非洲猪瘟生物安全防控措施。</w:t>
      </w:r>
    </w:p>
    <w:p w14:paraId="785A9F92" w14:textId="77777777" w:rsidR="00CE29CE" w:rsidRPr="00CE29CE" w:rsidRDefault="00CE29CE" w:rsidP="00CE29CE">
      <w:pPr>
        <w:widowControl/>
        <w:tabs>
          <w:tab w:val="center" w:pos="4201"/>
          <w:tab w:val="right" w:leader="dot" w:pos="9298"/>
        </w:tabs>
        <w:autoSpaceDE w:val="0"/>
        <w:autoSpaceDN w:val="0"/>
        <w:spacing w:line="360" w:lineRule="auto"/>
        <w:ind w:firstLineChars="200" w:firstLine="420"/>
        <w:rPr>
          <w:rFonts w:ascii="宋体"/>
          <w:kern w:val="0"/>
          <w:szCs w:val="20"/>
        </w:rPr>
      </w:pPr>
      <w:r w:rsidRPr="00CE29CE">
        <w:rPr>
          <w:rFonts w:ascii="宋体" w:hint="eastAsia"/>
          <w:kern w:val="0"/>
          <w:szCs w:val="20"/>
        </w:rPr>
        <w:t>本标准适用于种猪场及年出栏商品猪500头以上规模化猪场。</w:t>
      </w:r>
    </w:p>
    <w:p w14:paraId="47A88AFE" w14:textId="77777777" w:rsidR="00CE29CE" w:rsidRPr="00CE29CE" w:rsidRDefault="00CE29CE" w:rsidP="00CE29CE">
      <w:pPr>
        <w:widowControl/>
        <w:spacing w:beforeLines="100" w:before="312" w:afterLines="100" w:after="312" w:line="360" w:lineRule="auto"/>
        <w:outlineLvl w:val="1"/>
        <w:rPr>
          <w:rFonts w:ascii="黑体" w:eastAsia="黑体"/>
          <w:kern w:val="0"/>
          <w:szCs w:val="20"/>
        </w:rPr>
      </w:pPr>
      <w:r w:rsidRPr="00CE29CE">
        <w:rPr>
          <w:rFonts w:ascii="黑体" w:eastAsia="黑体" w:hint="eastAsia"/>
          <w:kern w:val="0"/>
          <w:szCs w:val="20"/>
        </w:rPr>
        <w:t>规范性引用文件</w:t>
      </w:r>
    </w:p>
    <w:p w14:paraId="27E8FBEE" w14:textId="77777777" w:rsidR="00CE29CE" w:rsidRPr="00CE29CE" w:rsidRDefault="00CE29CE" w:rsidP="00CE29CE">
      <w:pPr>
        <w:widowControl/>
        <w:tabs>
          <w:tab w:val="center" w:pos="4201"/>
          <w:tab w:val="right" w:leader="dot" w:pos="9298"/>
        </w:tabs>
        <w:autoSpaceDE w:val="0"/>
        <w:autoSpaceDN w:val="0"/>
        <w:spacing w:line="360" w:lineRule="auto"/>
        <w:ind w:firstLineChars="200" w:firstLine="420"/>
        <w:rPr>
          <w:rFonts w:ascii="宋体"/>
          <w:kern w:val="0"/>
          <w:szCs w:val="20"/>
        </w:rPr>
      </w:pPr>
      <w:r w:rsidRPr="00CE29CE">
        <w:rPr>
          <w:rFonts w:ascii="宋体" w:hint="eastAsia"/>
          <w:kern w:val="0"/>
          <w:szCs w:val="20"/>
        </w:rPr>
        <w:t>下列文件对于本文件的应用是必不可少的。凡是注日期的引用文件，仅所注日期的版本适用于本文件。凡是不注日期的引用文件，其最新版本（包括所有的修改单）适用于本文件。</w:t>
      </w:r>
    </w:p>
    <w:p w14:paraId="3015A225" w14:textId="77777777" w:rsidR="00CE29CE" w:rsidRPr="00CE29CE" w:rsidRDefault="00CE29CE" w:rsidP="00CE29CE">
      <w:pPr>
        <w:widowControl/>
        <w:spacing w:beforeLines="100" w:before="312" w:afterLines="100" w:after="312" w:line="360" w:lineRule="auto"/>
        <w:outlineLvl w:val="1"/>
        <w:rPr>
          <w:rFonts w:ascii="宋体"/>
          <w:kern w:val="0"/>
          <w:szCs w:val="20"/>
        </w:rPr>
      </w:pPr>
      <w:r w:rsidRPr="00CE29CE">
        <w:rPr>
          <w:rFonts w:ascii="黑体" w:eastAsia="黑体" w:hint="eastAsia"/>
          <w:kern w:val="0"/>
          <w:szCs w:val="20"/>
        </w:rPr>
        <w:t xml:space="preserve">选址与布局 </w:t>
      </w:r>
    </w:p>
    <w:p w14:paraId="48FA2043" w14:textId="77777777" w:rsidR="00CE29CE" w:rsidRPr="00CE29CE" w:rsidRDefault="00CE29CE" w:rsidP="00CE29CE">
      <w:pPr>
        <w:widowControl/>
        <w:spacing w:beforeLines="50" w:before="156" w:afterLines="50" w:after="156" w:line="360" w:lineRule="auto"/>
        <w:jc w:val="left"/>
        <w:outlineLvl w:val="2"/>
        <w:rPr>
          <w:rFonts w:ascii="黑体" w:eastAsia="黑体"/>
          <w:kern w:val="0"/>
          <w:sz w:val="22"/>
          <w:szCs w:val="20"/>
        </w:rPr>
      </w:pPr>
      <w:r w:rsidRPr="00CE29CE">
        <w:rPr>
          <w:rFonts w:ascii="黑体" w:eastAsia="黑体" w:hint="eastAsia"/>
          <w:kern w:val="0"/>
          <w:szCs w:val="20"/>
        </w:rPr>
        <w:t>3.1 新建猪场</w:t>
      </w:r>
    </w:p>
    <w:p w14:paraId="3EB4745F"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3.1.1选择非禁养区,远离交通要道、城镇、集贸市场和饮用水源地，避开村庄,有充足的饮用水源，具有一定的天然屏障。</w:t>
      </w:r>
    </w:p>
    <w:p w14:paraId="2BE125AC"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3.1.2周围3～5km内没有其它猪场、屠宰场、生猪交易市场。</w:t>
      </w:r>
    </w:p>
    <w:p w14:paraId="776F040F"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3.1.3猪场内要严格分区，设立办公区、隔离区、生活区、生产区、粪污处理和病死猪无害化处理区或收集暂存设施，各区距离间隔至少50米。</w:t>
      </w:r>
    </w:p>
    <w:p w14:paraId="78FBA5B6" w14:textId="77777777" w:rsidR="00CE29CE" w:rsidRPr="00CE29CE" w:rsidRDefault="00CE29CE" w:rsidP="00CE29CE">
      <w:pPr>
        <w:widowControl/>
        <w:spacing w:beforeLines="50" w:before="156" w:afterLines="50" w:after="156" w:line="360" w:lineRule="auto"/>
        <w:jc w:val="left"/>
        <w:outlineLvl w:val="2"/>
        <w:rPr>
          <w:rFonts w:ascii="黑体" w:eastAsia="黑体"/>
          <w:kern w:val="0"/>
          <w:szCs w:val="20"/>
        </w:rPr>
      </w:pPr>
      <w:r w:rsidRPr="00CE29CE">
        <w:rPr>
          <w:rFonts w:ascii="黑体" w:eastAsia="黑体" w:hint="eastAsia"/>
          <w:kern w:val="0"/>
          <w:szCs w:val="20"/>
        </w:rPr>
        <w:t>3.2现有猪场改选</w:t>
      </w:r>
    </w:p>
    <w:p w14:paraId="69113778"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3.2.1立足于功能配套和相对隔离，其中自繁自养的规模化猪场要做到种猪舍和商品猪舍相对隔离，种猪场生产区由内至外依次划分为种猪区、保育区、生长区和待售区。</w:t>
      </w:r>
    </w:p>
    <w:p w14:paraId="5489D647"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3.2.2猪场改造时要将场内净道和污道分开，粪污处理和病死猪无害化处理区要相对独立，办公区与生产区要设置有效的生物安全隔离区</w:t>
      </w:r>
    </w:p>
    <w:p w14:paraId="46EE39E9" w14:textId="77777777" w:rsidR="00CE29CE" w:rsidRPr="00CE29CE" w:rsidRDefault="00CE29CE" w:rsidP="00CE29CE">
      <w:pPr>
        <w:widowControl/>
        <w:spacing w:beforeLines="100" w:before="312" w:afterLines="100" w:after="312" w:line="360" w:lineRule="auto"/>
        <w:outlineLvl w:val="1"/>
        <w:rPr>
          <w:rFonts w:ascii="黑体" w:eastAsia="黑体"/>
          <w:kern w:val="0"/>
          <w:szCs w:val="20"/>
        </w:rPr>
      </w:pPr>
      <w:r w:rsidRPr="00CE29CE">
        <w:rPr>
          <w:rFonts w:ascii="黑体" w:eastAsia="黑体" w:hint="eastAsia"/>
          <w:kern w:val="0"/>
          <w:szCs w:val="20"/>
        </w:rPr>
        <w:t>防疫设施</w:t>
      </w:r>
    </w:p>
    <w:p w14:paraId="3C306A80" w14:textId="77777777" w:rsidR="00CE29CE" w:rsidRPr="00CE29CE" w:rsidRDefault="00CE29CE" w:rsidP="00CE29CE">
      <w:pPr>
        <w:spacing w:line="560" w:lineRule="exact"/>
        <w:rPr>
          <w:rFonts w:ascii="黑体" w:eastAsia="黑体"/>
          <w:kern w:val="0"/>
          <w:szCs w:val="20"/>
        </w:rPr>
      </w:pPr>
      <w:r w:rsidRPr="00CE29CE">
        <w:rPr>
          <w:rFonts w:ascii="黑体" w:eastAsia="黑体" w:hint="eastAsia"/>
          <w:kern w:val="0"/>
          <w:szCs w:val="20"/>
        </w:rPr>
        <w:lastRenderedPageBreak/>
        <w:t>4.1防护设施</w:t>
      </w:r>
    </w:p>
    <w:p w14:paraId="28727596"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4.1.1猪场应设置围墙或防护林带等屏障与外界有效隔离，防止外来人员、车辆及其它动物进入场区。</w:t>
      </w:r>
    </w:p>
    <w:p w14:paraId="4A15C11A"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4.1.2门口应有明显的“养殖重地，谢绝参观”标牌。</w:t>
      </w:r>
    </w:p>
    <w:p w14:paraId="3F9DD278"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4.1.3猪舍、仓库等建筑物设有防蚊蝇窗纱、防鸟网、防鼠碎石带等。</w:t>
      </w:r>
    </w:p>
    <w:p w14:paraId="24A01F23"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4.1.4猪场和生产区周围应设置防洪沟，利于雨水排出。</w:t>
      </w:r>
    </w:p>
    <w:p w14:paraId="2DD73784" w14:textId="77777777" w:rsidR="00CE29CE" w:rsidRPr="00CE29CE" w:rsidRDefault="00CE29CE" w:rsidP="00CE29CE">
      <w:pPr>
        <w:spacing w:line="560" w:lineRule="exact"/>
        <w:rPr>
          <w:rFonts w:ascii="黑体" w:eastAsia="黑体"/>
          <w:kern w:val="0"/>
          <w:szCs w:val="20"/>
        </w:rPr>
      </w:pPr>
      <w:r w:rsidRPr="00CE29CE">
        <w:rPr>
          <w:rFonts w:ascii="黑体" w:eastAsia="黑体" w:hint="eastAsia"/>
          <w:kern w:val="0"/>
          <w:szCs w:val="20"/>
        </w:rPr>
        <w:t>4.2 消毒设施</w:t>
      </w:r>
    </w:p>
    <w:p w14:paraId="34798677"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4.2.1场区门口要设立车辆消毒池和人员入场消毒通道。</w:t>
      </w:r>
    </w:p>
    <w:p w14:paraId="35284FF5"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4.2.2消毒池长度应为进出运输车辆车轮周长的2倍以上，深度30cm，宽度与大门宽度相同，消毒池上方建立遮雨篷。</w:t>
      </w:r>
    </w:p>
    <w:p w14:paraId="669043D7"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4.2.3猪场生产区入口应设置人员消毒更衣室和沐浴室，进入生产区，一律进行严格的沐浴、更衣、消毒，确保进入生产区人员的消毒效果。</w:t>
      </w:r>
    </w:p>
    <w:p w14:paraId="47878724"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4.2.4有条件的养殖场在场区门前可设置车辆消毒通道，在离场区3公里外设立消毒站点。不具备条件的猪场，应在离猪场3公里处增设临时消毒站点，对进入场区车辆进行严格消毒。</w:t>
      </w:r>
    </w:p>
    <w:p w14:paraId="35584978"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4.2.5猪场应配套高压水枪、喷雾、火焰消毒等消毒设备。</w:t>
      </w:r>
    </w:p>
    <w:p w14:paraId="17074ED2" w14:textId="77777777" w:rsidR="00CE29CE" w:rsidRPr="00CE29CE" w:rsidRDefault="00CE29CE" w:rsidP="00CE29CE">
      <w:pPr>
        <w:spacing w:line="560" w:lineRule="exact"/>
        <w:rPr>
          <w:rFonts w:ascii="宋体" w:hAnsi="宋体" w:cs="宋体"/>
          <w:b/>
          <w:color w:val="000000"/>
          <w:szCs w:val="21"/>
        </w:rPr>
      </w:pPr>
      <w:r w:rsidRPr="00CE29CE">
        <w:rPr>
          <w:rFonts w:ascii="宋体" w:hAnsi="宋体" w:cs="宋体" w:hint="eastAsia"/>
          <w:b/>
          <w:color w:val="000000"/>
          <w:szCs w:val="21"/>
        </w:rPr>
        <w:t>4.3兽医室</w:t>
      </w:r>
    </w:p>
    <w:p w14:paraId="0E679A0B"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4.3.1能满足器械消毒、药品配备、高压灭菌、采样和血清分离等工作需要的兽医室。</w:t>
      </w:r>
    </w:p>
    <w:p w14:paraId="378D63F9"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4.3.2兽医室建在下风口，并与生产区有效隔离，相关人员和物品未经严格消毒不能进入或往返于生产区。</w:t>
      </w:r>
    </w:p>
    <w:p w14:paraId="46412857"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4.3.3病死猪解剖应设置独立解剖间，具有消毒、处理解剖后尸体和污水污染物的措施。</w:t>
      </w:r>
    </w:p>
    <w:p w14:paraId="4CB56620" w14:textId="77777777" w:rsidR="00CE29CE" w:rsidRPr="00CE29CE" w:rsidRDefault="00CE29CE" w:rsidP="00CE29CE">
      <w:pPr>
        <w:spacing w:line="560" w:lineRule="exact"/>
        <w:rPr>
          <w:rFonts w:ascii="宋体" w:hAnsi="宋体" w:cs="宋体"/>
          <w:b/>
          <w:color w:val="000000"/>
          <w:szCs w:val="21"/>
        </w:rPr>
      </w:pPr>
      <w:r w:rsidRPr="00CE29CE">
        <w:rPr>
          <w:rFonts w:ascii="宋体" w:hAnsi="宋体" w:cs="宋体" w:hint="eastAsia"/>
          <w:b/>
          <w:color w:val="000000"/>
          <w:szCs w:val="21"/>
        </w:rPr>
        <w:t>4.4装猪台</w:t>
      </w:r>
    </w:p>
    <w:p w14:paraId="661BAF44"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4.4.1在猪场生产区下风口设置装猪平台，装猪台与猪舍建立专用通道。</w:t>
      </w:r>
    </w:p>
    <w:p w14:paraId="4F1FB525"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4.1.2配备专用生猪转运和饲料运输车辆，猪只调出场区，使用本场专用转运车辆转运出场，4.1.3严禁外来车辆直接进入生产区或不消毒靠近装猪台。</w:t>
      </w:r>
    </w:p>
    <w:p w14:paraId="0E75266F" w14:textId="77777777" w:rsidR="00CE29CE" w:rsidRPr="00CE29CE" w:rsidRDefault="00CE29CE" w:rsidP="00CE29CE">
      <w:pPr>
        <w:spacing w:line="560" w:lineRule="exact"/>
        <w:rPr>
          <w:rFonts w:ascii="宋体" w:hAnsi="宋体" w:cs="宋体"/>
          <w:b/>
          <w:color w:val="000000"/>
          <w:szCs w:val="21"/>
        </w:rPr>
      </w:pPr>
      <w:r w:rsidRPr="00CE29CE">
        <w:rPr>
          <w:rFonts w:ascii="宋体" w:hAnsi="宋体" w:cs="宋体" w:hint="eastAsia"/>
          <w:b/>
          <w:color w:val="000000"/>
          <w:szCs w:val="21"/>
        </w:rPr>
        <w:t>4.5无害化处理设施设备</w:t>
      </w:r>
    </w:p>
    <w:p w14:paraId="3F502992"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lastRenderedPageBreak/>
        <w:t>4.5.1不具备病死猪集中统一处理条件的猪场，应配备焚尸炉、高温化制等病死猪无害化处理设施。</w:t>
      </w:r>
    </w:p>
    <w:p w14:paraId="01579731"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4.5.2粪污处理一律实行干湿分离，有固定的干粪发酵储存、堆放设施和场所，并有防雨、防渗漏、防溢流措施.</w:t>
      </w:r>
    </w:p>
    <w:p w14:paraId="184FDB6A"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4.5.3配有沼气池、污水处理池等相应的污水环保处理设施。</w:t>
      </w:r>
    </w:p>
    <w:p w14:paraId="4AA13638" w14:textId="77777777" w:rsidR="00CE29CE" w:rsidRPr="00CE29CE" w:rsidRDefault="00CE29CE" w:rsidP="00CE29CE">
      <w:pPr>
        <w:widowControl/>
        <w:spacing w:beforeLines="100" w:before="312" w:afterLines="100" w:after="312" w:line="360" w:lineRule="auto"/>
        <w:outlineLvl w:val="1"/>
        <w:rPr>
          <w:rFonts w:ascii="黑体" w:eastAsia="黑体"/>
          <w:kern w:val="0"/>
          <w:szCs w:val="20"/>
        </w:rPr>
      </w:pPr>
      <w:r w:rsidRPr="00CE29CE">
        <w:rPr>
          <w:rFonts w:ascii="黑体" w:eastAsia="黑体" w:hint="eastAsia"/>
          <w:kern w:val="0"/>
          <w:szCs w:val="20"/>
        </w:rPr>
        <w:t>5 投入品管理</w:t>
      </w:r>
    </w:p>
    <w:p w14:paraId="25A9D6FA" w14:textId="77777777" w:rsidR="00CE29CE" w:rsidRPr="00CE29CE" w:rsidRDefault="00CE29CE" w:rsidP="00CE29CE">
      <w:pPr>
        <w:spacing w:line="560" w:lineRule="exact"/>
        <w:rPr>
          <w:rFonts w:ascii="宋体" w:hAnsi="宋体" w:cs="宋体"/>
          <w:b/>
          <w:color w:val="000000"/>
          <w:szCs w:val="21"/>
        </w:rPr>
      </w:pPr>
      <w:r w:rsidRPr="00CE29CE">
        <w:rPr>
          <w:rFonts w:ascii="宋体" w:hAnsi="宋体" w:cs="宋体" w:hint="eastAsia"/>
          <w:b/>
          <w:color w:val="000000"/>
          <w:szCs w:val="21"/>
        </w:rPr>
        <w:t>5.1饲料管理</w:t>
      </w:r>
    </w:p>
    <w:p w14:paraId="7FA901B1"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5.1.1外购饲料必须是取得行业行政主管部门批准生产企业生产的饲料，不使用被污染、变质、发霉饲料，进场饲料每批次要进行熏蒸消毒。</w:t>
      </w:r>
    </w:p>
    <w:p w14:paraId="11B2F171"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5.1.2使用含骨肉粉、血粉、血浆蛋白粉、膜蛋白粉等动物源性饲料时，每批次要进行非洲猪瘟病毒核酸抽样检测。</w:t>
      </w:r>
    </w:p>
    <w:p w14:paraId="18E5458F"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5.1.3驻场兽医每年不少于2次对饲料和饲料原料供应厂家进行生物安全考查和评估，发现问题，及时修正。</w:t>
      </w:r>
    </w:p>
    <w:p w14:paraId="2EAA39B2" w14:textId="77777777" w:rsidR="00CE29CE" w:rsidRPr="00CE29CE" w:rsidRDefault="00CE29CE" w:rsidP="00CE29CE">
      <w:pPr>
        <w:spacing w:line="560" w:lineRule="exact"/>
        <w:rPr>
          <w:rFonts w:ascii="宋体" w:hAnsi="宋体" w:cs="宋体"/>
          <w:b/>
          <w:color w:val="000000"/>
          <w:szCs w:val="21"/>
        </w:rPr>
      </w:pPr>
      <w:r w:rsidRPr="00CE29CE">
        <w:rPr>
          <w:rFonts w:ascii="宋体" w:hAnsi="宋体" w:cs="宋体" w:hint="eastAsia"/>
          <w:b/>
          <w:color w:val="000000"/>
          <w:szCs w:val="21"/>
        </w:rPr>
        <w:t>5.2禁止泔水喂猪</w:t>
      </w:r>
    </w:p>
    <w:p w14:paraId="537424B9"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5.2.1严格禁止使用泔水喂猪，所有猪肉及猪肉制品禁止带入猪场。</w:t>
      </w:r>
    </w:p>
    <w:p w14:paraId="29B1BCDA"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5.2.2猪场内部产生的餐厨垃圾和泔水，使用密闭性容器装运到无害化处理点进行无害化处理。</w:t>
      </w:r>
    </w:p>
    <w:p w14:paraId="22A6C366" w14:textId="77777777" w:rsidR="00CE29CE" w:rsidRPr="00CE29CE" w:rsidRDefault="00CE29CE" w:rsidP="00CE29CE">
      <w:pPr>
        <w:spacing w:line="560" w:lineRule="exact"/>
        <w:rPr>
          <w:rFonts w:ascii="宋体" w:hAnsi="宋体" w:cs="宋体"/>
          <w:b/>
          <w:color w:val="000000"/>
          <w:szCs w:val="21"/>
        </w:rPr>
      </w:pPr>
      <w:r w:rsidRPr="00CE29CE">
        <w:rPr>
          <w:rFonts w:ascii="宋体" w:hAnsi="宋体" w:cs="宋体" w:hint="eastAsia"/>
          <w:b/>
          <w:color w:val="000000"/>
          <w:szCs w:val="21"/>
        </w:rPr>
        <w:t>5.3用水管理</w:t>
      </w:r>
    </w:p>
    <w:p w14:paraId="72A2EF7A"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5.3.1猪场可用自来水或深井水，定期检查水质质量，防止猪场污水渗漏污染地下水。</w:t>
      </w:r>
    </w:p>
    <w:p w14:paraId="6FCA09D6"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5.3.2猪场在使用场区周边水源时，要做认真调查和检测，用水符合符准。</w:t>
      </w:r>
    </w:p>
    <w:p w14:paraId="34E853F3"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5.3.3严禁使用受污染的地表水作饮用水和冲洗栏舍。</w:t>
      </w:r>
    </w:p>
    <w:p w14:paraId="4FE958D5" w14:textId="77777777" w:rsidR="00CE29CE" w:rsidRPr="00CE29CE" w:rsidRDefault="00CE29CE" w:rsidP="00CE29CE">
      <w:pPr>
        <w:spacing w:line="560" w:lineRule="exact"/>
        <w:rPr>
          <w:rFonts w:ascii="宋体" w:hAnsi="宋体" w:cs="宋体"/>
          <w:b/>
          <w:color w:val="000000"/>
          <w:szCs w:val="21"/>
        </w:rPr>
      </w:pPr>
      <w:r w:rsidRPr="00CE29CE">
        <w:rPr>
          <w:rFonts w:ascii="宋体" w:hAnsi="宋体" w:cs="宋体" w:hint="eastAsia"/>
          <w:b/>
          <w:color w:val="000000"/>
          <w:szCs w:val="21"/>
        </w:rPr>
        <w:t>5.4兽药及疫苗管理</w:t>
      </w:r>
    </w:p>
    <w:p w14:paraId="4601CF20"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b/>
          <w:color w:val="000000"/>
          <w:szCs w:val="21"/>
        </w:rPr>
        <w:t>5.4.1</w:t>
      </w:r>
      <w:r w:rsidRPr="00CE29CE">
        <w:rPr>
          <w:rFonts w:ascii="宋体" w:hAnsi="宋体" w:cs="宋体" w:hint="eastAsia"/>
          <w:szCs w:val="21"/>
        </w:rPr>
        <w:t>猪场使用兽药、疫苗、维生素及饲料添加剂等产品时，必须使用取得生产批准文号的产品.</w:t>
      </w:r>
    </w:p>
    <w:p w14:paraId="4E73E01B"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5.4.2入场及投入使用前必须经过消毒处理，并做好详细的采购和使用记录。</w:t>
      </w:r>
    </w:p>
    <w:p w14:paraId="4E6951B6" w14:textId="77777777" w:rsidR="00CE29CE" w:rsidRPr="00CE29CE" w:rsidRDefault="00CE29CE" w:rsidP="00CE29CE">
      <w:pPr>
        <w:widowControl/>
        <w:spacing w:beforeLines="100" w:before="312" w:afterLines="100" w:after="312" w:line="360" w:lineRule="auto"/>
        <w:outlineLvl w:val="1"/>
        <w:rPr>
          <w:rFonts w:ascii="黑体" w:eastAsia="黑体"/>
          <w:kern w:val="0"/>
          <w:szCs w:val="20"/>
        </w:rPr>
      </w:pPr>
      <w:r w:rsidRPr="00CE29CE">
        <w:rPr>
          <w:rFonts w:ascii="黑体" w:eastAsia="黑体" w:hint="eastAsia"/>
          <w:kern w:val="0"/>
          <w:szCs w:val="20"/>
        </w:rPr>
        <w:lastRenderedPageBreak/>
        <w:t>6 生产管理</w:t>
      </w:r>
    </w:p>
    <w:p w14:paraId="39708E28" w14:textId="77777777" w:rsidR="00CE29CE" w:rsidRPr="00CE29CE" w:rsidRDefault="00CE29CE" w:rsidP="00CE29CE">
      <w:pPr>
        <w:spacing w:line="560" w:lineRule="exact"/>
        <w:rPr>
          <w:rFonts w:ascii="宋体" w:hAnsi="宋体" w:cs="宋体"/>
          <w:b/>
          <w:color w:val="000000"/>
          <w:szCs w:val="21"/>
        </w:rPr>
      </w:pPr>
      <w:r w:rsidRPr="00CE29CE">
        <w:rPr>
          <w:rFonts w:ascii="宋体" w:hAnsi="宋体" w:cs="宋体" w:hint="eastAsia"/>
          <w:b/>
          <w:color w:val="000000"/>
          <w:szCs w:val="21"/>
        </w:rPr>
        <w:t>6.1引种管理</w:t>
      </w:r>
    </w:p>
    <w:p w14:paraId="2E0A629C"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b/>
          <w:color w:val="000000"/>
          <w:szCs w:val="21"/>
        </w:rPr>
        <w:t>6.1.2</w:t>
      </w:r>
      <w:r w:rsidRPr="00CE29CE">
        <w:rPr>
          <w:rFonts w:ascii="宋体" w:hAnsi="宋体" w:cs="宋体" w:hint="eastAsia"/>
          <w:szCs w:val="21"/>
        </w:rPr>
        <w:t>种猪场引进种猪和育肥猪场引进仔猪，一律实行严格的准入制度。</w:t>
      </w:r>
    </w:p>
    <w:p w14:paraId="5F75B87C"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6.1.2引种或引进仔猪前，要考察供应猪场和所在区域的疫情状况，并实施严格的检疫措施，6.1.3新引进的种猪必须隔离饲养30～45天、育肥猪仔猪至少隔离饲养14天后，经非洲猪瘟检测阴性方可再混群饲养。</w:t>
      </w:r>
    </w:p>
    <w:p w14:paraId="423367A1"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6.1.4采取人工授精的猪场，在进行人工授精前对每批精液进行取样检测，确保不含非洲猪瘟等病原。</w:t>
      </w:r>
    </w:p>
    <w:p w14:paraId="491B6B9F" w14:textId="77777777" w:rsidR="00CE29CE" w:rsidRPr="00CE29CE" w:rsidRDefault="00CE29CE" w:rsidP="00CE29CE">
      <w:pPr>
        <w:spacing w:line="560" w:lineRule="exact"/>
        <w:rPr>
          <w:rFonts w:ascii="宋体" w:hAnsi="宋体" w:cs="宋体"/>
          <w:b/>
          <w:color w:val="000000"/>
          <w:szCs w:val="21"/>
        </w:rPr>
      </w:pPr>
      <w:r w:rsidRPr="00CE29CE">
        <w:rPr>
          <w:rFonts w:ascii="宋体" w:hAnsi="宋体" w:cs="宋体" w:hint="eastAsia"/>
          <w:b/>
          <w:color w:val="000000"/>
          <w:szCs w:val="21"/>
        </w:rPr>
        <w:t>6.2制度管理</w:t>
      </w:r>
    </w:p>
    <w:p w14:paraId="3BFC8E53"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b/>
          <w:color w:val="000000"/>
          <w:szCs w:val="21"/>
        </w:rPr>
        <w:t>6.2.1</w:t>
      </w:r>
      <w:r w:rsidRPr="00CE29CE">
        <w:rPr>
          <w:rFonts w:ascii="宋体" w:hAnsi="宋体" w:cs="宋体" w:hint="eastAsia"/>
          <w:szCs w:val="21"/>
        </w:rPr>
        <w:t>坚持“自繁自养”和“全进全出”的饲养方式。</w:t>
      </w:r>
    </w:p>
    <w:p w14:paraId="62ECDEA4"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6.2.2建立较为完善的日常生产管理制度和生产档案记录、员工操作技能及培训考核、奖惩制度。</w:t>
      </w:r>
    </w:p>
    <w:p w14:paraId="34262746"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6.2.3种猪场要有配种、怀孕、产仔、哺育、保育与生长、转群、销售记录和档案。</w:t>
      </w:r>
    </w:p>
    <w:p w14:paraId="36BD7F46" w14:textId="77777777" w:rsidR="00CE29CE" w:rsidRPr="00CE29CE" w:rsidRDefault="00CE29CE" w:rsidP="00CE29CE">
      <w:pPr>
        <w:spacing w:line="560" w:lineRule="exact"/>
        <w:rPr>
          <w:rFonts w:ascii="宋体" w:hAnsi="宋体" w:cs="宋体"/>
          <w:b/>
          <w:color w:val="000000"/>
          <w:szCs w:val="21"/>
        </w:rPr>
      </w:pPr>
      <w:r w:rsidRPr="00CE29CE">
        <w:rPr>
          <w:rFonts w:ascii="宋体" w:hAnsi="宋体" w:cs="宋体" w:hint="eastAsia"/>
          <w:b/>
          <w:color w:val="000000"/>
          <w:szCs w:val="21"/>
        </w:rPr>
        <w:t>6.3免疫管理</w:t>
      </w:r>
    </w:p>
    <w:p w14:paraId="1EC867EA"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b/>
          <w:color w:val="000000"/>
          <w:szCs w:val="21"/>
        </w:rPr>
        <w:t>6.3.1</w:t>
      </w:r>
      <w:r w:rsidRPr="00CE29CE">
        <w:rPr>
          <w:rFonts w:ascii="宋体" w:hAnsi="宋体" w:cs="宋体" w:hint="eastAsia"/>
          <w:szCs w:val="21"/>
        </w:rPr>
        <w:t>根据本场实际情况，建立科学实用的免疫管理制度和免疫程序，建立疫情报告和规范诊疗用药制度，保存用药记录，并实行半年度动物防疫报告。</w:t>
      </w:r>
    </w:p>
    <w:p w14:paraId="09473A6D"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6.3.2制定主要猪病年度监测计划，有条件的种猪场要开展疫病净化。</w:t>
      </w:r>
    </w:p>
    <w:p w14:paraId="0C9926D7"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6.3.3建立非洲猪瘟处置方案等。</w:t>
      </w:r>
    </w:p>
    <w:p w14:paraId="6A73C545" w14:textId="77777777" w:rsidR="00CE29CE" w:rsidRPr="00CE29CE" w:rsidRDefault="00CE29CE" w:rsidP="00CE29CE">
      <w:pPr>
        <w:widowControl/>
        <w:spacing w:beforeLines="100" w:before="312" w:afterLines="100" w:after="312" w:line="360" w:lineRule="auto"/>
        <w:outlineLvl w:val="1"/>
        <w:rPr>
          <w:rFonts w:ascii="黑体" w:eastAsia="黑体"/>
          <w:kern w:val="0"/>
          <w:szCs w:val="20"/>
        </w:rPr>
      </w:pPr>
      <w:r w:rsidRPr="00CE29CE">
        <w:rPr>
          <w:rFonts w:ascii="黑体" w:eastAsia="黑体" w:hint="eastAsia"/>
          <w:kern w:val="0"/>
          <w:szCs w:val="20"/>
        </w:rPr>
        <w:t>7 人员、车辆及器具管理</w:t>
      </w:r>
    </w:p>
    <w:p w14:paraId="7663C69F" w14:textId="77777777" w:rsidR="00CE29CE" w:rsidRPr="00CE29CE" w:rsidRDefault="00CE29CE" w:rsidP="00CE29CE">
      <w:pPr>
        <w:spacing w:line="560" w:lineRule="exact"/>
        <w:rPr>
          <w:rFonts w:ascii="宋体" w:hAnsi="宋体" w:cs="宋体"/>
          <w:b/>
          <w:color w:val="000000"/>
          <w:szCs w:val="21"/>
        </w:rPr>
      </w:pPr>
      <w:r w:rsidRPr="00CE29CE">
        <w:rPr>
          <w:rFonts w:ascii="宋体" w:hAnsi="宋体" w:cs="宋体" w:hint="eastAsia"/>
          <w:b/>
          <w:color w:val="000000"/>
          <w:szCs w:val="21"/>
        </w:rPr>
        <w:t>7.1人员的管理</w:t>
      </w:r>
    </w:p>
    <w:p w14:paraId="6CC7CACE"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b/>
          <w:color w:val="000000"/>
          <w:szCs w:val="21"/>
        </w:rPr>
        <w:t>7.1.1</w:t>
      </w:r>
      <w:r w:rsidRPr="00CE29CE">
        <w:rPr>
          <w:rFonts w:ascii="宋体" w:hAnsi="宋体" w:cs="宋体" w:hint="eastAsia"/>
          <w:szCs w:val="21"/>
        </w:rPr>
        <w:t>猪场要制定详细的预防非洲猪瘟生物安全培训计划，明确非洲猪瘟生物安全负责人，对猪场所有人员开展生物安全培训。</w:t>
      </w:r>
    </w:p>
    <w:p w14:paraId="47BC2337"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7.1.2场区实施封闭管理，严禁外来人员入场（包括饲料供应商、兽药疫苗推销员、贩猪户及电工、维修工等其他人员），确因需要，必须严格消毒，经猪场生物安全负责人授权许可后，方可进入，并建立</w:t>
      </w:r>
      <w:r w:rsidRPr="00CE29CE">
        <w:rPr>
          <w:rFonts w:ascii="宋体" w:hAnsi="宋体" w:cs="宋体" w:hint="eastAsia"/>
          <w:szCs w:val="21"/>
        </w:rPr>
        <w:lastRenderedPageBreak/>
        <w:t>外来人员登记制度。</w:t>
      </w:r>
    </w:p>
    <w:p w14:paraId="179FE1DB"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7.1.3本场人员不得随意进出猪场，入场前在场区入口消毒达到规定时间，进入生产区必须彻底淋浴后换上猪场内部清洗消毒的衣物鞋帽方可进入。</w:t>
      </w:r>
    </w:p>
    <w:p w14:paraId="6BA83F1C"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7.1.4与泔水接触的食堂工作人员以及与其它养猪场、屠宰场、集贸市场人员接触的相关人员严禁进入生产区。</w:t>
      </w:r>
    </w:p>
    <w:p w14:paraId="308A09FD" w14:textId="77777777" w:rsidR="00CE29CE" w:rsidRPr="00CE29CE" w:rsidRDefault="00CE29CE" w:rsidP="00CE29CE">
      <w:pPr>
        <w:spacing w:line="560" w:lineRule="exact"/>
        <w:rPr>
          <w:rFonts w:ascii="宋体" w:hAnsi="宋体" w:cs="宋体"/>
          <w:b/>
          <w:color w:val="000000"/>
          <w:szCs w:val="21"/>
        </w:rPr>
      </w:pPr>
      <w:r w:rsidRPr="00CE29CE">
        <w:rPr>
          <w:rFonts w:ascii="宋体" w:hAnsi="宋体" w:cs="宋体" w:hint="eastAsia"/>
          <w:b/>
          <w:color w:val="000000"/>
          <w:szCs w:val="21"/>
        </w:rPr>
        <w:t>7.2车辆管理</w:t>
      </w:r>
    </w:p>
    <w:p w14:paraId="3AADE948"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b/>
          <w:color w:val="000000"/>
          <w:szCs w:val="21"/>
        </w:rPr>
        <w:t>7.2.1</w:t>
      </w:r>
      <w:r w:rsidRPr="00CE29CE">
        <w:rPr>
          <w:rFonts w:ascii="宋体" w:hAnsi="宋体" w:cs="宋体" w:hint="eastAsia"/>
          <w:szCs w:val="21"/>
        </w:rPr>
        <w:t>所有运输车辆应该在每次运输完成后立即清洗消毒。</w:t>
      </w:r>
    </w:p>
    <w:p w14:paraId="3CDB35BD"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7.2.2根据场内、场外分离的原则，建立至少两个独立的清洗消毒站点：场内洗消站点设在猪场周边，专用于本场猪只转运车辆、饲料运输车辆和本场员工车辆消毒；外部洗消站点离场至少保持3公里，专用于外部饲料、猪只运输车辆以及场外人员车辆消毒。</w:t>
      </w:r>
    </w:p>
    <w:p w14:paraId="40A9718C"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7.2.3猪场内车辆应遵循从净区到污区单向流动原则，严禁外部运输猪只和饲料运输车辆进入猪场3公里范围。</w:t>
      </w:r>
    </w:p>
    <w:p w14:paraId="3F75D230" w14:textId="77777777" w:rsidR="00CE29CE" w:rsidRPr="00CE29CE" w:rsidRDefault="00CE29CE" w:rsidP="00CE29CE">
      <w:pPr>
        <w:spacing w:line="560" w:lineRule="exact"/>
        <w:rPr>
          <w:rFonts w:ascii="宋体" w:hAnsi="宋体" w:cs="宋体"/>
          <w:b/>
          <w:color w:val="000000"/>
          <w:szCs w:val="21"/>
        </w:rPr>
      </w:pPr>
      <w:r w:rsidRPr="00CE29CE">
        <w:rPr>
          <w:rFonts w:ascii="宋体" w:hAnsi="宋体" w:cs="宋体" w:hint="eastAsia"/>
          <w:b/>
          <w:color w:val="000000"/>
          <w:szCs w:val="21"/>
        </w:rPr>
        <w:t>7.3器具管理</w:t>
      </w:r>
    </w:p>
    <w:p w14:paraId="260D5C79"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b/>
          <w:color w:val="000000"/>
          <w:szCs w:val="21"/>
        </w:rPr>
        <w:t>7.3.1</w:t>
      </w:r>
      <w:r w:rsidRPr="00CE29CE">
        <w:rPr>
          <w:rFonts w:ascii="宋体" w:hAnsi="宋体" w:cs="宋体" w:hint="eastAsia"/>
          <w:szCs w:val="21"/>
        </w:rPr>
        <w:t>禁止猪场内部各幢猪舍之间饲料、饲养工具、粪污处理和尸体处置设施设备等物品共用。</w:t>
      </w:r>
    </w:p>
    <w:p w14:paraId="69A14A0C"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7.3.2医疗器械、兽药、疫苗等物品在一幢猪舍使用后，原则上不得用于其它猪舍，确需使用的，必须经过严格消毒。</w:t>
      </w:r>
    </w:p>
    <w:p w14:paraId="6BA2A21F"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7.3.3注射疫苗和兽药时，要做到一栏猪一个针头，严禁一个针头打到底。</w:t>
      </w:r>
    </w:p>
    <w:p w14:paraId="59327174" w14:textId="77777777" w:rsidR="00CE29CE" w:rsidRPr="00CE29CE" w:rsidRDefault="00CE29CE" w:rsidP="00CE29CE">
      <w:pPr>
        <w:widowControl/>
        <w:spacing w:beforeLines="100" w:before="312" w:afterLines="100" w:after="312" w:line="360" w:lineRule="auto"/>
        <w:outlineLvl w:val="1"/>
        <w:rPr>
          <w:rFonts w:ascii="黑体" w:eastAsia="黑体"/>
          <w:kern w:val="0"/>
          <w:szCs w:val="20"/>
        </w:rPr>
      </w:pPr>
      <w:r w:rsidRPr="00CE29CE">
        <w:rPr>
          <w:rFonts w:ascii="黑体" w:eastAsia="黑体" w:hint="eastAsia"/>
          <w:kern w:val="0"/>
          <w:szCs w:val="20"/>
        </w:rPr>
        <w:t>8 环境控制</w:t>
      </w:r>
    </w:p>
    <w:p w14:paraId="7F374215" w14:textId="77777777" w:rsidR="00CE29CE" w:rsidRPr="00CE29CE" w:rsidRDefault="00CE29CE" w:rsidP="00CE29CE">
      <w:pPr>
        <w:spacing w:line="560" w:lineRule="exact"/>
        <w:rPr>
          <w:rFonts w:ascii="宋体" w:hAnsi="宋体" w:cs="宋体"/>
          <w:b/>
          <w:color w:val="000000"/>
          <w:szCs w:val="21"/>
        </w:rPr>
      </w:pPr>
      <w:r w:rsidRPr="00CE29CE">
        <w:rPr>
          <w:rFonts w:ascii="宋体" w:hAnsi="宋体" w:cs="宋体" w:hint="eastAsia"/>
          <w:b/>
          <w:color w:val="000000"/>
          <w:szCs w:val="21"/>
        </w:rPr>
        <w:t>8.1场外环境</w:t>
      </w:r>
    </w:p>
    <w:p w14:paraId="05EF22C2"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b/>
          <w:color w:val="000000"/>
          <w:szCs w:val="21"/>
        </w:rPr>
        <w:t>8.1.1</w:t>
      </w:r>
      <w:r w:rsidRPr="00CE29CE">
        <w:rPr>
          <w:rFonts w:ascii="宋体" w:hAnsi="宋体" w:cs="宋体" w:hint="eastAsia"/>
          <w:szCs w:val="21"/>
        </w:rPr>
        <w:t>猪场尽可能通过收购、控股或建立动物防疫联盟等市场化手段，将周围3Km范围内养猪场户纳入本场管理范围，实行统一防控措施，构建有效的生物安全屏障，净化养殖场周围3Km范围内养殖环境。</w:t>
      </w:r>
    </w:p>
    <w:p w14:paraId="42151B28" w14:textId="77777777" w:rsidR="00CE29CE" w:rsidRPr="00CE29CE" w:rsidRDefault="00CE29CE" w:rsidP="00CE29CE">
      <w:pPr>
        <w:spacing w:line="560" w:lineRule="exact"/>
        <w:rPr>
          <w:rFonts w:ascii="宋体" w:hAnsi="宋体" w:cs="宋体"/>
          <w:b/>
          <w:color w:val="000000"/>
          <w:szCs w:val="21"/>
        </w:rPr>
      </w:pPr>
      <w:r w:rsidRPr="00CE29CE">
        <w:rPr>
          <w:rFonts w:ascii="宋体" w:hAnsi="宋体" w:cs="宋体" w:hint="eastAsia"/>
          <w:b/>
          <w:color w:val="000000"/>
          <w:szCs w:val="21"/>
        </w:rPr>
        <w:t>8.2场内环境</w:t>
      </w:r>
    </w:p>
    <w:p w14:paraId="3EBFAD97"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b/>
          <w:color w:val="000000"/>
          <w:szCs w:val="21"/>
        </w:rPr>
        <w:t>8.2.1</w:t>
      </w:r>
      <w:r w:rsidRPr="00CE29CE">
        <w:rPr>
          <w:rFonts w:ascii="宋体" w:hAnsi="宋体" w:cs="宋体" w:hint="eastAsia"/>
          <w:szCs w:val="21"/>
        </w:rPr>
        <w:t>应立足于净化场区、优化布局，场内生活区、生产区、生产辅助区等区域以绿化充当隔离带。</w:t>
      </w:r>
    </w:p>
    <w:p w14:paraId="5A734E73"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lastRenderedPageBreak/>
        <w:t>8.2.2场区净道污道要分开并有明显标识，禁止净区道路和污区道路交叉，死猪和粪污处理遵循单向流动原则。</w:t>
      </w:r>
    </w:p>
    <w:p w14:paraId="14956E64"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8.2.3场内禁止饲养猫、狗、禽等其它动物。</w:t>
      </w:r>
    </w:p>
    <w:p w14:paraId="43B8B949"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8.2.4定期清除猪场内杂草，消除虫蜱滋生环境，制定并实施场内灭鼠措施。</w:t>
      </w:r>
    </w:p>
    <w:p w14:paraId="20A8FFE3" w14:textId="77777777" w:rsidR="00CE29CE" w:rsidRPr="00CE29CE" w:rsidRDefault="00CE29CE" w:rsidP="00CE29CE">
      <w:pPr>
        <w:widowControl/>
        <w:spacing w:beforeLines="100" w:before="312" w:afterLines="100" w:after="312" w:line="360" w:lineRule="auto"/>
        <w:outlineLvl w:val="1"/>
        <w:rPr>
          <w:rFonts w:ascii="黑体" w:eastAsia="黑体"/>
          <w:kern w:val="0"/>
          <w:szCs w:val="20"/>
        </w:rPr>
      </w:pPr>
      <w:r w:rsidRPr="00CE29CE">
        <w:rPr>
          <w:rFonts w:ascii="黑体" w:eastAsia="黑体" w:hint="eastAsia"/>
          <w:kern w:val="0"/>
          <w:szCs w:val="20"/>
        </w:rPr>
        <w:t>9 消毒药品和消毒方法</w:t>
      </w:r>
    </w:p>
    <w:p w14:paraId="0E6D5D31" w14:textId="77777777" w:rsidR="00CE29CE" w:rsidRPr="00CE29CE" w:rsidRDefault="00CE29CE" w:rsidP="00CE29CE">
      <w:pPr>
        <w:spacing w:line="560" w:lineRule="exact"/>
        <w:rPr>
          <w:rFonts w:ascii="宋体" w:hAnsi="宋体" w:cs="宋体"/>
          <w:b/>
          <w:color w:val="000000"/>
          <w:szCs w:val="21"/>
        </w:rPr>
      </w:pPr>
      <w:r w:rsidRPr="00CE29CE">
        <w:rPr>
          <w:rFonts w:ascii="宋体" w:hAnsi="宋体" w:cs="宋体" w:hint="eastAsia"/>
          <w:b/>
          <w:color w:val="000000"/>
          <w:szCs w:val="21"/>
        </w:rPr>
        <w:t>9.1消毒药品</w:t>
      </w:r>
    </w:p>
    <w:p w14:paraId="149CDD59"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b/>
          <w:color w:val="000000"/>
          <w:szCs w:val="21"/>
        </w:rPr>
        <w:t>9.1.1</w:t>
      </w:r>
      <w:r w:rsidRPr="00CE29CE">
        <w:rPr>
          <w:rFonts w:ascii="宋体" w:hAnsi="宋体" w:cs="宋体" w:hint="eastAsia"/>
          <w:szCs w:val="21"/>
        </w:rPr>
        <w:t>用于建筑物、木质结构、路墙表面、车辆和相关设施设备消毒可以选用氢氧化钠溶液（烧碱）、生石灰、氯化物（三氯异氰尿酸）、酚化合物(农可福或菌疫灭)、复方戊二醛、酸制剂（过氧乙酸）等。</w:t>
      </w:r>
    </w:p>
    <w:p w14:paraId="60E449D1"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9.1.2用于带猪消毒可选用复方戊二醛或酸制剂。</w:t>
      </w:r>
    </w:p>
    <w:p w14:paraId="30F0B064"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9.1.3用于人员洗手消毒可选用柠檬酸、酒精、碘化物、过氧化物类消毒剂（0.5%新过氧化氢溶液）、季铵盐类消毒剂（0.5%新洁尔灭）等。</w:t>
      </w:r>
    </w:p>
    <w:p w14:paraId="1CABC186" w14:textId="77777777" w:rsidR="00CE29CE" w:rsidRPr="00CE29CE" w:rsidRDefault="00CE29CE" w:rsidP="00CE29CE">
      <w:pPr>
        <w:spacing w:line="560" w:lineRule="exact"/>
        <w:rPr>
          <w:rFonts w:ascii="宋体" w:hAnsi="宋体" w:cs="宋体"/>
          <w:b/>
          <w:color w:val="000000"/>
          <w:szCs w:val="21"/>
        </w:rPr>
      </w:pPr>
      <w:r w:rsidRPr="00CE29CE">
        <w:rPr>
          <w:rFonts w:ascii="宋体" w:hAnsi="宋体" w:cs="宋体" w:hint="eastAsia"/>
          <w:b/>
          <w:color w:val="000000"/>
          <w:szCs w:val="21"/>
        </w:rPr>
        <w:t>9.2人员消毒</w:t>
      </w:r>
    </w:p>
    <w:p w14:paraId="042BF951"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b/>
          <w:color w:val="000000"/>
          <w:szCs w:val="21"/>
        </w:rPr>
        <w:t>9.2.1</w:t>
      </w:r>
      <w:r w:rsidRPr="00CE29CE">
        <w:rPr>
          <w:rFonts w:ascii="宋体" w:hAnsi="宋体" w:cs="宋体" w:hint="eastAsia"/>
          <w:b/>
          <w:szCs w:val="21"/>
        </w:rPr>
        <w:t>进入场区消毒：</w:t>
      </w:r>
      <w:r w:rsidRPr="00CE29CE">
        <w:rPr>
          <w:rFonts w:ascii="宋体" w:hAnsi="宋体" w:cs="宋体" w:hint="eastAsia"/>
          <w:szCs w:val="21"/>
        </w:rPr>
        <w:t>到场后通知门卫登记，通过入场消毒房，脱除外套进行雾化消毒，达到规定时间，再更换场内消毒衣服和鞋帽进入场区。</w:t>
      </w:r>
    </w:p>
    <w:p w14:paraId="26083E6B"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9.2.2</w:t>
      </w:r>
      <w:r w:rsidRPr="00CE29CE">
        <w:rPr>
          <w:rFonts w:ascii="宋体" w:hAnsi="宋体" w:cs="宋体" w:hint="eastAsia"/>
          <w:b/>
          <w:szCs w:val="21"/>
        </w:rPr>
        <w:t>进生产区消毒：</w:t>
      </w:r>
      <w:r w:rsidRPr="00CE29CE">
        <w:rPr>
          <w:rFonts w:ascii="宋体" w:hAnsi="宋体" w:cs="宋体" w:hint="eastAsia"/>
          <w:szCs w:val="21"/>
        </w:rPr>
        <w:t>进入生产区要换生产区已消毒工作服和鞋帽（有条件猪场可设置沐浴消毒），通过喷雾消毒通道和踩踏3%-5%烧碱溶液的消毒池，再洗手消毒进入生产区。</w:t>
      </w:r>
    </w:p>
    <w:p w14:paraId="254F45DF"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9.2.3</w:t>
      </w:r>
      <w:r w:rsidRPr="00CE29CE">
        <w:rPr>
          <w:rFonts w:ascii="宋体" w:hAnsi="宋体" w:cs="宋体" w:hint="eastAsia"/>
          <w:b/>
          <w:szCs w:val="21"/>
        </w:rPr>
        <w:t>进生产单元消毒：</w:t>
      </w:r>
      <w:r w:rsidRPr="00CE29CE">
        <w:rPr>
          <w:rFonts w:ascii="宋体" w:hAnsi="宋体" w:cs="宋体" w:hint="eastAsia"/>
          <w:szCs w:val="21"/>
        </w:rPr>
        <w:t>进入生产单元前，踩踏3%-5%烧碱溶液的消毒桶，洗手消毒，更换生产线工作服和鞋帽，进入生产线。有条件的可设置沐浴消毒。</w:t>
      </w:r>
    </w:p>
    <w:p w14:paraId="6D383BEC" w14:textId="77777777" w:rsidR="00CE29CE" w:rsidRPr="00CE29CE" w:rsidRDefault="00CE29CE" w:rsidP="00CE29CE">
      <w:pPr>
        <w:spacing w:line="560" w:lineRule="exact"/>
        <w:rPr>
          <w:rFonts w:ascii="宋体" w:hAnsi="宋体" w:cs="宋体"/>
          <w:b/>
          <w:color w:val="000000"/>
          <w:szCs w:val="21"/>
        </w:rPr>
      </w:pPr>
      <w:r w:rsidRPr="00CE29CE">
        <w:rPr>
          <w:rFonts w:ascii="宋体" w:hAnsi="宋体" w:cs="宋体" w:hint="eastAsia"/>
          <w:b/>
          <w:color w:val="000000"/>
          <w:szCs w:val="21"/>
        </w:rPr>
        <w:t>9.3车辆消毒</w:t>
      </w:r>
    </w:p>
    <w:p w14:paraId="215FCA9E"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b/>
          <w:color w:val="000000"/>
          <w:szCs w:val="21"/>
        </w:rPr>
        <w:t>9.3.1</w:t>
      </w:r>
      <w:r w:rsidRPr="00CE29CE">
        <w:rPr>
          <w:rFonts w:ascii="宋体" w:hAnsi="宋体" w:cs="宋体" w:hint="eastAsia"/>
          <w:szCs w:val="21"/>
        </w:rPr>
        <w:t>车辆进入场区至少进入2次消毒，在离场区3Km的消毒站点进行第一次消毒，去除车上所有垫料、粪便、轮胎上泥土和其他杂物，用碱性洗涤剂或酸性洗涤剂均匀喷洒至车辆表面，浸泡30分钟后，用高压热水冲洗车辆表面，晾干，再用复方戊二醛或酚化合物进行喷雾消毒，晾干，再在距离场区1Km范围。</w:t>
      </w:r>
    </w:p>
    <w:p w14:paraId="72ECC8DE"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lastRenderedPageBreak/>
        <w:t>9.3.2重复第一次消毒。</w:t>
      </w:r>
    </w:p>
    <w:p w14:paraId="00E2D2B4"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9.3.3经过场区消毒池方可进入场区。</w:t>
      </w:r>
    </w:p>
    <w:p w14:paraId="18BA0628"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9.3.4车辆消毒池消毒剂选择烧碱，每周更换3次，有雨水流入每天更换一次。</w:t>
      </w:r>
    </w:p>
    <w:p w14:paraId="338AD9F1" w14:textId="77777777" w:rsidR="00CE29CE" w:rsidRPr="00CE29CE" w:rsidRDefault="00CE29CE" w:rsidP="00CE29CE">
      <w:pPr>
        <w:spacing w:line="560" w:lineRule="exact"/>
        <w:rPr>
          <w:rFonts w:ascii="宋体" w:hAnsi="宋体" w:cs="宋体"/>
          <w:b/>
          <w:color w:val="000000"/>
          <w:szCs w:val="21"/>
        </w:rPr>
      </w:pPr>
      <w:r w:rsidRPr="00CE29CE">
        <w:rPr>
          <w:rFonts w:ascii="宋体" w:hAnsi="宋体" w:cs="宋体" w:hint="eastAsia"/>
          <w:b/>
          <w:color w:val="000000"/>
          <w:szCs w:val="21"/>
        </w:rPr>
        <w:t>9.4物品消毒</w:t>
      </w:r>
    </w:p>
    <w:p w14:paraId="70D7B45F"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b/>
          <w:color w:val="000000"/>
          <w:szCs w:val="21"/>
        </w:rPr>
        <w:t>9.4.1</w:t>
      </w:r>
      <w:r w:rsidRPr="00CE29CE">
        <w:rPr>
          <w:rFonts w:ascii="宋体" w:hAnsi="宋体" w:cs="宋体" w:hint="eastAsia"/>
          <w:szCs w:val="21"/>
        </w:rPr>
        <w:t>本场人员进场时，所有随身物品须经臭氧和过氧乙酸熏蒸消毒8小时以上，手机、手表等贵重物品须双氧水擦拭消毒。</w:t>
      </w:r>
    </w:p>
    <w:p w14:paraId="1E2FA374"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9.4.2食品和易耗品须经臭氧熏蒸消毒不少于30分钟，场外带进场区的蔬菜等须经高锰酸钾或洗洁清等洗涤消毒。</w:t>
      </w:r>
    </w:p>
    <w:p w14:paraId="249E4979"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9.4.3猪场购进的饲料入库后要用过氧乙酸或戊二醛密闭熏蒸不少于2小时后进入生产区使用。</w:t>
      </w:r>
    </w:p>
    <w:p w14:paraId="67756080"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9.4.4生物制品除去外包装，保留最后小包装，采用75%酒精擦拭彻底消毒后进场。</w:t>
      </w:r>
    </w:p>
    <w:p w14:paraId="1D03FB86"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9.4.5猪场使用的垫料或沙子等物资放置时间至少是30天，否则禁止使用。</w:t>
      </w:r>
    </w:p>
    <w:p w14:paraId="3CD5022C"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9.4.6采购的日常用具（配种、助产用具以及免疫接种的器材，如注射器、针头、镊子等用具）在使用前后进行清洗和高温高压消毒。</w:t>
      </w:r>
    </w:p>
    <w:p w14:paraId="52C11831" w14:textId="77777777" w:rsidR="00CE29CE" w:rsidRPr="00CE29CE" w:rsidRDefault="00CE29CE" w:rsidP="00CE29CE">
      <w:pPr>
        <w:spacing w:line="560" w:lineRule="exact"/>
        <w:rPr>
          <w:rFonts w:ascii="宋体" w:hAnsi="宋体" w:cs="宋体"/>
          <w:b/>
          <w:color w:val="000000"/>
          <w:szCs w:val="21"/>
        </w:rPr>
      </w:pPr>
      <w:r w:rsidRPr="00CE29CE">
        <w:rPr>
          <w:rFonts w:ascii="宋体" w:hAnsi="宋体" w:cs="宋体" w:hint="eastAsia"/>
          <w:b/>
          <w:color w:val="000000"/>
          <w:szCs w:val="21"/>
        </w:rPr>
        <w:t>9.5环境消毒</w:t>
      </w:r>
    </w:p>
    <w:p w14:paraId="54C9F135"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b/>
          <w:color w:val="000000"/>
          <w:szCs w:val="21"/>
        </w:rPr>
        <w:t>9.5.1</w:t>
      </w:r>
      <w:r w:rsidRPr="00CE29CE">
        <w:rPr>
          <w:rFonts w:ascii="宋体" w:hAnsi="宋体" w:cs="宋体" w:hint="eastAsia"/>
          <w:szCs w:val="21"/>
        </w:rPr>
        <w:t>每半个月进行一次猪场环境大消毒（避开阴雨潮湿天气），对场区路面和建筑物内通道进行清扫，清除杂物，然后用3%烧碱加生石灰混合泼洒消毒，场区大门外200米范围用过氧乙酸、碱类或戊二醛喷洒消毒。</w:t>
      </w:r>
    </w:p>
    <w:p w14:paraId="62375D30"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9.5.2猪舍内猪群转出后，要及时对空栏进行清扫、清洗和消毒，先用3%～5%烧碱溶液浸泡栏舍地面和墙面，然后用添加清洁剂的清水冲洗干净，晾干后，再用消毒液进行两次消毒，最后用过氧乙酸或福尔马林熏蒸消毒。</w:t>
      </w:r>
    </w:p>
    <w:p w14:paraId="00FED99A"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9.5.3装猪台使用完毕，应清理地面猪粪，然后用流动的清水全方位冲洗干净，晾干后，用碱类、戊二醛类等消毒药喷洒消毒。</w:t>
      </w:r>
    </w:p>
    <w:p w14:paraId="4BEE9048" w14:textId="77777777" w:rsidR="00CE29CE" w:rsidRPr="00CE29CE" w:rsidRDefault="00CE29CE" w:rsidP="00CE29CE">
      <w:pPr>
        <w:spacing w:line="560" w:lineRule="exact"/>
        <w:rPr>
          <w:rFonts w:ascii="宋体" w:hAnsi="宋体" w:cs="宋体"/>
          <w:szCs w:val="21"/>
        </w:rPr>
      </w:pPr>
      <w:r w:rsidRPr="00CE29CE">
        <w:rPr>
          <w:rFonts w:ascii="宋体" w:hAnsi="宋体" w:cs="宋体" w:hint="eastAsia"/>
          <w:szCs w:val="21"/>
        </w:rPr>
        <w:t>9.5.4井窖、明沟、灌木丛每周用杀虫剂喷洒杀灭蚊蝇和蜱虫等。</w:t>
      </w:r>
    </w:p>
    <w:p w14:paraId="1A2201DC" w14:textId="77777777" w:rsidR="00CE29CE" w:rsidRPr="00CE29CE" w:rsidRDefault="00CE29CE" w:rsidP="00CE29CE">
      <w:pPr>
        <w:widowControl/>
        <w:tabs>
          <w:tab w:val="center" w:pos="4201"/>
          <w:tab w:val="right" w:leader="dot" w:pos="9298"/>
        </w:tabs>
        <w:autoSpaceDE w:val="0"/>
        <w:autoSpaceDN w:val="0"/>
        <w:spacing w:line="360" w:lineRule="auto"/>
        <w:ind w:firstLineChars="200" w:firstLine="420"/>
        <w:rPr>
          <w:rFonts w:ascii="宋体"/>
          <w:color w:val="FF0000"/>
          <w:kern w:val="0"/>
          <w:szCs w:val="20"/>
        </w:rPr>
      </w:pPr>
    </w:p>
    <w:p w14:paraId="01C97079" w14:textId="3F1F5EC5" w:rsidR="009860DC" w:rsidRPr="008F474E" w:rsidRDefault="009860DC" w:rsidP="00CE29CE">
      <w:pPr>
        <w:pStyle w:val="affff8"/>
        <w:rPr>
          <w:rFonts w:ascii="Times New Roman"/>
          <w:kern w:val="22"/>
        </w:rPr>
      </w:pPr>
    </w:p>
    <w:sectPr w:rsidR="009860DC" w:rsidRPr="008F474E">
      <w:headerReference w:type="default" r:id="rId9"/>
      <w:footerReference w:type="default" r:id="rId10"/>
      <w:pgSz w:w="11906" w:h="16838"/>
      <w:pgMar w:top="567" w:right="1134" w:bottom="1134" w:left="1418" w:header="1418" w:footer="1134" w:gutter="0"/>
      <w:pgNumType w:start="1"/>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AB72F" w14:textId="77777777" w:rsidR="0090432F" w:rsidRDefault="0090432F">
      <w:r>
        <w:separator/>
      </w:r>
    </w:p>
  </w:endnote>
  <w:endnote w:type="continuationSeparator" w:id="0">
    <w:p w14:paraId="200F1C00" w14:textId="77777777" w:rsidR="0090432F" w:rsidRDefault="0090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52C8A" w14:textId="77777777" w:rsidR="009860DC" w:rsidRDefault="009860DC">
    <w:pPr>
      <w:pStyle w:val="af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C4426" w14:textId="77777777" w:rsidR="009860DC" w:rsidRDefault="009860DC">
    <w:pPr>
      <w:pStyle w:val="afff5"/>
    </w:pPr>
    <w:r>
      <w:fldChar w:fldCharType="begin"/>
    </w:r>
    <w:r>
      <w:instrText xml:space="preserve"> PAGE  \* MERGEFORMAT </w:instrText>
    </w:r>
    <w:r>
      <w:fldChar w:fldCharType="separate"/>
    </w:r>
    <w:r w:rsidR="00F43902" w:rsidRPr="00F4390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635F8" w14:textId="77777777" w:rsidR="0090432F" w:rsidRDefault="0090432F">
      <w:r>
        <w:separator/>
      </w:r>
    </w:p>
  </w:footnote>
  <w:footnote w:type="continuationSeparator" w:id="0">
    <w:p w14:paraId="0D9363F3" w14:textId="77777777" w:rsidR="0090432F" w:rsidRDefault="00904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4678D" w14:textId="77777777" w:rsidR="009860DC" w:rsidRDefault="009860DC">
    <w:pPr>
      <w:pStyle w:val="aff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E1CAD" w14:textId="77777777" w:rsidR="009860DC" w:rsidRDefault="009860DC">
    <w:pPr>
      <w:pStyle w:val="afff9"/>
    </w:pPr>
    <w:r>
      <w:t>DB34/ XXXXX</w:t>
    </w:r>
    <w:r>
      <w:t>—</w:t>
    </w:r>
    <w: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02AD"/>
    <w:multiLevelType w:val="multilevel"/>
    <w:tmpl w:val="079102AD"/>
    <w:lvl w:ilvl="0">
      <w:start w:val="1"/>
      <w:numFmt w:val="decimal"/>
      <w:pStyle w:val="a"/>
      <w:suff w:val="nothing"/>
      <w:lvlText w:val="注%1："/>
      <w:lvlJc w:val="left"/>
      <w:pPr>
        <w:ind w:left="10166" w:hanging="448"/>
      </w:pPr>
      <w:rPr>
        <w:rFonts w:ascii="黑体" w:eastAsia="黑体" w:hint="eastAsia"/>
        <w:b w:val="0"/>
        <w:i w:val="0"/>
        <w:sz w:val="18"/>
        <w:lang w:val="en-US"/>
      </w:rPr>
    </w:lvl>
    <w:lvl w:ilvl="1">
      <w:start w:val="1"/>
      <w:numFmt w:val="lowerLetter"/>
      <w:lvlText w:val="%2)"/>
      <w:lvlJc w:val="left"/>
      <w:pPr>
        <w:tabs>
          <w:tab w:val="num" w:pos="9355"/>
        </w:tabs>
        <w:ind w:left="10347" w:hanging="629"/>
      </w:pPr>
      <w:rPr>
        <w:rFonts w:hint="eastAsia"/>
      </w:rPr>
    </w:lvl>
    <w:lvl w:ilvl="2">
      <w:start w:val="1"/>
      <w:numFmt w:val="lowerRoman"/>
      <w:lvlText w:val="%3."/>
      <w:lvlJc w:val="right"/>
      <w:pPr>
        <w:tabs>
          <w:tab w:val="num" w:pos="9355"/>
        </w:tabs>
        <w:ind w:left="10347" w:hanging="629"/>
      </w:pPr>
      <w:rPr>
        <w:rFonts w:hint="eastAsia"/>
      </w:rPr>
    </w:lvl>
    <w:lvl w:ilvl="3">
      <w:start w:val="1"/>
      <w:numFmt w:val="decimal"/>
      <w:lvlText w:val="%4."/>
      <w:lvlJc w:val="left"/>
      <w:pPr>
        <w:tabs>
          <w:tab w:val="num" w:pos="9355"/>
        </w:tabs>
        <w:ind w:left="10347" w:hanging="629"/>
      </w:pPr>
      <w:rPr>
        <w:rFonts w:hint="eastAsia"/>
      </w:rPr>
    </w:lvl>
    <w:lvl w:ilvl="4">
      <w:start w:val="1"/>
      <w:numFmt w:val="lowerLetter"/>
      <w:lvlText w:val="%5)"/>
      <w:lvlJc w:val="left"/>
      <w:pPr>
        <w:tabs>
          <w:tab w:val="num" w:pos="9355"/>
        </w:tabs>
        <w:ind w:left="10347" w:hanging="629"/>
      </w:pPr>
      <w:rPr>
        <w:rFonts w:hint="eastAsia"/>
      </w:rPr>
    </w:lvl>
    <w:lvl w:ilvl="5">
      <w:start w:val="1"/>
      <w:numFmt w:val="lowerRoman"/>
      <w:lvlText w:val="%6."/>
      <w:lvlJc w:val="right"/>
      <w:pPr>
        <w:tabs>
          <w:tab w:val="num" w:pos="9355"/>
        </w:tabs>
        <w:ind w:left="10347" w:hanging="629"/>
      </w:pPr>
      <w:rPr>
        <w:rFonts w:hint="eastAsia"/>
      </w:rPr>
    </w:lvl>
    <w:lvl w:ilvl="6">
      <w:start w:val="1"/>
      <w:numFmt w:val="decimal"/>
      <w:lvlText w:val="%7."/>
      <w:lvlJc w:val="left"/>
      <w:pPr>
        <w:tabs>
          <w:tab w:val="num" w:pos="9355"/>
        </w:tabs>
        <w:ind w:left="10347" w:hanging="629"/>
      </w:pPr>
      <w:rPr>
        <w:rFonts w:hint="eastAsia"/>
      </w:rPr>
    </w:lvl>
    <w:lvl w:ilvl="7">
      <w:start w:val="1"/>
      <w:numFmt w:val="lowerLetter"/>
      <w:lvlText w:val="%8)"/>
      <w:lvlJc w:val="left"/>
      <w:pPr>
        <w:tabs>
          <w:tab w:val="num" w:pos="9355"/>
        </w:tabs>
        <w:ind w:left="10347" w:hanging="629"/>
      </w:pPr>
      <w:rPr>
        <w:rFonts w:hint="eastAsia"/>
      </w:rPr>
    </w:lvl>
    <w:lvl w:ilvl="8">
      <w:start w:val="1"/>
      <w:numFmt w:val="lowerRoman"/>
      <w:lvlText w:val="%9."/>
      <w:lvlJc w:val="right"/>
      <w:pPr>
        <w:tabs>
          <w:tab w:val="num" w:pos="9355"/>
        </w:tabs>
        <w:ind w:left="10347" w:hanging="629"/>
      </w:pPr>
      <w:rPr>
        <w:rFonts w:hint="eastAsia"/>
      </w:rPr>
    </w:lvl>
  </w:abstractNum>
  <w:abstractNum w:abstractNumId="1"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15:restartNumberingAfterBreak="0">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15:restartNumberingAfterBreak="0">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5" w15:restartNumberingAfterBreak="0">
    <w:nsid w:val="1FC91163"/>
    <w:multiLevelType w:val="multilevel"/>
    <w:tmpl w:val="1FC91163"/>
    <w:lvl w:ilvl="0">
      <w:start w:val="1"/>
      <w:numFmt w:val="decimal"/>
      <w:pStyle w:val="a4"/>
      <w:suff w:val="nothing"/>
      <w:lvlText w:val="%1　"/>
      <w:lvlJc w:val="left"/>
      <w:pPr>
        <w:ind w:left="1843" w:firstLine="0"/>
      </w:pPr>
      <w:rPr>
        <w:rFonts w:ascii="黑体" w:eastAsia="黑体" w:hAnsi="Times New Roman" w:hint="eastAsia"/>
        <w:b w:val="0"/>
        <w:i w:val="0"/>
        <w:sz w:val="21"/>
        <w:szCs w:val="21"/>
      </w:rPr>
    </w:lvl>
    <w:lvl w:ilvl="1">
      <w:start w:val="1"/>
      <w:numFmt w:val="decimal"/>
      <w:pStyle w:val="a5"/>
      <w:suff w:val="nothing"/>
      <w:lvlText w:val="%1.%2　"/>
      <w:lvlJc w:val="left"/>
      <w:pPr>
        <w:ind w:left="1843"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6"/>
      <w:suff w:val="nothing"/>
      <w:lvlText w:val="%1.%2.%3　"/>
      <w:lvlJc w:val="left"/>
      <w:pPr>
        <w:ind w:left="1843" w:firstLine="0"/>
      </w:pPr>
      <w:rPr>
        <w:rFonts w:ascii="黑体" w:eastAsia="黑体" w:hAnsi="Times New Roman" w:hint="eastAsia"/>
        <w:b w:val="0"/>
        <w:i w:val="0"/>
        <w:sz w:val="21"/>
      </w:rPr>
    </w:lvl>
    <w:lvl w:ilvl="3">
      <w:start w:val="1"/>
      <w:numFmt w:val="decimal"/>
      <w:pStyle w:val="a7"/>
      <w:suff w:val="nothing"/>
      <w:lvlText w:val="%1.%2.%3.%4　"/>
      <w:lvlJc w:val="left"/>
      <w:pPr>
        <w:ind w:left="1843" w:firstLine="0"/>
      </w:pPr>
      <w:rPr>
        <w:rFonts w:ascii="黑体" w:eastAsia="黑体" w:hAnsi="Times New Roman" w:hint="eastAsia"/>
        <w:b w:val="0"/>
        <w:i w:val="0"/>
        <w:sz w:val="21"/>
      </w:rPr>
    </w:lvl>
    <w:lvl w:ilvl="4">
      <w:start w:val="1"/>
      <w:numFmt w:val="decimal"/>
      <w:pStyle w:val="a8"/>
      <w:suff w:val="nothing"/>
      <w:lvlText w:val="%1.%2.%3.%4.%5　"/>
      <w:lvlJc w:val="left"/>
      <w:pPr>
        <w:ind w:left="1843" w:firstLine="0"/>
      </w:pPr>
      <w:rPr>
        <w:rFonts w:ascii="黑体" w:eastAsia="黑体" w:hAnsi="Times New Roman" w:hint="eastAsia"/>
        <w:b w:val="0"/>
        <w:i w:val="0"/>
        <w:sz w:val="21"/>
      </w:rPr>
    </w:lvl>
    <w:lvl w:ilvl="5">
      <w:start w:val="1"/>
      <w:numFmt w:val="decimal"/>
      <w:pStyle w:val="a9"/>
      <w:suff w:val="nothing"/>
      <w:lvlText w:val="%1.%2.%3.%4.%5.%6　"/>
      <w:lvlJc w:val="left"/>
      <w:pPr>
        <w:ind w:left="1843" w:firstLine="0"/>
      </w:pPr>
      <w:rPr>
        <w:rFonts w:ascii="黑体" w:eastAsia="黑体" w:hAnsi="Times New Roman" w:hint="eastAsia"/>
        <w:b w:val="0"/>
        <w:i w:val="0"/>
        <w:sz w:val="21"/>
      </w:rPr>
    </w:lvl>
    <w:lvl w:ilvl="6">
      <w:start w:val="1"/>
      <w:numFmt w:val="decimal"/>
      <w:suff w:val="nothing"/>
      <w:lvlText w:val="%1%2.%3.%4.%5.%6.%7　"/>
      <w:lvlJc w:val="left"/>
      <w:pPr>
        <w:ind w:left="1843" w:firstLine="0"/>
      </w:pPr>
      <w:rPr>
        <w:rFonts w:ascii="黑体" w:eastAsia="黑体" w:hAnsi="Times New Roman" w:hint="eastAsia"/>
        <w:b w:val="0"/>
        <w:i w:val="0"/>
        <w:sz w:val="21"/>
      </w:rPr>
    </w:lvl>
    <w:lvl w:ilvl="7">
      <w:start w:val="1"/>
      <w:numFmt w:val="decimal"/>
      <w:lvlText w:val="%1.%2.%3.%4.%5.%6.%7.%8"/>
      <w:lvlJc w:val="left"/>
      <w:pPr>
        <w:tabs>
          <w:tab w:val="num" w:pos="6194"/>
        </w:tabs>
        <w:ind w:left="5812" w:hanging="1418"/>
      </w:pPr>
      <w:rPr>
        <w:rFonts w:hint="eastAsia"/>
      </w:rPr>
    </w:lvl>
    <w:lvl w:ilvl="8">
      <w:start w:val="1"/>
      <w:numFmt w:val="decimal"/>
      <w:lvlText w:val="%1.%2.%3.%4.%5.%6.%7.%8.%9"/>
      <w:lvlJc w:val="left"/>
      <w:pPr>
        <w:tabs>
          <w:tab w:val="num" w:pos="6620"/>
        </w:tabs>
        <w:ind w:left="6520" w:hanging="1700"/>
      </w:pPr>
      <w:rPr>
        <w:rFonts w:hint="eastAsia"/>
      </w:rPr>
    </w:lvl>
  </w:abstractNum>
  <w:abstractNum w:abstractNumId="6" w15:restartNumberingAfterBreak="0">
    <w:nsid w:val="200B7177"/>
    <w:multiLevelType w:val="hybridMultilevel"/>
    <w:tmpl w:val="5BE6EF08"/>
    <w:lvl w:ilvl="0" w:tplc="BC58F51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8" w15:restartNumberingAfterBreak="0">
    <w:nsid w:val="2C5917C3"/>
    <w:multiLevelType w:val="multilevel"/>
    <w:tmpl w:val="2C5917C3"/>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num" w:pos="760"/>
        </w:tabs>
        <w:ind w:left="1264" w:hanging="413"/>
      </w:pPr>
      <w:rPr>
        <w:rFonts w:ascii="Symbol" w:hAnsi="Symbol" w:hint="default"/>
        <w:color w:val="auto"/>
      </w:rPr>
    </w:lvl>
    <w:lvl w:ilvl="2">
      <w:start w:val="1"/>
      <w:numFmt w:val="bullet"/>
      <w:pStyle w:val="ae"/>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9" w15:restartNumberingAfterBreak="0">
    <w:nsid w:val="3D733618"/>
    <w:multiLevelType w:val="multilevel"/>
    <w:tmpl w:val="3D733618"/>
    <w:lvl w:ilvl="0">
      <w:start w:val="1"/>
      <w:numFmt w:val="decimal"/>
      <w:pStyle w:val="af"/>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0" w15:restartNumberingAfterBreak="0">
    <w:nsid w:val="44C50F90"/>
    <w:multiLevelType w:val="multilevel"/>
    <w:tmpl w:val="44C50F90"/>
    <w:lvl w:ilvl="0">
      <w:start w:val="1"/>
      <w:numFmt w:val="lowerLetter"/>
      <w:pStyle w:val="af0"/>
      <w:lvlText w:val="%1)"/>
      <w:lvlJc w:val="left"/>
      <w:pPr>
        <w:tabs>
          <w:tab w:val="num" w:pos="840"/>
        </w:tabs>
        <w:ind w:left="839" w:hanging="419"/>
      </w:pPr>
      <w:rPr>
        <w:rFonts w:ascii="宋体" w:eastAsia="宋体" w:hint="eastAsia"/>
        <w:b w:val="0"/>
        <w:i w:val="0"/>
        <w:sz w:val="21"/>
        <w:szCs w:val="21"/>
      </w:rPr>
    </w:lvl>
    <w:lvl w:ilvl="1">
      <w:start w:val="1"/>
      <w:numFmt w:val="decimal"/>
      <w:pStyle w:val="af1"/>
      <w:lvlText w:val="%2)"/>
      <w:lvlJc w:val="left"/>
      <w:pPr>
        <w:tabs>
          <w:tab w:val="num" w:pos="1260"/>
        </w:tabs>
        <w:ind w:left="1259" w:hanging="419"/>
      </w:pPr>
      <w:rPr>
        <w:rFonts w:hint="eastAsia"/>
      </w:rPr>
    </w:lvl>
    <w:lvl w:ilvl="2">
      <w:start w:val="1"/>
      <w:numFmt w:val="decimal"/>
      <w:pStyle w:val="af2"/>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1" w15:restartNumberingAfterBreak="0">
    <w:nsid w:val="4B733A5F"/>
    <w:multiLevelType w:val="multilevel"/>
    <w:tmpl w:val="4B733A5F"/>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2" w15:restartNumberingAfterBreak="0">
    <w:nsid w:val="557C2AF5"/>
    <w:multiLevelType w:val="multilevel"/>
    <w:tmpl w:val="557C2AF5"/>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3" w15:restartNumberingAfterBreak="0">
    <w:nsid w:val="60B55DC2"/>
    <w:multiLevelType w:val="multilevel"/>
    <w:tmpl w:val="60B55DC2"/>
    <w:lvl w:ilvl="0">
      <w:start w:val="1"/>
      <w:numFmt w:val="upperLetter"/>
      <w:pStyle w:val="af5"/>
      <w:lvlText w:val="%1"/>
      <w:lvlJc w:val="left"/>
      <w:pPr>
        <w:tabs>
          <w:tab w:val="num"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4" w15:restartNumberingAfterBreak="0">
    <w:nsid w:val="646260FA"/>
    <w:multiLevelType w:val="multilevel"/>
    <w:tmpl w:val="646260FA"/>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7" w15:restartNumberingAfterBreak="0">
    <w:nsid w:val="6D6C07CD"/>
    <w:multiLevelType w:val="multilevel"/>
    <w:tmpl w:val="6D6C07CD"/>
    <w:lvl w:ilvl="0">
      <w:start w:val="1"/>
      <w:numFmt w:val="lowerLetter"/>
      <w:pStyle w:val="afc"/>
      <w:lvlText w:val="%1)"/>
      <w:lvlJc w:val="left"/>
      <w:pPr>
        <w:tabs>
          <w:tab w:val="num" w:pos="839"/>
        </w:tabs>
        <w:ind w:left="839" w:hanging="419"/>
      </w:pPr>
      <w:rPr>
        <w:rFonts w:ascii="宋体" w:eastAsia="宋体" w:hint="eastAsia"/>
        <w:b w:val="0"/>
        <w:i w:val="0"/>
        <w:sz w:val="21"/>
      </w:rPr>
    </w:lvl>
    <w:lvl w:ilvl="1">
      <w:start w:val="1"/>
      <w:numFmt w:val="decimal"/>
      <w:pStyle w:val="afd"/>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8" w15:restartNumberingAfterBreak="0">
    <w:nsid w:val="6DBF04F4"/>
    <w:multiLevelType w:val="multilevel"/>
    <w:tmpl w:val="6DBF04F4"/>
    <w:lvl w:ilvl="0">
      <w:start w:val="1"/>
      <w:numFmt w:val="non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15"/>
  </w:num>
  <w:num w:numId="2">
    <w:abstractNumId w:val="8"/>
  </w:num>
  <w:num w:numId="3">
    <w:abstractNumId w:val="10"/>
  </w:num>
  <w:num w:numId="4">
    <w:abstractNumId w:val="13"/>
  </w:num>
  <w:num w:numId="5">
    <w:abstractNumId w:val="17"/>
  </w:num>
  <w:num w:numId="6">
    <w:abstractNumId w:val="5"/>
  </w:num>
  <w:num w:numId="7">
    <w:abstractNumId w:val="9"/>
  </w:num>
  <w:num w:numId="8">
    <w:abstractNumId w:val="4"/>
  </w:num>
  <w:num w:numId="9">
    <w:abstractNumId w:val="1"/>
  </w:num>
  <w:num w:numId="10">
    <w:abstractNumId w:val="18"/>
  </w:num>
  <w:num w:numId="11">
    <w:abstractNumId w:val="11"/>
  </w:num>
  <w:num w:numId="12">
    <w:abstractNumId w:val="2"/>
  </w:num>
  <w:num w:numId="13">
    <w:abstractNumId w:val="0"/>
  </w:num>
  <w:num w:numId="14">
    <w:abstractNumId w:val="7"/>
  </w:num>
  <w:num w:numId="15">
    <w:abstractNumId w:val="12"/>
  </w:num>
  <w:num w:numId="16">
    <w:abstractNumId w:val="3"/>
  </w:num>
  <w:num w:numId="17">
    <w:abstractNumId w:val="14"/>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NT1nmBS8GVbeLjICL7XuvV+o7/VGPRtKm2hIpx1THhzIJBg3KOk+zcbLxObEeOLS0PrdA0E5HGi5u4D3RuoXg==" w:salt="9N49y8ElR6kQ3F1HIyEb8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8D"/>
    <w:rsid w:val="00000244"/>
    <w:rsid w:val="0000141B"/>
    <w:rsid w:val="0000185F"/>
    <w:rsid w:val="0000586F"/>
    <w:rsid w:val="000107E5"/>
    <w:rsid w:val="00013D86"/>
    <w:rsid w:val="00013E02"/>
    <w:rsid w:val="0001524C"/>
    <w:rsid w:val="0002143C"/>
    <w:rsid w:val="00025A65"/>
    <w:rsid w:val="00026C31"/>
    <w:rsid w:val="00027280"/>
    <w:rsid w:val="000320A7"/>
    <w:rsid w:val="00035925"/>
    <w:rsid w:val="00055D26"/>
    <w:rsid w:val="00057C89"/>
    <w:rsid w:val="00067CDF"/>
    <w:rsid w:val="000731B3"/>
    <w:rsid w:val="00074FBE"/>
    <w:rsid w:val="00082ACF"/>
    <w:rsid w:val="00083A09"/>
    <w:rsid w:val="0009005E"/>
    <w:rsid w:val="00090AF6"/>
    <w:rsid w:val="00092857"/>
    <w:rsid w:val="000955DA"/>
    <w:rsid w:val="000A20A9"/>
    <w:rsid w:val="000A48B1"/>
    <w:rsid w:val="000B3143"/>
    <w:rsid w:val="000C31E3"/>
    <w:rsid w:val="000C6B05"/>
    <w:rsid w:val="000C6DD6"/>
    <w:rsid w:val="000C73D4"/>
    <w:rsid w:val="000D3D4C"/>
    <w:rsid w:val="000D4F51"/>
    <w:rsid w:val="000D718B"/>
    <w:rsid w:val="000E0C46"/>
    <w:rsid w:val="000F030C"/>
    <w:rsid w:val="000F129C"/>
    <w:rsid w:val="000F266B"/>
    <w:rsid w:val="001056DE"/>
    <w:rsid w:val="001124C0"/>
    <w:rsid w:val="0013175F"/>
    <w:rsid w:val="001512B4"/>
    <w:rsid w:val="001620A5"/>
    <w:rsid w:val="00164431"/>
    <w:rsid w:val="00164E53"/>
    <w:rsid w:val="0016699D"/>
    <w:rsid w:val="00175159"/>
    <w:rsid w:val="00176208"/>
    <w:rsid w:val="00177E4A"/>
    <w:rsid w:val="0018211B"/>
    <w:rsid w:val="001840D3"/>
    <w:rsid w:val="001900F8"/>
    <w:rsid w:val="00191258"/>
    <w:rsid w:val="00192680"/>
    <w:rsid w:val="00193037"/>
    <w:rsid w:val="00193A2C"/>
    <w:rsid w:val="001A288E"/>
    <w:rsid w:val="001B6BD1"/>
    <w:rsid w:val="001B6DC2"/>
    <w:rsid w:val="001C149C"/>
    <w:rsid w:val="001C21AC"/>
    <w:rsid w:val="001C47BA"/>
    <w:rsid w:val="001C59EA"/>
    <w:rsid w:val="001D406C"/>
    <w:rsid w:val="001D41EE"/>
    <w:rsid w:val="001E0380"/>
    <w:rsid w:val="001E13B1"/>
    <w:rsid w:val="001E4C2B"/>
    <w:rsid w:val="001F3A19"/>
    <w:rsid w:val="002047C4"/>
    <w:rsid w:val="00234467"/>
    <w:rsid w:val="00237D8D"/>
    <w:rsid w:val="00241DA2"/>
    <w:rsid w:val="00247FEE"/>
    <w:rsid w:val="00250E7D"/>
    <w:rsid w:val="002565D5"/>
    <w:rsid w:val="002622C0"/>
    <w:rsid w:val="00266FAC"/>
    <w:rsid w:val="002778AE"/>
    <w:rsid w:val="0028269A"/>
    <w:rsid w:val="00283590"/>
    <w:rsid w:val="00286973"/>
    <w:rsid w:val="00294E70"/>
    <w:rsid w:val="002A1924"/>
    <w:rsid w:val="002A7420"/>
    <w:rsid w:val="002B0F12"/>
    <w:rsid w:val="002B1308"/>
    <w:rsid w:val="002B4554"/>
    <w:rsid w:val="002C0D41"/>
    <w:rsid w:val="002C427F"/>
    <w:rsid w:val="002C72D8"/>
    <w:rsid w:val="002D11FA"/>
    <w:rsid w:val="002D40E8"/>
    <w:rsid w:val="002D7F82"/>
    <w:rsid w:val="002E0DDF"/>
    <w:rsid w:val="002E2906"/>
    <w:rsid w:val="002E5582"/>
    <w:rsid w:val="002E5635"/>
    <w:rsid w:val="002E64C3"/>
    <w:rsid w:val="002E6A2C"/>
    <w:rsid w:val="002F0DD9"/>
    <w:rsid w:val="002F1D8C"/>
    <w:rsid w:val="002F21DA"/>
    <w:rsid w:val="002F5382"/>
    <w:rsid w:val="002F7A11"/>
    <w:rsid w:val="00301F39"/>
    <w:rsid w:val="00325926"/>
    <w:rsid w:val="00327A8A"/>
    <w:rsid w:val="00336610"/>
    <w:rsid w:val="00343F73"/>
    <w:rsid w:val="00345060"/>
    <w:rsid w:val="0035323B"/>
    <w:rsid w:val="00354160"/>
    <w:rsid w:val="003609D2"/>
    <w:rsid w:val="00363F22"/>
    <w:rsid w:val="00375564"/>
    <w:rsid w:val="00383191"/>
    <w:rsid w:val="00386DED"/>
    <w:rsid w:val="003878D8"/>
    <w:rsid w:val="003912E7"/>
    <w:rsid w:val="00393947"/>
    <w:rsid w:val="0039420D"/>
    <w:rsid w:val="003A2275"/>
    <w:rsid w:val="003A6A4F"/>
    <w:rsid w:val="003A6E8E"/>
    <w:rsid w:val="003A7088"/>
    <w:rsid w:val="003B00DF"/>
    <w:rsid w:val="003B1275"/>
    <w:rsid w:val="003B1778"/>
    <w:rsid w:val="003C11CB"/>
    <w:rsid w:val="003C75F3"/>
    <w:rsid w:val="003C78A3"/>
    <w:rsid w:val="003E1867"/>
    <w:rsid w:val="003E2B0A"/>
    <w:rsid w:val="003E5729"/>
    <w:rsid w:val="003F4EE0"/>
    <w:rsid w:val="00402153"/>
    <w:rsid w:val="00402FC1"/>
    <w:rsid w:val="00410C92"/>
    <w:rsid w:val="00425082"/>
    <w:rsid w:val="00431DEB"/>
    <w:rsid w:val="00436793"/>
    <w:rsid w:val="004404A2"/>
    <w:rsid w:val="00446B29"/>
    <w:rsid w:val="00453F9A"/>
    <w:rsid w:val="00471E91"/>
    <w:rsid w:val="00474675"/>
    <w:rsid w:val="0047470C"/>
    <w:rsid w:val="004A35F9"/>
    <w:rsid w:val="004B24C1"/>
    <w:rsid w:val="004C292F"/>
    <w:rsid w:val="004D6D4F"/>
    <w:rsid w:val="00510280"/>
    <w:rsid w:val="00513D73"/>
    <w:rsid w:val="00514A43"/>
    <w:rsid w:val="005174E5"/>
    <w:rsid w:val="00522393"/>
    <w:rsid w:val="00522620"/>
    <w:rsid w:val="00525656"/>
    <w:rsid w:val="00534C02"/>
    <w:rsid w:val="0054264B"/>
    <w:rsid w:val="00543786"/>
    <w:rsid w:val="00543F5C"/>
    <w:rsid w:val="00550272"/>
    <w:rsid w:val="005533D7"/>
    <w:rsid w:val="005703DE"/>
    <w:rsid w:val="0058464E"/>
    <w:rsid w:val="005A01CB"/>
    <w:rsid w:val="005A58FF"/>
    <w:rsid w:val="005A5EAF"/>
    <w:rsid w:val="005A64C0"/>
    <w:rsid w:val="005B3C11"/>
    <w:rsid w:val="005C1C28"/>
    <w:rsid w:val="005C6DB5"/>
    <w:rsid w:val="005D7A9A"/>
    <w:rsid w:val="005E19E7"/>
    <w:rsid w:val="00610D4F"/>
    <w:rsid w:val="00616101"/>
    <w:rsid w:val="0061716C"/>
    <w:rsid w:val="006243A1"/>
    <w:rsid w:val="00632E56"/>
    <w:rsid w:val="00634641"/>
    <w:rsid w:val="00635CBA"/>
    <w:rsid w:val="0064338B"/>
    <w:rsid w:val="00644FB1"/>
    <w:rsid w:val="00646542"/>
    <w:rsid w:val="006504F4"/>
    <w:rsid w:val="00654BC9"/>
    <w:rsid w:val="006552FD"/>
    <w:rsid w:val="00663AF3"/>
    <w:rsid w:val="00666B6C"/>
    <w:rsid w:val="00682682"/>
    <w:rsid w:val="00682702"/>
    <w:rsid w:val="00687FFA"/>
    <w:rsid w:val="00692368"/>
    <w:rsid w:val="00695575"/>
    <w:rsid w:val="006A2EBC"/>
    <w:rsid w:val="006A5EA0"/>
    <w:rsid w:val="006A783B"/>
    <w:rsid w:val="006A7B33"/>
    <w:rsid w:val="006B361E"/>
    <w:rsid w:val="006B4E13"/>
    <w:rsid w:val="006B5528"/>
    <w:rsid w:val="006B75DD"/>
    <w:rsid w:val="006C2202"/>
    <w:rsid w:val="006C67E0"/>
    <w:rsid w:val="006C6E7C"/>
    <w:rsid w:val="006C7ABA"/>
    <w:rsid w:val="006D0D60"/>
    <w:rsid w:val="006D1122"/>
    <w:rsid w:val="006D17C0"/>
    <w:rsid w:val="006D3C00"/>
    <w:rsid w:val="006E3675"/>
    <w:rsid w:val="006E4A7F"/>
    <w:rsid w:val="00704DF6"/>
    <w:rsid w:val="0070651C"/>
    <w:rsid w:val="007132A3"/>
    <w:rsid w:val="00716421"/>
    <w:rsid w:val="00724EFB"/>
    <w:rsid w:val="00725D31"/>
    <w:rsid w:val="007419C3"/>
    <w:rsid w:val="007467A7"/>
    <w:rsid w:val="007469DD"/>
    <w:rsid w:val="0074741B"/>
    <w:rsid w:val="0074759E"/>
    <w:rsid w:val="007478EA"/>
    <w:rsid w:val="0075415C"/>
    <w:rsid w:val="00763502"/>
    <w:rsid w:val="007913AB"/>
    <w:rsid w:val="007914F7"/>
    <w:rsid w:val="007B1625"/>
    <w:rsid w:val="007B2215"/>
    <w:rsid w:val="007B706E"/>
    <w:rsid w:val="007B71EB"/>
    <w:rsid w:val="007C6205"/>
    <w:rsid w:val="007C686A"/>
    <w:rsid w:val="007C728E"/>
    <w:rsid w:val="007D2C53"/>
    <w:rsid w:val="007D3D60"/>
    <w:rsid w:val="007D6F1D"/>
    <w:rsid w:val="007E1980"/>
    <w:rsid w:val="007E4B76"/>
    <w:rsid w:val="007E5EA8"/>
    <w:rsid w:val="007F0CF1"/>
    <w:rsid w:val="007F12A5"/>
    <w:rsid w:val="007F4CF1"/>
    <w:rsid w:val="007F758D"/>
    <w:rsid w:val="007F7D52"/>
    <w:rsid w:val="0080654C"/>
    <w:rsid w:val="008071C6"/>
    <w:rsid w:val="00817A00"/>
    <w:rsid w:val="00835DB3"/>
    <w:rsid w:val="0083617B"/>
    <w:rsid w:val="008371BD"/>
    <w:rsid w:val="008374EF"/>
    <w:rsid w:val="00840694"/>
    <w:rsid w:val="00841FFF"/>
    <w:rsid w:val="008443CA"/>
    <w:rsid w:val="008504A8"/>
    <w:rsid w:val="0085282E"/>
    <w:rsid w:val="0087198C"/>
    <w:rsid w:val="00872C1F"/>
    <w:rsid w:val="00873B42"/>
    <w:rsid w:val="0087442F"/>
    <w:rsid w:val="008856D8"/>
    <w:rsid w:val="008920CD"/>
    <w:rsid w:val="00892E82"/>
    <w:rsid w:val="00893306"/>
    <w:rsid w:val="008C1B58"/>
    <w:rsid w:val="008C39AE"/>
    <w:rsid w:val="008C590D"/>
    <w:rsid w:val="008E031B"/>
    <w:rsid w:val="008E57F7"/>
    <w:rsid w:val="008E7029"/>
    <w:rsid w:val="008E7EF6"/>
    <w:rsid w:val="008F1F98"/>
    <w:rsid w:val="008F474E"/>
    <w:rsid w:val="008F6758"/>
    <w:rsid w:val="009040DD"/>
    <w:rsid w:val="0090432F"/>
    <w:rsid w:val="00905B47"/>
    <w:rsid w:val="0091331C"/>
    <w:rsid w:val="009178A4"/>
    <w:rsid w:val="009279DE"/>
    <w:rsid w:val="00930116"/>
    <w:rsid w:val="0094212C"/>
    <w:rsid w:val="00954689"/>
    <w:rsid w:val="00961093"/>
    <w:rsid w:val="009617C9"/>
    <w:rsid w:val="00961C93"/>
    <w:rsid w:val="00964713"/>
    <w:rsid w:val="00965324"/>
    <w:rsid w:val="0097091E"/>
    <w:rsid w:val="009760D3"/>
    <w:rsid w:val="00977132"/>
    <w:rsid w:val="00981A4B"/>
    <w:rsid w:val="00982501"/>
    <w:rsid w:val="009860DC"/>
    <w:rsid w:val="009877D3"/>
    <w:rsid w:val="00994E8F"/>
    <w:rsid w:val="009951DC"/>
    <w:rsid w:val="009959BB"/>
    <w:rsid w:val="00997158"/>
    <w:rsid w:val="009A3A7C"/>
    <w:rsid w:val="009B2ADB"/>
    <w:rsid w:val="009B603A"/>
    <w:rsid w:val="009B761A"/>
    <w:rsid w:val="009C0042"/>
    <w:rsid w:val="009C2D0E"/>
    <w:rsid w:val="009C3DAC"/>
    <w:rsid w:val="009C42E0"/>
    <w:rsid w:val="009C6430"/>
    <w:rsid w:val="009D5362"/>
    <w:rsid w:val="009D5B61"/>
    <w:rsid w:val="009E1415"/>
    <w:rsid w:val="009E21E9"/>
    <w:rsid w:val="009E499D"/>
    <w:rsid w:val="009E6116"/>
    <w:rsid w:val="00A01CD2"/>
    <w:rsid w:val="00A02E43"/>
    <w:rsid w:val="00A065F9"/>
    <w:rsid w:val="00A07F34"/>
    <w:rsid w:val="00A22154"/>
    <w:rsid w:val="00A22DF2"/>
    <w:rsid w:val="00A25C38"/>
    <w:rsid w:val="00A36BBE"/>
    <w:rsid w:val="00A4307A"/>
    <w:rsid w:val="00A43954"/>
    <w:rsid w:val="00A47EBB"/>
    <w:rsid w:val="00A51CDD"/>
    <w:rsid w:val="00A6563F"/>
    <w:rsid w:val="00A65B58"/>
    <w:rsid w:val="00A6730D"/>
    <w:rsid w:val="00A71625"/>
    <w:rsid w:val="00A71B9B"/>
    <w:rsid w:val="00A73B69"/>
    <w:rsid w:val="00A751C7"/>
    <w:rsid w:val="00A8172A"/>
    <w:rsid w:val="00A84726"/>
    <w:rsid w:val="00A87844"/>
    <w:rsid w:val="00AA038C"/>
    <w:rsid w:val="00AA7A09"/>
    <w:rsid w:val="00AB3B50"/>
    <w:rsid w:val="00AC05B1"/>
    <w:rsid w:val="00AD0D41"/>
    <w:rsid w:val="00AD356C"/>
    <w:rsid w:val="00AE2914"/>
    <w:rsid w:val="00AE6D15"/>
    <w:rsid w:val="00B04182"/>
    <w:rsid w:val="00B07AE3"/>
    <w:rsid w:val="00B11430"/>
    <w:rsid w:val="00B353EB"/>
    <w:rsid w:val="00B439C4"/>
    <w:rsid w:val="00B43D80"/>
    <w:rsid w:val="00B4535E"/>
    <w:rsid w:val="00B51BE2"/>
    <w:rsid w:val="00B52A8C"/>
    <w:rsid w:val="00B636A8"/>
    <w:rsid w:val="00B665C6"/>
    <w:rsid w:val="00B75BB8"/>
    <w:rsid w:val="00B805AF"/>
    <w:rsid w:val="00B829CD"/>
    <w:rsid w:val="00B869EC"/>
    <w:rsid w:val="00B9397A"/>
    <w:rsid w:val="00B9633D"/>
    <w:rsid w:val="00BA2131"/>
    <w:rsid w:val="00BA2C58"/>
    <w:rsid w:val="00BA2EBE"/>
    <w:rsid w:val="00BA7C58"/>
    <w:rsid w:val="00BB0F28"/>
    <w:rsid w:val="00BB3730"/>
    <w:rsid w:val="00BB458A"/>
    <w:rsid w:val="00BD00D3"/>
    <w:rsid w:val="00BD08A4"/>
    <w:rsid w:val="00BD1659"/>
    <w:rsid w:val="00BD3AA9"/>
    <w:rsid w:val="00BD4A18"/>
    <w:rsid w:val="00BD6DB2"/>
    <w:rsid w:val="00BE11CF"/>
    <w:rsid w:val="00BE21AB"/>
    <w:rsid w:val="00BE55CB"/>
    <w:rsid w:val="00BF3BD1"/>
    <w:rsid w:val="00BF617A"/>
    <w:rsid w:val="00C0379D"/>
    <w:rsid w:val="00C03931"/>
    <w:rsid w:val="00C03EC3"/>
    <w:rsid w:val="00C03FE8"/>
    <w:rsid w:val="00C05FE3"/>
    <w:rsid w:val="00C15D05"/>
    <w:rsid w:val="00C2136D"/>
    <w:rsid w:val="00C214EE"/>
    <w:rsid w:val="00C2314B"/>
    <w:rsid w:val="00C24971"/>
    <w:rsid w:val="00C26BE5"/>
    <w:rsid w:val="00C26E4D"/>
    <w:rsid w:val="00C27909"/>
    <w:rsid w:val="00C27B03"/>
    <w:rsid w:val="00C314E1"/>
    <w:rsid w:val="00C34397"/>
    <w:rsid w:val="00C4095D"/>
    <w:rsid w:val="00C52677"/>
    <w:rsid w:val="00C601D2"/>
    <w:rsid w:val="00C65BCC"/>
    <w:rsid w:val="00C66970"/>
    <w:rsid w:val="00C83D69"/>
    <w:rsid w:val="00C8691C"/>
    <w:rsid w:val="00C94C8E"/>
    <w:rsid w:val="00C9517A"/>
    <w:rsid w:val="00C972A2"/>
    <w:rsid w:val="00CA168A"/>
    <w:rsid w:val="00CA2C29"/>
    <w:rsid w:val="00CA357E"/>
    <w:rsid w:val="00CA44F9"/>
    <w:rsid w:val="00CA4A69"/>
    <w:rsid w:val="00CB31D6"/>
    <w:rsid w:val="00CC3E0C"/>
    <w:rsid w:val="00CC58D3"/>
    <w:rsid w:val="00CC784D"/>
    <w:rsid w:val="00CD0B95"/>
    <w:rsid w:val="00CE29CE"/>
    <w:rsid w:val="00CE518D"/>
    <w:rsid w:val="00CF6673"/>
    <w:rsid w:val="00D01DB1"/>
    <w:rsid w:val="00D0337B"/>
    <w:rsid w:val="00D05D54"/>
    <w:rsid w:val="00D079B2"/>
    <w:rsid w:val="00D114E9"/>
    <w:rsid w:val="00D25420"/>
    <w:rsid w:val="00D42347"/>
    <w:rsid w:val="00D429C6"/>
    <w:rsid w:val="00D47748"/>
    <w:rsid w:val="00D54CC3"/>
    <w:rsid w:val="00D6041A"/>
    <w:rsid w:val="00D633EB"/>
    <w:rsid w:val="00D6650C"/>
    <w:rsid w:val="00D82FF7"/>
    <w:rsid w:val="00D847FE"/>
    <w:rsid w:val="00D964EA"/>
    <w:rsid w:val="00D966D0"/>
    <w:rsid w:val="00DA0C59"/>
    <w:rsid w:val="00DA3991"/>
    <w:rsid w:val="00DB4BFE"/>
    <w:rsid w:val="00DB7E6C"/>
    <w:rsid w:val="00DD0921"/>
    <w:rsid w:val="00DD5A29"/>
    <w:rsid w:val="00DD5D9D"/>
    <w:rsid w:val="00DE35CB"/>
    <w:rsid w:val="00DF21E9"/>
    <w:rsid w:val="00DF682E"/>
    <w:rsid w:val="00E00F14"/>
    <w:rsid w:val="00E06386"/>
    <w:rsid w:val="00E13013"/>
    <w:rsid w:val="00E1421D"/>
    <w:rsid w:val="00E24A5C"/>
    <w:rsid w:val="00E24EB4"/>
    <w:rsid w:val="00E320ED"/>
    <w:rsid w:val="00E33AFB"/>
    <w:rsid w:val="00E34218"/>
    <w:rsid w:val="00E46282"/>
    <w:rsid w:val="00E5216E"/>
    <w:rsid w:val="00E54AE9"/>
    <w:rsid w:val="00E82344"/>
    <w:rsid w:val="00E84C82"/>
    <w:rsid w:val="00E84D64"/>
    <w:rsid w:val="00E86F7E"/>
    <w:rsid w:val="00E87408"/>
    <w:rsid w:val="00E914C4"/>
    <w:rsid w:val="00E934F5"/>
    <w:rsid w:val="00E96961"/>
    <w:rsid w:val="00E96A98"/>
    <w:rsid w:val="00EA72EC"/>
    <w:rsid w:val="00EB11CB"/>
    <w:rsid w:val="00EB275A"/>
    <w:rsid w:val="00EB3540"/>
    <w:rsid w:val="00EB786A"/>
    <w:rsid w:val="00EC1578"/>
    <w:rsid w:val="00EC1C72"/>
    <w:rsid w:val="00EC3CC9"/>
    <w:rsid w:val="00EC680A"/>
    <w:rsid w:val="00EC6840"/>
    <w:rsid w:val="00EE2BED"/>
    <w:rsid w:val="00EE374B"/>
    <w:rsid w:val="00EF6A35"/>
    <w:rsid w:val="00F11BB5"/>
    <w:rsid w:val="00F1417B"/>
    <w:rsid w:val="00F1736B"/>
    <w:rsid w:val="00F34B99"/>
    <w:rsid w:val="00F42ECE"/>
    <w:rsid w:val="00F43902"/>
    <w:rsid w:val="00F459DD"/>
    <w:rsid w:val="00F52DAB"/>
    <w:rsid w:val="00F543F0"/>
    <w:rsid w:val="00F81D29"/>
    <w:rsid w:val="00F91C4D"/>
    <w:rsid w:val="00F92FD9"/>
    <w:rsid w:val="00F94054"/>
    <w:rsid w:val="00FA6048"/>
    <w:rsid w:val="00FA64FF"/>
    <w:rsid w:val="00FA6684"/>
    <w:rsid w:val="00FA731E"/>
    <w:rsid w:val="00FB2B38"/>
    <w:rsid w:val="00FC6358"/>
    <w:rsid w:val="00FD320D"/>
    <w:rsid w:val="00FE23DE"/>
    <w:rsid w:val="15BC14A8"/>
    <w:rsid w:val="16541EDE"/>
    <w:rsid w:val="65BD292A"/>
    <w:rsid w:val="67EB2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04A48"/>
  <w15:chartTrackingRefBased/>
  <w15:docId w15:val="{F0925798-420C-4FB0-8880-CD7AE5100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caption" w:qFormat="1"/>
    <w:lsdException w:name="footnote reference" w:semiHidden="1"/>
    <w:lsdException w:name="endnote reference" w:semiHidden="1"/>
    <w:lsdException w:name="endnote text" w:semiHidden="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e">
    <w:name w:val="Normal"/>
    <w:qFormat/>
    <w:pPr>
      <w:widowControl w:val="0"/>
      <w:jc w:val="both"/>
    </w:pPr>
    <w:rPr>
      <w:kern w:val="2"/>
      <w:sz w:val="21"/>
      <w:szCs w:val="24"/>
    </w:rPr>
  </w:style>
  <w:style w:type="character" w:default="1" w:styleId="aff">
    <w:name w:val="Default Paragraph Font"/>
    <w:uiPriority w:val="1"/>
    <w:semiHidden/>
    <w:unhideWhenUsed/>
  </w:style>
  <w:style w:type="table" w:default="1" w:styleId="aff0">
    <w:name w:val="Normal Table"/>
    <w:uiPriority w:val="99"/>
    <w:semiHidden/>
    <w:unhideWhenUsed/>
    <w:tblPr>
      <w:tblInd w:w="0" w:type="dxa"/>
      <w:tblCellMar>
        <w:top w:w="0" w:type="dxa"/>
        <w:left w:w="108" w:type="dxa"/>
        <w:bottom w:w="0" w:type="dxa"/>
        <w:right w:w="108" w:type="dxa"/>
      </w:tblCellMar>
    </w:tblPr>
  </w:style>
  <w:style w:type="numbering" w:default="1" w:styleId="aff1">
    <w:name w:val="No List"/>
    <w:uiPriority w:val="99"/>
    <w:semiHidden/>
    <w:unhideWhenUsed/>
  </w:style>
  <w:style w:type="character" w:styleId="aff2">
    <w:name w:val="footnote reference"/>
    <w:semiHidden/>
    <w:rPr>
      <w:vertAlign w:val="superscript"/>
    </w:rPr>
  </w:style>
  <w:style w:type="character" w:styleId="aff3">
    <w:name w:val="Hyperlink"/>
    <w:rPr>
      <w:color w:val="0000FF"/>
      <w:spacing w:val="0"/>
      <w:w w:val="100"/>
      <w:szCs w:val="21"/>
      <w:u w:val="single"/>
      <w:lang w:val="en-US" w:eastAsia="zh-CN"/>
    </w:rPr>
  </w:style>
  <w:style w:type="character" w:styleId="aff4">
    <w:name w:val="endnote reference"/>
    <w:semiHidden/>
    <w:rPr>
      <w:vertAlign w:val="superscript"/>
    </w:rPr>
  </w:style>
  <w:style w:type="character" w:styleId="aff5">
    <w:name w:val="page number"/>
    <w:rPr>
      <w:rFonts w:ascii="Times New Roman" w:eastAsia="宋体" w:hAnsi="Times New Roman"/>
      <w:sz w:val="18"/>
    </w:rPr>
  </w:style>
  <w:style w:type="character" w:styleId="aff6">
    <w:name w:val="FollowedHyperlink"/>
    <w:rPr>
      <w:color w:val="800080"/>
      <w:u w:val="single"/>
    </w:rPr>
  </w:style>
  <w:style w:type="character" w:customStyle="1" w:styleId="Char">
    <w:name w:val="首示例 Char"/>
    <w:link w:val="a0"/>
    <w:rPr>
      <w:rFonts w:ascii="宋体" w:hAnsi="宋体"/>
      <w:kern w:val="2"/>
      <w:sz w:val="18"/>
      <w:szCs w:val="18"/>
      <w:lang w:val="en-US" w:eastAsia="zh-CN" w:bidi="ar-SA"/>
    </w:rPr>
  </w:style>
  <w:style w:type="character" w:customStyle="1" w:styleId="Char0">
    <w:name w:val="段 Char"/>
    <w:link w:val="aff7"/>
    <w:rPr>
      <w:rFonts w:ascii="宋体"/>
      <w:sz w:val="21"/>
      <w:lang w:val="en-US" w:eastAsia="zh-CN" w:bidi="ar-SA"/>
    </w:rPr>
  </w:style>
  <w:style w:type="character" w:customStyle="1" w:styleId="aff8">
    <w:name w:val="发布"/>
    <w:rPr>
      <w:rFonts w:ascii="黑体" w:eastAsia="黑体"/>
      <w:spacing w:val="85"/>
      <w:w w:val="100"/>
      <w:position w:val="3"/>
      <w:sz w:val="28"/>
      <w:szCs w:val="28"/>
    </w:rPr>
  </w:style>
  <w:style w:type="character" w:customStyle="1" w:styleId="Char1">
    <w:name w:val="附录公式 Char"/>
    <w:basedOn w:val="Char0"/>
    <w:link w:val="aff9"/>
    <w:rPr>
      <w:rFonts w:ascii="宋体"/>
      <w:sz w:val="21"/>
      <w:lang w:val="en-US" w:eastAsia="zh-CN" w:bidi="ar-SA"/>
    </w:rPr>
  </w:style>
  <w:style w:type="paragraph" w:customStyle="1" w:styleId="afb">
    <w:name w:val="附录二级条标题"/>
    <w:basedOn w:val="afe"/>
    <w:next w:val="aff7"/>
    <w:pPr>
      <w:widowControl/>
      <w:numPr>
        <w:ilvl w:val="3"/>
        <w:numId w:val="1"/>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styleId="4">
    <w:name w:val="index 4"/>
    <w:basedOn w:val="afe"/>
    <w:next w:val="afe"/>
    <w:pPr>
      <w:ind w:left="840" w:hanging="210"/>
      <w:jc w:val="left"/>
    </w:pPr>
    <w:rPr>
      <w:rFonts w:ascii="Calibri" w:hAnsi="Calibri"/>
      <w:sz w:val="20"/>
      <w:szCs w:val="20"/>
    </w:rPr>
  </w:style>
  <w:style w:type="paragraph" w:customStyle="1" w:styleId="ac">
    <w:name w:val="列项——（一级）"/>
    <w:pPr>
      <w:widowControl w:val="0"/>
      <w:numPr>
        <w:numId w:val="2"/>
      </w:numPr>
      <w:jc w:val="both"/>
    </w:pPr>
    <w:rPr>
      <w:rFonts w:ascii="宋体"/>
      <w:sz w:val="21"/>
    </w:rPr>
  </w:style>
  <w:style w:type="paragraph" w:customStyle="1" w:styleId="7">
    <w:name w:val="目录 7"/>
    <w:basedOn w:val="afe"/>
    <w:next w:val="afe"/>
    <w:semiHidden/>
    <w:pPr>
      <w:tabs>
        <w:tab w:val="right" w:leader="dot" w:pos="9241"/>
      </w:tabs>
      <w:ind w:firstLineChars="500" w:firstLine="500"/>
      <w:jc w:val="left"/>
    </w:pPr>
    <w:rPr>
      <w:rFonts w:ascii="宋体"/>
      <w:szCs w:val="21"/>
    </w:rPr>
  </w:style>
  <w:style w:type="paragraph" w:customStyle="1" w:styleId="affa">
    <w:name w:val="其他实施日期"/>
    <w:basedOn w:val="affb"/>
    <w:pPr>
      <w:framePr w:wrap="around"/>
    </w:pPr>
  </w:style>
  <w:style w:type="paragraph" w:styleId="8">
    <w:name w:val="index 8"/>
    <w:basedOn w:val="afe"/>
    <w:next w:val="afe"/>
    <w:pPr>
      <w:ind w:left="1680" w:hanging="210"/>
      <w:jc w:val="left"/>
    </w:pPr>
    <w:rPr>
      <w:rFonts w:ascii="Calibri" w:hAnsi="Calibri"/>
      <w:sz w:val="20"/>
      <w:szCs w:val="20"/>
    </w:rPr>
  </w:style>
  <w:style w:type="paragraph" w:customStyle="1" w:styleId="5">
    <w:name w:val="目录 5"/>
    <w:basedOn w:val="afe"/>
    <w:next w:val="afe"/>
    <w:semiHidden/>
    <w:pPr>
      <w:tabs>
        <w:tab w:val="right" w:leader="dot" w:pos="9241"/>
      </w:tabs>
      <w:ind w:firstLineChars="300" w:firstLine="300"/>
      <w:jc w:val="left"/>
    </w:pPr>
    <w:rPr>
      <w:rFonts w:ascii="宋体"/>
      <w:szCs w:val="21"/>
    </w:rPr>
  </w:style>
  <w:style w:type="paragraph" w:styleId="6">
    <w:name w:val="index 6"/>
    <w:basedOn w:val="afe"/>
    <w:next w:val="afe"/>
    <w:pPr>
      <w:ind w:left="1260" w:hanging="210"/>
      <w:jc w:val="left"/>
    </w:pPr>
    <w:rPr>
      <w:rFonts w:ascii="Calibri" w:hAnsi="Calibri"/>
      <w:sz w:val="20"/>
      <w:szCs w:val="20"/>
    </w:rPr>
  </w:style>
  <w:style w:type="paragraph" w:styleId="affc">
    <w:name w:val="endnote text"/>
    <w:basedOn w:val="afe"/>
    <w:semiHidden/>
    <w:pPr>
      <w:snapToGrid w:val="0"/>
      <w:jc w:val="left"/>
    </w:pPr>
  </w:style>
  <w:style w:type="paragraph" w:styleId="affd">
    <w:name w:val="Document Map"/>
    <w:basedOn w:val="afe"/>
    <w:semiHidden/>
    <w:pPr>
      <w:shd w:val="clear" w:color="auto" w:fill="000080"/>
    </w:pPr>
  </w:style>
  <w:style w:type="paragraph" w:styleId="affe">
    <w:name w:val="caption"/>
    <w:basedOn w:val="afe"/>
    <w:next w:val="afe"/>
    <w:qFormat/>
    <w:pPr>
      <w:spacing w:before="152" w:after="160"/>
    </w:pPr>
    <w:rPr>
      <w:rFonts w:ascii="Arial" w:eastAsia="黑体" w:hAnsi="Arial" w:cs="Arial"/>
      <w:sz w:val="20"/>
      <w:szCs w:val="20"/>
    </w:rPr>
  </w:style>
  <w:style w:type="paragraph" w:styleId="50">
    <w:name w:val="index 5"/>
    <w:basedOn w:val="afe"/>
    <w:next w:val="afe"/>
    <w:pPr>
      <w:ind w:left="1050" w:hanging="210"/>
      <w:jc w:val="left"/>
    </w:pPr>
    <w:rPr>
      <w:rFonts w:ascii="Calibri" w:hAnsi="Calibri"/>
      <w:sz w:val="20"/>
      <w:szCs w:val="20"/>
    </w:rPr>
  </w:style>
  <w:style w:type="paragraph" w:customStyle="1" w:styleId="Web1">
    <w:name w:val="普通(Web)1"/>
    <w:basedOn w:val="afe"/>
    <w:pPr>
      <w:widowControl/>
      <w:wordWrap w:val="0"/>
      <w:spacing w:before="100" w:beforeAutospacing="1" w:after="100" w:afterAutospacing="1" w:line="360" w:lineRule="auto"/>
      <w:jc w:val="left"/>
    </w:pPr>
    <w:rPr>
      <w:rFonts w:ascii="宋体" w:hAnsi="宋体"/>
      <w:kern w:val="0"/>
      <w:sz w:val="24"/>
    </w:rPr>
  </w:style>
  <w:style w:type="paragraph" w:customStyle="1" w:styleId="3">
    <w:name w:val="目录 3"/>
    <w:basedOn w:val="afe"/>
    <w:next w:val="afe"/>
    <w:semiHidden/>
    <w:pPr>
      <w:tabs>
        <w:tab w:val="right" w:leader="dot" w:pos="9241"/>
      </w:tabs>
      <w:ind w:firstLineChars="100" w:firstLine="100"/>
      <w:jc w:val="left"/>
    </w:pPr>
    <w:rPr>
      <w:rFonts w:ascii="宋体"/>
      <w:szCs w:val="21"/>
    </w:rPr>
  </w:style>
  <w:style w:type="paragraph" w:customStyle="1" w:styleId="af0">
    <w:name w:val="字母编号列项（一级）"/>
    <w:pPr>
      <w:numPr>
        <w:numId w:val="3"/>
      </w:numPr>
      <w:tabs>
        <w:tab w:val="left" w:pos="840"/>
      </w:tabs>
      <w:jc w:val="both"/>
    </w:pPr>
    <w:rPr>
      <w:rFonts w:ascii="宋体"/>
      <w:sz w:val="21"/>
    </w:rPr>
  </w:style>
  <w:style w:type="paragraph" w:customStyle="1" w:styleId="80">
    <w:name w:val="目录 8"/>
    <w:basedOn w:val="afe"/>
    <w:next w:val="afe"/>
    <w:semiHidden/>
    <w:pPr>
      <w:tabs>
        <w:tab w:val="right" w:leader="dot" w:pos="9241"/>
      </w:tabs>
      <w:ind w:firstLineChars="600" w:firstLine="607"/>
      <w:jc w:val="left"/>
    </w:pPr>
    <w:rPr>
      <w:rFonts w:ascii="宋体"/>
      <w:szCs w:val="21"/>
    </w:rPr>
  </w:style>
  <w:style w:type="paragraph" w:styleId="30">
    <w:name w:val="index 3"/>
    <w:basedOn w:val="afe"/>
    <w:next w:val="afe"/>
    <w:pPr>
      <w:ind w:left="630" w:hanging="210"/>
      <w:jc w:val="left"/>
    </w:pPr>
    <w:rPr>
      <w:rFonts w:ascii="Calibri" w:hAnsi="Calibri"/>
      <w:sz w:val="20"/>
      <w:szCs w:val="20"/>
    </w:rPr>
  </w:style>
  <w:style w:type="paragraph" w:styleId="afff">
    <w:name w:val="footer"/>
    <w:basedOn w:val="afe"/>
    <w:pPr>
      <w:snapToGrid w:val="0"/>
      <w:ind w:rightChars="100" w:right="210"/>
      <w:jc w:val="right"/>
    </w:pPr>
    <w:rPr>
      <w:sz w:val="18"/>
      <w:szCs w:val="18"/>
    </w:rPr>
  </w:style>
  <w:style w:type="paragraph" w:customStyle="1" w:styleId="af5">
    <w:name w:val="附录表标号"/>
    <w:basedOn w:val="afe"/>
    <w:next w:val="aff7"/>
    <w:pPr>
      <w:numPr>
        <w:numId w:val="4"/>
      </w:numPr>
      <w:tabs>
        <w:tab w:val="clear" w:pos="0"/>
      </w:tabs>
      <w:spacing w:line="14" w:lineRule="exact"/>
      <w:ind w:left="811" w:hanging="448"/>
      <w:jc w:val="center"/>
      <w:outlineLvl w:val="0"/>
    </w:pPr>
    <w:rPr>
      <w:color w:val="FFFFFF"/>
    </w:rPr>
  </w:style>
  <w:style w:type="paragraph" w:styleId="9">
    <w:name w:val="index 9"/>
    <w:basedOn w:val="afe"/>
    <w:next w:val="afe"/>
    <w:pPr>
      <w:ind w:left="1890" w:hanging="210"/>
      <w:jc w:val="left"/>
    </w:pPr>
    <w:rPr>
      <w:rFonts w:ascii="Calibri" w:hAnsi="Calibri"/>
      <w:sz w:val="20"/>
      <w:szCs w:val="20"/>
    </w:rPr>
  </w:style>
  <w:style w:type="paragraph" w:styleId="afff0">
    <w:name w:val="header"/>
    <w:basedOn w:val="afe"/>
    <w:pPr>
      <w:snapToGrid w:val="0"/>
      <w:jc w:val="left"/>
    </w:pPr>
    <w:rPr>
      <w:sz w:val="18"/>
      <w:szCs w:val="18"/>
    </w:rPr>
  </w:style>
  <w:style w:type="paragraph" w:customStyle="1" w:styleId="1">
    <w:name w:val="目录 1"/>
    <w:basedOn w:val="afe"/>
    <w:next w:val="afe"/>
    <w:semiHidden/>
    <w:pPr>
      <w:tabs>
        <w:tab w:val="right" w:leader="dot" w:pos="9242"/>
      </w:tabs>
      <w:spacing w:beforeLines="25" w:before="25" w:afterLines="25" w:after="25"/>
      <w:jc w:val="left"/>
    </w:pPr>
    <w:rPr>
      <w:rFonts w:ascii="宋体"/>
      <w:szCs w:val="21"/>
    </w:rPr>
  </w:style>
  <w:style w:type="paragraph" w:customStyle="1" w:styleId="60">
    <w:name w:val="目录 6"/>
    <w:basedOn w:val="afe"/>
    <w:next w:val="afe"/>
    <w:semiHidden/>
    <w:pPr>
      <w:tabs>
        <w:tab w:val="right" w:leader="dot" w:pos="9241"/>
      </w:tabs>
      <w:ind w:firstLineChars="400" w:firstLine="400"/>
      <w:jc w:val="left"/>
    </w:pPr>
    <w:rPr>
      <w:rFonts w:ascii="宋体"/>
      <w:szCs w:val="21"/>
    </w:rPr>
  </w:style>
  <w:style w:type="paragraph" w:customStyle="1" w:styleId="p15">
    <w:name w:val="p15"/>
    <w:basedOn w:val="afe"/>
    <w:pPr>
      <w:widowControl/>
      <w:ind w:firstLine="420"/>
    </w:pPr>
    <w:rPr>
      <w:rFonts w:ascii="宋体" w:hAnsi="宋体" w:cs="宋体"/>
      <w:kern w:val="0"/>
      <w:szCs w:val="21"/>
    </w:rPr>
  </w:style>
  <w:style w:type="paragraph" w:customStyle="1" w:styleId="2">
    <w:name w:val="封面标准文稿编辑信息2"/>
    <w:basedOn w:val="afff1"/>
    <w:pPr>
      <w:framePr w:wrap="around" w:y="4469"/>
    </w:pPr>
  </w:style>
  <w:style w:type="paragraph" w:customStyle="1" w:styleId="afc">
    <w:name w:val="附录字母编号列项（一级）"/>
    <w:qFormat/>
    <w:pPr>
      <w:numPr>
        <w:numId w:val="5"/>
      </w:numPr>
      <w:tabs>
        <w:tab w:val="left" w:pos="839"/>
      </w:tabs>
    </w:pPr>
    <w:rPr>
      <w:rFonts w:ascii="宋体"/>
      <w:sz w:val="21"/>
    </w:rPr>
  </w:style>
  <w:style w:type="paragraph" w:customStyle="1" w:styleId="40">
    <w:name w:val="目录 4"/>
    <w:basedOn w:val="afe"/>
    <w:next w:val="afe"/>
    <w:semiHidden/>
    <w:pPr>
      <w:tabs>
        <w:tab w:val="right" w:leader="dot" w:pos="9241"/>
      </w:tabs>
      <w:ind w:firstLineChars="200" w:firstLine="200"/>
      <w:jc w:val="left"/>
    </w:pPr>
    <w:rPr>
      <w:rFonts w:ascii="宋体"/>
      <w:szCs w:val="21"/>
    </w:rPr>
  </w:style>
  <w:style w:type="paragraph" w:styleId="afff2">
    <w:name w:val="index heading"/>
    <w:basedOn w:val="afe"/>
    <w:next w:val="10"/>
    <w:pPr>
      <w:spacing w:before="120" w:after="120"/>
      <w:jc w:val="center"/>
    </w:pPr>
    <w:rPr>
      <w:rFonts w:ascii="Calibri" w:hAnsi="Calibri"/>
      <w:b/>
      <w:bCs/>
      <w:iCs/>
      <w:szCs w:val="20"/>
    </w:rPr>
  </w:style>
  <w:style w:type="paragraph" w:customStyle="1" w:styleId="a7">
    <w:name w:val="三级条标题"/>
    <w:basedOn w:val="a6"/>
    <w:next w:val="aff7"/>
    <w:pPr>
      <w:numPr>
        <w:ilvl w:val="3"/>
      </w:numPr>
      <w:outlineLvl w:val="4"/>
    </w:pPr>
  </w:style>
  <w:style w:type="paragraph" w:styleId="10">
    <w:name w:val="index 1"/>
    <w:basedOn w:val="afe"/>
    <w:next w:val="aff7"/>
    <w:pPr>
      <w:tabs>
        <w:tab w:val="right" w:leader="dot" w:pos="9299"/>
      </w:tabs>
      <w:jc w:val="left"/>
    </w:pPr>
    <w:rPr>
      <w:rFonts w:ascii="宋体"/>
      <w:szCs w:val="21"/>
    </w:rPr>
  </w:style>
  <w:style w:type="paragraph" w:customStyle="1" w:styleId="20">
    <w:name w:val="封面标准文稿类别2"/>
    <w:basedOn w:val="afff3"/>
    <w:pPr>
      <w:framePr w:wrap="around" w:y="4469"/>
    </w:pPr>
  </w:style>
  <w:style w:type="paragraph" w:customStyle="1" w:styleId="afff4">
    <w:name w:val="封面正文"/>
    <w:pPr>
      <w:jc w:val="both"/>
    </w:pPr>
  </w:style>
  <w:style w:type="paragraph" w:customStyle="1" w:styleId="afff5">
    <w:name w:val="标准书脚_奇数页"/>
    <w:pPr>
      <w:spacing w:before="120"/>
      <w:ind w:right="198"/>
      <w:jc w:val="right"/>
    </w:pPr>
    <w:rPr>
      <w:rFonts w:ascii="宋体"/>
      <w:sz w:val="18"/>
      <w:szCs w:val="18"/>
    </w:rPr>
  </w:style>
  <w:style w:type="paragraph" w:customStyle="1" w:styleId="aff7">
    <w:name w:val="段"/>
    <w:link w:val="Char0"/>
    <w:pPr>
      <w:tabs>
        <w:tab w:val="center" w:pos="4201"/>
        <w:tab w:val="right" w:leader="dot" w:pos="9298"/>
      </w:tabs>
      <w:autoSpaceDE w:val="0"/>
      <w:autoSpaceDN w:val="0"/>
      <w:ind w:firstLineChars="200" w:firstLine="420"/>
      <w:jc w:val="both"/>
    </w:pPr>
    <w:rPr>
      <w:rFonts w:ascii="宋体"/>
      <w:sz w:val="21"/>
    </w:rPr>
  </w:style>
  <w:style w:type="paragraph" w:styleId="af">
    <w:name w:val="footnote text"/>
    <w:basedOn w:val="afe"/>
    <w:pPr>
      <w:numPr>
        <w:numId w:val="7"/>
      </w:numPr>
      <w:tabs>
        <w:tab w:val="left" w:pos="0"/>
      </w:tabs>
      <w:snapToGrid w:val="0"/>
      <w:jc w:val="left"/>
    </w:pPr>
    <w:rPr>
      <w:rFonts w:ascii="宋体"/>
      <w:sz w:val="18"/>
      <w:szCs w:val="18"/>
    </w:rPr>
  </w:style>
  <w:style w:type="paragraph" w:customStyle="1" w:styleId="a8">
    <w:name w:val="四级条标题"/>
    <w:basedOn w:val="a7"/>
    <w:next w:val="aff7"/>
    <w:pPr>
      <w:numPr>
        <w:ilvl w:val="4"/>
      </w:numPr>
      <w:outlineLvl w:val="5"/>
    </w:pPr>
  </w:style>
  <w:style w:type="paragraph" w:styleId="70">
    <w:name w:val="index 7"/>
    <w:basedOn w:val="afe"/>
    <w:next w:val="afe"/>
    <w:pPr>
      <w:ind w:left="1470" w:hanging="210"/>
      <w:jc w:val="left"/>
    </w:pPr>
    <w:rPr>
      <w:rFonts w:ascii="Calibri" w:hAnsi="Calibri"/>
      <w:sz w:val="20"/>
      <w:szCs w:val="20"/>
    </w:rPr>
  </w:style>
  <w:style w:type="paragraph" w:customStyle="1" w:styleId="a3">
    <w:name w:val="注×：（正文）"/>
    <w:pPr>
      <w:numPr>
        <w:numId w:val="8"/>
      </w:numPr>
      <w:jc w:val="both"/>
    </w:pPr>
    <w:rPr>
      <w:rFonts w:ascii="宋体"/>
      <w:sz w:val="18"/>
      <w:szCs w:val="18"/>
    </w:rPr>
  </w:style>
  <w:style w:type="paragraph" w:customStyle="1" w:styleId="afa">
    <w:name w:val="附录一级条标题"/>
    <w:basedOn w:val="af9"/>
    <w:next w:val="aff7"/>
    <w:pPr>
      <w:numPr>
        <w:ilvl w:val="2"/>
      </w:numPr>
      <w:autoSpaceDN w:val="0"/>
      <w:spacing w:beforeLines="50" w:before="50" w:afterLines="50" w:after="50"/>
      <w:outlineLvl w:val="2"/>
    </w:pPr>
  </w:style>
  <w:style w:type="paragraph" w:customStyle="1" w:styleId="90">
    <w:name w:val="目录 9"/>
    <w:basedOn w:val="afe"/>
    <w:next w:val="afe"/>
    <w:semiHidden/>
    <w:pPr>
      <w:ind w:left="1470"/>
      <w:jc w:val="left"/>
    </w:pPr>
    <w:rPr>
      <w:sz w:val="20"/>
      <w:szCs w:val="20"/>
    </w:rPr>
  </w:style>
  <w:style w:type="paragraph" w:customStyle="1" w:styleId="21">
    <w:name w:val="目录 2"/>
    <w:basedOn w:val="afe"/>
    <w:next w:val="afe"/>
    <w:semiHidden/>
    <w:pPr>
      <w:tabs>
        <w:tab w:val="right" w:leader="dot" w:pos="9242"/>
      </w:tabs>
    </w:pPr>
    <w:rPr>
      <w:rFonts w:ascii="宋体"/>
      <w:szCs w:val="21"/>
    </w:rPr>
  </w:style>
  <w:style w:type="paragraph" w:customStyle="1" w:styleId="afd">
    <w:name w:val="附录数字编号列项（二级）"/>
    <w:qFormat/>
    <w:pPr>
      <w:numPr>
        <w:ilvl w:val="1"/>
        <w:numId w:val="5"/>
      </w:numPr>
      <w:tabs>
        <w:tab w:val="left" w:pos="840"/>
      </w:tabs>
    </w:pPr>
    <w:rPr>
      <w:rFonts w:ascii="宋体"/>
      <w:sz w:val="21"/>
    </w:rPr>
  </w:style>
  <w:style w:type="paragraph" w:styleId="22">
    <w:name w:val="index 2"/>
    <w:basedOn w:val="afe"/>
    <w:next w:val="afe"/>
    <w:pPr>
      <w:ind w:left="420" w:hanging="210"/>
      <w:jc w:val="left"/>
    </w:pPr>
    <w:rPr>
      <w:rFonts w:ascii="Calibri" w:hAnsi="Calibri"/>
      <w:sz w:val="20"/>
      <w:szCs w:val="20"/>
    </w:rPr>
  </w:style>
  <w:style w:type="paragraph" w:customStyle="1" w:styleId="afff6">
    <w:name w:val="封面一致性程度标识"/>
    <w:basedOn w:val="afff7"/>
    <w:pPr>
      <w:framePr w:wrap="around"/>
      <w:spacing w:before="440"/>
    </w:pPr>
    <w:rPr>
      <w:rFonts w:ascii="宋体" w:eastAsia="宋体"/>
    </w:rPr>
  </w:style>
  <w:style w:type="paragraph" w:customStyle="1" w:styleId="afff8">
    <w:name w:val="条文脚注"/>
    <w:basedOn w:val="af"/>
    <w:pPr>
      <w:numPr>
        <w:numId w:val="0"/>
      </w:numPr>
      <w:tabs>
        <w:tab w:val="left" w:pos="0"/>
      </w:tabs>
      <w:jc w:val="both"/>
    </w:pPr>
  </w:style>
  <w:style w:type="paragraph" w:customStyle="1" w:styleId="aff9">
    <w:name w:val="附录公式"/>
    <w:basedOn w:val="aff7"/>
    <w:next w:val="aff7"/>
    <w:link w:val="Char1"/>
    <w:qFormat/>
  </w:style>
  <w:style w:type="paragraph" w:customStyle="1" w:styleId="afff9">
    <w:name w:val="标准书眉_奇数页"/>
    <w:next w:val="afe"/>
    <w:pPr>
      <w:tabs>
        <w:tab w:val="center" w:pos="4154"/>
        <w:tab w:val="right" w:pos="8306"/>
      </w:tabs>
      <w:spacing w:after="220"/>
      <w:jc w:val="right"/>
    </w:pPr>
    <w:rPr>
      <w:rFonts w:ascii="黑体" w:eastAsia="黑体"/>
      <w:sz w:val="21"/>
      <w:szCs w:val="21"/>
    </w:rPr>
  </w:style>
  <w:style w:type="paragraph" w:customStyle="1" w:styleId="affb">
    <w:name w:val="实施日期"/>
    <w:basedOn w:val="afffa"/>
    <w:pPr>
      <w:framePr w:wrap="around" w:vAnchor="page" w:hAnchor="text"/>
      <w:jc w:val="right"/>
    </w:pPr>
  </w:style>
  <w:style w:type="paragraph" w:customStyle="1" w:styleId="afffa">
    <w:name w:val="发布日期"/>
    <w:pPr>
      <w:framePr w:w="3997" w:h="471" w:hRule="exact" w:vSpace="181" w:wrap="around" w:hAnchor="page" w:x="7089" w:y="14097" w:anchorLock="1"/>
    </w:pPr>
    <w:rPr>
      <w:rFonts w:eastAsia="黑体"/>
      <w:sz w:val="28"/>
    </w:rPr>
  </w:style>
  <w:style w:type="paragraph" w:customStyle="1" w:styleId="af9">
    <w:name w:val="附录章标题"/>
    <w:next w:val="aff7"/>
    <w:pPr>
      <w:numPr>
        <w:ilvl w:val="1"/>
        <w:numId w:val="1"/>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ff3">
    <w:name w:val="封面标准文稿类别"/>
    <w:basedOn w:val="afff6"/>
    <w:pPr>
      <w:framePr w:wrap="around"/>
      <w:spacing w:after="160" w:line="240" w:lineRule="auto"/>
    </w:pPr>
    <w:rPr>
      <w:sz w:val="24"/>
    </w:rPr>
  </w:style>
  <w:style w:type="paragraph" w:customStyle="1" w:styleId="afff7">
    <w:name w:val="封面标准英文名称"/>
    <w:basedOn w:val="afffb"/>
    <w:pPr>
      <w:framePr w:wrap="around"/>
      <w:spacing w:before="370" w:line="400" w:lineRule="exact"/>
    </w:pPr>
    <w:rPr>
      <w:rFonts w:ascii="Times New Roman"/>
      <w:sz w:val="28"/>
      <w:szCs w:val="28"/>
    </w:rPr>
  </w:style>
  <w:style w:type="paragraph" w:customStyle="1" w:styleId="a4">
    <w:name w:val="章标题"/>
    <w:next w:val="aff7"/>
    <w:pPr>
      <w:numPr>
        <w:numId w:val="6"/>
      </w:numPr>
      <w:spacing w:beforeLines="100" w:before="312" w:afterLines="100" w:after="312"/>
      <w:jc w:val="both"/>
      <w:outlineLvl w:val="1"/>
    </w:pPr>
    <w:rPr>
      <w:rFonts w:ascii="黑体" w:eastAsia="黑体"/>
      <w:sz w:val="21"/>
    </w:rPr>
  </w:style>
  <w:style w:type="paragraph" w:customStyle="1" w:styleId="afffb">
    <w:name w:val="封面标准名称"/>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11">
    <w:name w:val="封面标准号1"/>
    <w:pPr>
      <w:widowControl w:val="0"/>
      <w:kinsoku w:val="0"/>
      <w:overflowPunct w:val="0"/>
      <w:autoSpaceDE w:val="0"/>
      <w:autoSpaceDN w:val="0"/>
      <w:spacing w:before="308"/>
      <w:jc w:val="right"/>
      <w:textAlignment w:val="center"/>
    </w:pPr>
    <w:rPr>
      <w:sz w:val="28"/>
    </w:rPr>
  </w:style>
  <w:style w:type="paragraph" w:customStyle="1" w:styleId="a6">
    <w:name w:val="二级条标题"/>
    <w:basedOn w:val="a5"/>
    <w:next w:val="aff7"/>
    <w:pPr>
      <w:numPr>
        <w:ilvl w:val="2"/>
      </w:numPr>
      <w:spacing w:before="50" w:after="50"/>
      <w:outlineLvl w:val="3"/>
    </w:pPr>
  </w:style>
  <w:style w:type="paragraph" w:customStyle="1" w:styleId="a5">
    <w:name w:val="一级条标题"/>
    <w:next w:val="aff7"/>
    <w:pPr>
      <w:numPr>
        <w:ilvl w:val="1"/>
        <w:numId w:val="6"/>
      </w:numPr>
      <w:spacing w:beforeLines="50" w:before="156" w:afterLines="50" w:after="156"/>
      <w:outlineLvl w:val="2"/>
    </w:pPr>
    <w:rPr>
      <w:rFonts w:ascii="黑体" w:eastAsia="黑体"/>
      <w:sz w:val="21"/>
      <w:szCs w:val="21"/>
    </w:rPr>
  </w:style>
  <w:style w:type="paragraph" w:customStyle="1" w:styleId="afffc">
    <w:name w:val="前言、引言标题"/>
    <w:next w:val="aff7"/>
    <w:pPr>
      <w:keepNext/>
      <w:pageBreakBefore/>
      <w:shd w:val="clear" w:color="FFFFFF" w:fill="FFFFFF"/>
      <w:spacing w:before="640" w:after="560"/>
      <w:jc w:val="center"/>
      <w:outlineLvl w:val="0"/>
    </w:pPr>
    <w:rPr>
      <w:rFonts w:ascii="黑体" w:eastAsia="黑体"/>
      <w:sz w:val="32"/>
    </w:rPr>
  </w:style>
  <w:style w:type="paragraph" w:customStyle="1" w:styleId="a0">
    <w:name w:val="首示例"/>
    <w:next w:val="aff7"/>
    <w:link w:val="Char"/>
    <w:qFormat/>
    <w:pPr>
      <w:numPr>
        <w:numId w:val="9"/>
      </w:numPr>
      <w:tabs>
        <w:tab w:val="left" w:pos="360"/>
      </w:tabs>
      <w:ind w:firstLine="0"/>
    </w:pPr>
    <w:rPr>
      <w:rFonts w:ascii="宋体" w:hAnsi="宋体"/>
      <w:kern w:val="2"/>
      <w:sz w:val="18"/>
      <w:szCs w:val="18"/>
    </w:rPr>
  </w:style>
  <w:style w:type="paragraph" w:customStyle="1" w:styleId="afffd">
    <w:name w:val="正文公式编号制表符"/>
    <w:basedOn w:val="aff7"/>
    <w:next w:val="aff7"/>
    <w:qFormat/>
    <w:pPr>
      <w:ind w:firstLineChars="0" w:firstLine="0"/>
    </w:pPr>
  </w:style>
  <w:style w:type="paragraph" w:customStyle="1" w:styleId="ae">
    <w:name w:val="列项◆（三级）"/>
    <w:basedOn w:val="afe"/>
    <w:pPr>
      <w:numPr>
        <w:ilvl w:val="2"/>
        <w:numId w:val="2"/>
      </w:numPr>
      <w:tabs>
        <w:tab w:val="left" w:pos="1678"/>
      </w:tabs>
    </w:pPr>
    <w:rPr>
      <w:rFonts w:ascii="宋体"/>
      <w:szCs w:val="21"/>
    </w:rPr>
  </w:style>
  <w:style w:type="paragraph" w:customStyle="1" w:styleId="afffe">
    <w:name w:val="标准标志"/>
    <w:next w:val="afe"/>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1">
    <w:name w:val="数字编号列项（二级）"/>
    <w:pPr>
      <w:numPr>
        <w:ilvl w:val="1"/>
        <w:numId w:val="3"/>
      </w:numPr>
      <w:tabs>
        <w:tab w:val="left" w:pos="1260"/>
      </w:tabs>
      <w:jc w:val="both"/>
    </w:pPr>
    <w:rPr>
      <w:rFonts w:ascii="宋体"/>
      <w:sz w:val="21"/>
    </w:rPr>
  </w:style>
  <w:style w:type="paragraph" w:customStyle="1" w:styleId="23">
    <w:name w:val="封面标准号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
    <w:name w:val="标准称谓"/>
    <w:next w:val="afe"/>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24">
    <w:name w:val="封面标准名称2"/>
    <w:basedOn w:val="afffb"/>
    <w:pPr>
      <w:framePr w:wrap="around" w:y="4469"/>
      <w:spacing w:beforeLines="630" w:before="630"/>
    </w:pPr>
  </w:style>
  <w:style w:type="paragraph" w:customStyle="1" w:styleId="affff0">
    <w:name w:val="附录一级无"/>
    <w:basedOn w:val="afa"/>
    <w:pPr>
      <w:tabs>
        <w:tab w:val="clear" w:pos="360"/>
      </w:tabs>
      <w:spacing w:beforeLines="0" w:before="0" w:afterLines="0" w:after="0"/>
    </w:pPr>
    <w:rPr>
      <w:rFonts w:ascii="宋体" w:eastAsia="宋体"/>
      <w:szCs w:val="21"/>
    </w:rPr>
  </w:style>
  <w:style w:type="paragraph" w:customStyle="1" w:styleId="affff1">
    <w:name w:val="注：（正文）"/>
    <w:basedOn w:val="affff2"/>
    <w:next w:val="aff7"/>
  </w:style>
  <w:style w:type="paragraph" w:customStyle="1" w:styleId="affff2">
    <w:name w:val="注："/>
    <w:next w:val="aff7"/>
    <w:pPr>
      <w:widowControl w:val="0"/>
      <w:autoSpaceDE w:val="0"/>
      <w:autoSpaceDN w:val="0"/>
      <w:ind w:left="726" w:hanging="363"/>
      <w:jc w:val="both"/>
    </w:pPr>
    <w:rPr>
      <w:rFonts w:ascii="宋体"/>
      <w:sz w:val="18"/>
      <w:szCs w:val="18"/>
    </w:rPr>
  </w:style>
  <w:style w:type="paragraph" w:customStyle="1" w:styleId="affff3">
    <w:name w:val="参考文献"/>
    <w:basedOn w:val="afe"/>
    <w:next w:val="aff7"/>
    <w:pPr>
      <w:keepNext/>
      <w:pageBreakBefore/>
      <w:widowControl/>
      <w:shd w:val="clear" w:color="FFFFFF" w:fill="FFFFFF"/>
      <w:spacing w:before="640" w:after="200"/>
      <w:jc w:val="center"/>
      <w:outlineLvl w:val="0"/>
    </w:pPr>
    <w:rPr>
      <w:rFonts w:ascii="黑体" w:eastAsia="黑体"/>
      <w:kern w:val="0"/>
      <w:szCs w:val="20"/>
    </w:rPr>
  </w:style>
  <w:style w:type="paragraph" w:customStyle="1" w:styleId="a9">
    <w:name w:val="五级条标题"/>
    <w:basedOn w:val="a8"/>
    <w:next w:val="aff7"/>
    <w:pPr>
      <w:numPr>
        <w:ilvl w:val="5"/>
      </w:numPr>
      <w:outlineLvl w:val="6"/>
    </w:pPr>
  </w:style>
  <w:style w:type="paragraph" w:customStyle="1" w:styleId="affff4">
    <w:name w:val="附录二级无"/>
    <w:basedOn w:val="afb"/>
    <w:pPr>
      <w:tabs>
        <w:tab w:val="clear" w:pos="360"/>
      </w:tabs>
      <w:spacing w:beforeLines="0" w:before="0" w:afterLines="0" w:after="0"/>
    </w:pPr>
    <w:rPr>
      <w:rFonts w:ascii="宋体" w:eastAsia="宋体"/>
      <w:szCs w:val="21"/>
    </w:rPr>
  </w:style>
  <w:style w:type="paragraph" w:customStyle="1" w:styleId="affff5">
    <w:name w:val="附录四级无"/>
    <w:basedOn w:val="affff6"/>
    <w:pPr>
      <w:tabs>
        <w:tab w:val="clear" w:pos="360"/>
      </w:tabs>
      <w:spacing w:beforeLines="0" w:before="0" w:afterLines="0" w:after="0"/>
    </w:pPr>
    <w:rPr>
      <w:rFonts w:ascii="宋体" w:eastAsia="宋体"/>
      <w:szCs w:val="21"/>
    </w:rPr>
  </w:style>
  <w:style w:type="paragraph" w:customStyle="1" w:styleId="ad">
    <w:name w:val="列项●（二级）"/>
    <w:pPr>
      <w:numPr>
        <w:ilvl w:val="1"/>
        <w:numId w:val="2"/>
      </w:numPr>
      <w:tabs>
        <w:tab w:val="left" w:pos="760"/>
        <w:tab w:val="left" w:pos="840"/>
      </w:tabs>
      <w:jc w:val="both"/>
    </w:pPr>
    <w:rPr>
      <w:rFonts w:ascii="宋体"/>
      <w:sz w:val="21"/>
    </w:rPr>
  </w:style>
  <w:style w:type="paragraph" w:customStyle="1" w:styleId="af3">
    <w:name w:val="示例×："/>
    <w:basedOn w:val="a4"/>
    <w:qFormat/>
    <w:pPr>
      <w:numPr>
        <w:numId w:val="11"/>
      </w:numPr>
      <w:spacing w:beforeLines="0" w:before="0" w:afterLines="0" w:after="0"/>
      <w:outlineLvl w:val="9"/>
    </w:pPr>
    <w:rPr>
      <w:rFonts w:ascii="宋体" w:eastAsia="宋体"/>
      <w:sz w:val="18"/>
      <w:szCs w:val="18"/>
    </w:rPr>
  </w:style>
  <w:style w:type="paragraph" w:customStyle="1" w:styleId="a1">
    <w:name w:val="示例"/>
    <w:next w:val="affff7"/>
    <w:pPr>
      <w:widowControl w:val="0"/>
      <w:numPr>
        <w:numId w:val="12"/>
      </w:numPr>
      <w:jc w:val="both"/>
    </w:pPr>
    <w:rPr>
      <w:rFonts w:ascii="宋体"/>
      <w:sz w:val="18"/>
      <w:szCs w:val="18"/>
    </w:rPr>
  </w:style>
  <w:style w:type="paragraph" w:customStyle="1" w:styleId="affff7">
    <w:name w:val="示例内容"/>
    <w:pPr>
      <w:ind w:firstLineChars="200" w:firstLine="200"/>
    </w:pPr>
    <w:rPr>
      <w:rFonts w:ascii="宋体"/>
      <w:sz w:val="18"/>
      <w:szCs w:val="18"/>
    </w:rPr>
  </w:style>
  <w:style w:type="paragraph" w:customStyle="1" w:styleId="a">
    <w:name w:val="注×："/>
    <w:pPr>
      <w:widowControl w:val="0"/>
      <w:numPr>
        <w:numId w:val="13"/>
      </w:numPr>
      <w:autoSpaceDE w:val="0"/>
      <w:autoSpaceDN w:val="0"/>
      <w:jc w:val="both"/>
    </w:pPr>
    <w:rPr>
      <w:rFonts w:ascii="宋体"/>
      <w:sz w:val="18"/>
      <w:szCs w:val="18"/>
    </w:rPr>
  </w:style>
  <w:style w:type="paragraph" w:customStyle="1" w:styleId="af6">
    <w:name w:val="附录表标题"/>
    <w:basedOn w:val="afe"/>
    <w:next w:val="aff7"/>
    <w:pPr>
      <w:numPr>
        <w:ilvl w:val="1"/>
        <w:numId w:val="4"/>
      </w:numPr>
      <w:tabs>
        <w:tab w:val="left" w:pos="180"/>
      </w:tabs>
      <w:spacing w:beforeLines="50" w:before="50" w:afterLines="50" w:after="50"/>
      <w:ind w:left="0" w:firstLine="0"/>
      <w:jc w:val="center"/>
    </w:pPr>
    <w:rPr>
      <w:rFonts w:ascii="黑体" w:eastAsia="黑体"/>
      <w:szCs w:val="21"/>
    </w:rPr>
  </w:style>
  <w:style w:type="paragraph" w:customStyle="1" w:styleId="affff8">
    <w:name w:val="目次、标准名称标题"/>
    <w:basedOn w:val="afe"/>
    <w:next w:val="aff7"/>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9">
    <w:name w:val="其他标准称谓"/>
    <w:next w:val="afe"/>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a">
    <w:name w:val="标准书眉一"/>
    <w:pPr>
      <w:jc w:val="both"/>
    </w:pPr>
  </w:style>
  <w:style w:type="paragraph" w:customStyle="1" w:styleId="affffb">
    <w:name w:val="目次、索引正文"/>
    <w:pPr>
      <w:spacing w:line="320" w:lineRule="exact"/>
      <w:jc w:val="both"/>
    </w:pPr>
    <w:rPr>
      <w:rFonts w:ascii="宋体"/>
      <w:sz w:val="21"/>
    </w:rPr>
  </w:style>
  <w:style w:type="paragraph" w:customStyle="1" w:styleId="af2">
    <w:name w:val="编号列项（三级）"/>
    <w:pPr>
      <w:numPr>
        <w:ilvl w:val="2"/>
        <w:numId w:val="3"/>
      </w:numPr>
      <w:tabs>
        <w:tab w:val="left" w:pos="0"/>
      </w:tabs>
    </w:pPr>
    <w:rPr>
      <w:rFonts w:ascii="宋体"/>
      <w:sz w:val="21"/>
    </w:rPr>
  </w:style>
  <w:style w:type="paragraph" w:customStyle="1" w:styleId="affffc">
    <w:name w:val="标准书眉_偶数页"/>
    <w:basedOn w:val="afff9"/>
    <w:next w:val="afe"/>
    <w:pPr>
      <w:jc w:val="left"/>
    </w:pPr>
  </w:style>
  <w:style w:type="paragraph" w:customStyle="1" w:styleId="affffd">
    <w:name w:val="二级无"/>
    <w:basedOn w:val="a6"/>
    <w:pPr>
      <w:spacing w:beforeLines="0" w:before="0" w:afterLines="0" w:after="0"/>
      <w:ind w:left="0"/>
    </w:pPr>
    <w:rPr>
      <w:rFonts w:ascii="宋体" w:eastAsia="宋体"/>
    </w:rPr>
  </w:style>
  <w:style w:type="paragraph" w:customStyle="1" w:styleId="affffe">
    <w:name w:val="标准书脚_偶数页"/>
    <w:pPr>
      <w:spacing w:before="120"/>
      <w:ind w:left="221"/>
    </w:pPr>
    <w:rPr>
      <w:rFonts w:ascii="宋体"/>
      <w:sz w:val="18"/>
      <w:szCs w:val="18"/>
    </w:rPr>
  </w:style>
  <w:style w:type="paragraph" w:customStyle="1" w:styleId="ab">
    <w:name w:val="附录图标题"/>
    <w:basedOn w:val="afe"/>
    <w:next w:val="aff7"/>
    <w:pPr>
      <w:numPr>
        <w:ilvl w:val="1"/>
        <w:numId w:val="14"/>
      </w:numPr>
      <w:tabs>
        <w:tab w:val="left" w:pos="363"/>
      </w:tabs>
      <w:spacing w:beforeLines="50" w:before="50" w:afterLines="50" w:after="50"/>
      <w:ind w:left="0" w:firstLine="0"/>
      <w:jc w:val="center"/>
    </w:pPr>
    <w:rPr>
      <w:rFonts w:ascii="黑体" w:eastAsia="黑体"/>
      <w:szCs w:val="21"/>
    </w:rPr>
  </w:style>
  <w:style w:type="paragraph" w:customStyle="1" w:styleId="afffff">
    <w:name w:val="参考文献、索引标题"/>
    <w:basedOn w:val="afe"/>
    <w:next w:val="aff7"/>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0">
    <w:name w:val="附录三级无"/>
    <w:basedOn w:val="afffff1"/>
    <w:pPr>
      <w:tabs>
        <w:tab w:val="clear" w:pos="360"/>
      </w:tabs>
      <w:spacing w:beforeLines="0" w:before="0" w:afterLines="0" w:after="0"/>
    </w:pPr>
    <w:rPr>
      <w:rFonts w:ascii="宋体" w:eastAsia="宋体"/>
      <w:szCs w:val="21"/>
    </w:rPr>
  </w:style>
  <w:style w:type="paragraph" w:customStyle="1" w:styleId="afffff1">
    <w:name w:val="附录三级条标题"/>
    <w:basedOn w:val="afb"/>
    <w:next w:val="aff7"/>
    <w:pPr>
      <w:numPr>
        <w:ilvl w:val="0"/>
        <w:numId w:val="0"/>
      </w:numPr>
      <w:outlineLvl w:val="4"/>
    </w:pPr>
  </w:style>
  <w:style w:type="paragraph" w:customStyle="1" w:styleId="afffff2">
    <w:name w:val="发布部门"/>
    <w:next w:val="aff7"/>
    <w:pPr>
      <w:framePr w:w="7938" w:h="1134" w:hRule="exact" w:hSpace="125" w:vSpace="181" w:wrap="around" w:vAnchor="page" w:hAnchor="page" w:x="2150" w:y="14630" w:anchorLock="1"/>
      <w:jc w:val="center"/>
    </w:pPr>
    <w:rPr>
      <w:rFonts w:ascii="宋体"/>
      <w:b/>
      <w:spacing w:val="20"/>
      <w:w w:val="135"/>
      <w:sz w:val="28"/>
    </w:rPr>
  </w:style>
  <w:style w:type="paragraph" w:customStyle="1" w:styleId="afffff3">
    <w:name w:val="封面标准代替信息"/>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f1">
    <w:name w:val="封面标准文稿编辑信息"/>
    <w:basedOn w:val="afff3"/>
    <w:pPr>
      <w:framePr w:wrap="around"/>
      <w:spacing w:before="180" w:line="180" w:lineRule="exact"/>
    </w:pPr>
    <w:rPr>
      <w:sz w:val="21"/>
    </w:rPr>
  </w:style>
  <w:style w:type="paragraph" w:customStyle="1" w:styleId="afffff4">
    <w:name w:val="附录五级条标题"/>
    <w:basedOn w:val="affff6"/>
    <w:next w:val="aff7"/>
    <w:pPr>
      <w:numPr>
        <w:ilvl w:val="6"/>
      </w:numPr>
      <w:outlineLvl w:val="6"/>
    </w:pPr>
  </w:style>
  <w:style w:type="paragraph" w:customStyle="1" w:styleId="affff6">
    <w:name w:val="附录四级条标题"/>
    <w:basedOn w:val="afffff1"/>
    <w:next w:val="aff7"/>
    <w:pPr>
      <w:numPr>
        <w:ilvl w:val="5"/>
      </w:numPr>
      <w:outlineLvl w:val="5"/>
    </w:pPr>
  </w:style>
  <w:style w:type="paragraph" w:customStyle="1" w:styleId="afffff5">
    <w:name w:val="三级无"/>
    <w:basedOn w:val="a7"/>
    <w:pPr>
      <w:spacing w:beforeLines="0" w:before="0" w:afterLines="0" w:after="0"/>
    </w:pPr>
    <w:rPr>
      <w:rFonts w:ascii="宋体" w:eastAsia="宋体"/>
    </w:rPr>
  </w:style>
  <w:style w:type="paragraph" w:customStyle="1" w:styleId="af8">
    <w:name w:val="附录标识"/>
    <w:basedOn w:val="afe"/>
    <w:next w:val="aff7"/>
    <w:pPr>
      <w:keepNext/>
      <w:widowControl/>
      <w:numPr>
        <w:numId w:val="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6">
    <w:name w:val="附录标题"/>
    <w:basedOn w:val="aff7"/>
    <w:next w:val="aff7"/>
    <w:pPr>
      <w:ind w:firstLineChars="0" w:firstLine="0"/>
      <w:jc w:val="center"/>
    </w:pPr>
    <w:rPr>
      <w:rFonts w:ascii="黑体" w:eastAsia="黑体"/>
    </w:rPr>
  </w:style>
  <w:style w:type="paragraph" w:customStyle="1" w:styleId="afffff7">
    <w:name w:val="附录公式编号制表符"/>
    <w:basedOn w:val="afe"/>
    <w:next w:val="aff7"/>
    <w:qFormat/>
    <w:pPr>
      <w:widowControl/>
      <w:tabs>
        <w:tab w:val="center" w:pos="4201"/>
        <w:tab w:val="right" w:leader="dot" w:pos="9298"/>
      </w:tabs>
      <w:autoSpaceDE w:val="0"/>
      <w:autoSpaceDN w:val="0"/>
    </w:pPr>
    <w:rPr>
      <w:rFonts w:ascii="宋体"/>
      <w:kern w:val="0"/>
      <w:szCs w:val="20"/>
    </w:rPr>
  </w:style>
  <w:style w:type="paragraph" w:customStyle="1" w:styleId="aa">
    <w:name w:val="附录图标号"/>
    <w:basedOn w:val="afe"/>
    <w:pPr>
      <w:keepNext/>
      <w:pageBreakBefore/>
      <w:widowControl/>
      <w:numPr>
        <w:numId w:val="14"/>
      </w:numPr>
      <w:spacing w:line="14" w:lineRule="exact"/>
      <w:ind w:left="0" w:firstLine="363"/>
      <w:jc w:val="center"/>
      <w:outlineLvl w:val="0"/>
    </w:pPr>
    <w:rPr>
      <w:color w:val="FFFFFF"/>
    </w:rPr>
  </w:style>
  <w:style w:type="paragraph" w:customStyle="1" w:styleId="afffff8">
    <w:name w:val="附录五级无"/>
    <w:basedOn w:val="afffff4"/>
    <w:pPr>
      <w:tabs>
        <w:tab w:val="clear" w:pos="360"/>
      </w:tabs>
      <w:spacing w:beforeLines="0" w:before="0" w:afterLines="0" w:after="0"/>
    </w:pPr>
    <w:rPr>
      <w:rFonts w:ascii="宋体" w:eastAsia="宋体"/>
      <w:szCs w:val="21"/>
    </w:rPr>
  </w:style>
  <w:style w:type="paragraph" w:customStyle="1" w:styleId="afffff9">
    <w:name w:val="列项说明"/>
    <w:basedOn w:val="afe"/>
    <w:pPr>
      <w:adjustRightInd w:val="0"/>
      <w:spacing w:line="320" w:lineRule="exact"/>
      <w:ind w:leftChars="200" w:left="400" w:hangingChars="200" w:hanging="200"/>
      <w:jc w:val="left"/>
      <w:textAlignment w:val="baseline"/>
    </w:pPr>
    <w:rPr>
      <w:rFonts w:ascii="宋体"/>
      <w:kern w:val="0"/>
      <w:szCs w:val="20"/>
    </w:rPr>
  </w:style>
  <w:style w:type="paragraph" w:customStyle="1" w:styleId="afffffa">
    <w:name w:val="列项说明数字编号"/>
    <w:pPr>
      <w:ind w:leftChars="400" w:left="600" w:hangingChars="200" w:hanging="200"/>
    </w:pPr>
    <w:rPr>
      <w:rFonts w:ascii="宋体"/>
      <w:sz w:val="21"/>
    </w:rPr>
  </w:style>
  <w:style w:type="paragraph" w:customStyle="1" w:styleId="afffffb">
    <w:name w:val="其他发布日期"/>
    <w:basedOn w:val="afffa"/>
    <w:pPr>
      <w:framePr w:wrap="around" w:vAnchor="page" w:hAnchor="text" w:x="1419"/>
    </w:pPr>
  </w:style>
  <w:style w:type="paragraph" w:customStyle="1" w:styleId="af4">
    <w:name w:val="正文图标题"/>
    <w:next w:val="aff7"/>
    <w:pPr>
      <w:numPr>
        <w:numId w:val="15"/>
      </w:numPr>
      <w:tabs>
        <w:tab w:val="left" w:pos="360"/>
      </w:tabs>
      <w:spacing w:beforeLines="50" w:before="156" w:afterLines="50" w:after="156"/>
      <w:jc w:val="center"/>
    </w:pPr>
    <w:rPr>
      <w:rFonts w:ascii="黑体" w:eastAsia="黑体"/>
      <w:sz w:val="21"/>
    </w:rPr>
  </w:style>
  <w:style w:type="paragraph" w:customStyle="1" w:styleId="afffffc">
    <w:name w:val="其他标准标志"/>
    <w:basedOn w:val="afffe"/>
    <w:pPr>
      <w:framePr w:w="6101" w:wrap="around" w:vAnchor="page" w:hAnchor="page" w:x="4673" w:y="942"/>
    </w:pPr>
    <w:rPr>
      <w:w w:val="130"/>
    </w:rPr>
  </w:style>
  <w:style w:type="paragraph" w:customStyle="1" w:styleId="afffffd">
    <w:name w:val="其他发布部门"/>
    <w:basedOn w:val="afffff2"/>
    <w:pPr>
      <w:framePr w:wrap="around" w:y="15310"/>
      <w:spacing w:line="0" w:lineRule="atLeast"/>
    </w:pPr>
    <w:rPr>
      <w:rFonts w:ascii="黑体" w:eastAsia="黑体"/>
      <w:b w:val="0"/>
    </w:rPr>
  </w:style>
  <w:style w:type="paragraph" w:customStyle="1" w:styleId="afffffe">
    <w:name w:val="示例后文字"/>
    <w:basedOn w:val="aff7"/>
    <w:next w:val="aff7"/>
    <w:qFormat/>
    <w:pPr>
      <w:ind w:firstLine="360"/>
    </w:pPr>
    <w:rPr>
      <w:sz w:val="18"/>
    </w:rPr>
  </w:style>
  <w:style w:type="paragraph" w:customStyle="1" w:styleId="affffff">
    <w:name w:val="文献分类号"/>
    <w:pPr>
      <w:framePr w:hSpace="180" w:vSpace="180" w:wrap="around" w:hAnchor="margin" w:y="1" w:anchorLock="1"/>
      <w:widowControl w:val="0"/>
      <w:textAlignment w:val="center"/>
    </w:pPr>
    <w:rPr>
      <w:rFonts w:ascii="黑体" w:eastAsia="黑体"/>
      <w:sz w:val="21"/>
      <w:szCs w:val="21"/>
    </w:rPr>
  </w:style>
  <w:style w:type="paragraph" w:customStyle="1" w:styleId="affffff0">
    <w:name w:val="四级无"/>
    <w:basedOn w:val="a8"/>
    <w:pPr>
      <w:spacing w:beforeLines="0" w:before="0" w:afterLines="0" w:after="0"/>
    </w:pPr>
    <w:rPr>
      <w:rFonts w:ascii="宋体" w:eastAsia="宋体"/>
    </w:rPr>
  </w:style>
  <w:style w:type="paragraph" w:customStyle="1" w:styleId="affffff1">
    <w:name w:val="图标脚注说明"/>
    <w:basedOn w:val="aff7"/>
    <w:pPr>
      <w:ind w:left="840" w:firstLineChars="0" w:hanging="420"/>
    </w:pPr>
    <w:rPr>
      <w:sz w:val="18"/>
      <w:szCs w:val="18"/>
    </w:rPr>
  </w:style>
  <w:style w:type="paragraph" w:customStyle="1" w:styleId="a2">
    <w:name w:val="图表脚注说明"/>
    <w:basedOn w:val="afe"/>
    <w:pPr>
      <w:numPr>
        <w:numId w:val="16"/>
      </w:numPr>
    </w:pPr>
    <w:rPr>
      <w:rFonts w:ascii="宋体"/>
      <w:sz w:val="18"/>
      <w:szCs w:val="18"/>
    </w:rPr>
  </w:style>
  <w:style w:type="paragraph" w:customStyle="1" w:styleId="affffff2">
    <w:name w:val="图的脚注"/>
    <w:next w:val="aff7"/>
    <w:qFormat/>
    <w:pPr>
      <w:widowControl w:val="0"/>
      <w:ind w:leftChars="200" w:left="840" w:hangingChars="200" w:hanging="420"/>
      <w:jc w:val="both"/>
    </w:pPr>
    <w:rPr>
      <w:rFonts w:ascii="宋体"/>
      <w:sz w:val="18"/>
    </w:rPr>
  </w:style>
  <w:style w:type="paragraph" w:customStyle="1" w:styleId="affffff3">
    <w:name w:val="五级无"/>
    <w:basedOn w:val="a9"/>
    <w:pPr>
      <w:spacing w:beforeLines="0" w:before="0" w:afterLines="0" w:after="0"/>
    </w:pPr>
    <w:rPr>
      <w:rFonts w:ascii="宋体" w:eastAsia="宋体"/>
    </w:rPr>
  </w:style>
  <w:style w:type="paragraph" w:customStyle="1" w:styleId="25">
    <w:name w:val="封面一致性程度标识2"/>
    <w:basedOn w:val="afff6"/>
    <w:pPr>
      <w:framePr w:wrap="around" w:y="4469"/>
    </w:pPr>
  </w:style>
  <w:style w:type="paragraph" w:customStyle="1" w:styleId="affffff4">
    <w:name w:val="一级无"/>
    <w:basedOn w:val="a5"/>
    <w:pPr>
      <w:spacing w:beforeLines="0" w:before="0" w:afterLines="0" w:after="0"/>
    </w:pPr>
    <w:rPr>
      <w:rFonts w:ascii="宋体" w:eastAsia="宋体"/>
    </w:rPr>
  </w:style>
  <w:style w:type="paragraph" w:customStyle="1" w:styleId="af7">
    <w:name w:val="正文表标题"/>
    <w:next w:val="aff7"/>
    <w:pPr>
      <w:numPr>
        <w:numId w:val="17"/>
      </w:numPr>
      <w:tabs>
        <w:tab w:val="left" w:pos="360"/>
      </w:tabs>
      <w:spacing w:beforeLines="50" w:before="156" w:afterLines="50" w:after="156"/>
      <w:jc w:val="center"/>
    </w:pPr>
    <w:rPr>
      <w:rFonts w:ascii="黑体" w:eastAsia="黑体"/>
      <w:sz w:val="21"/>
    </w:rPr>
  </w:style>
  <w:style w:type="paragraph" w:customStyle="1" w:styleId="affffff5">
    <w:name w:val="终结线"/>
    <w:basedOn w:val="afe"/>
    <w:pPr>
      <w:framePr w:hSpace="181" w:vSpace="181" w:wrap="around" w:vAnchor="text" w:hAnchor="margin" w:xAlign="center" w:y="285"/>
    </w:pPr>
  </w:style>
  <w:style w:type="paragraph" w:customStyle="1" w:styleId="26">
    <w:name w:val="封面标准英文名称2"/>
    <w:basedOn w:val="afff7"/>
    <w:pPr>
      <w:framePr w:wrap="around" w:y="4469"/>
    </w:pPr>
  </w:style>
  <w:style w:type="paragraph" w:customStyle="1" w:styleId="affffff6">
    <w:name w:val="图表脚注"/>
    <w:next w:val="aff7"/>
    <w:pPr>
      <w:ind w:leftChars="200" w:left="300" w:hangingChars="100" w:hanging="100"/>
      <w:jc w:val="both"/>
    </w:pPr>
    <w:rPr>
      <w:rFonts w:ascii="宋体"/>
      <w:sz w:val="18"/>
    </w:rPr>
  </w:style>
  <w:style w:type="table" w:styleId="affffff7">
    <w:name w:val="Table Grid"/>
    <w:basedOn w:val="aff0"/>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8">
    <w:name w:val="Balloon Text"/>
    <w:basedOn w:val="afe"/>
    <w:link w:val="affffff9"/>
    <w:rsid w:val="006C2202"/>
    <w:rPr>
      <w:sz w:val="18"/>
      <w:szCs w:val="18"/>
    </w:rPr>
  </w:style>
  <w:style w:type="character" w:customStyle="1" w:styleId="affffff9">
    <w:name w:val="批注框文本 字符"/>
    <w:link w:val="affffff8"/>
    <w:rsid w:val="006C220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19-7-10&#21488;&#24335;&#30005;&#33041;\F&#30424;&#20869;&#23481;\&#23454;&#39564;&#23460;&#24635;&#32467;&#31561;\&#26631;&#20934;&#32534;&#20889;\2020\&#29482;&#20256;&#26579;&#24615;&#32963;&#32928;&#28814;&#30149;&#27602;&#19982;&#29482;&#27969;&#34892;&#24615;&#33145;&#27899;&#30149;&#27602;&#20108;&#37325;RT-PCR&#26816;&#27979;&#26041;&#27861;&#25253;&#25209;&#31295;.tcs%20-%20&#21103;&#2641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猪传染性胃肠炎病毒与猪流行性腹泻病毒二重RT-PCR检测方法报批稿.tcs - 副本</Template>
  <TotalTime>81</TotalTime>
  <Pages>1</Pages>
  <Words>772</Words>
  <Characters>4405</Characters>
  <Application>Microsoft Office Word</Application>
  <DocSecurity>0</DocSecurity>
  <PresentationFormat/>
  <Lines>36</Lines>
  <Paragraphs>10</Paragraphs>
  <Slides>0</Slides>
  <Notes>0</Notes>
  <HiddenSlides>0</HiddenSlides>
  <MMClips>0</MMClips>
  <ScaleCrop>false</ScaleCrop>
  <Manager/>
  <Company>zle</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shouyi</dc:creator>
  <cp:keywords/>
  <dc:description/>
  <cp:lastModifiedBy>shouyi</cp:lastModifiedBy>
  <cp:revision>10</cp:revision>
  <cp:lastPrinted>2017-07-06T08:28:00Z</cp:lastPrinted>
  <dcterms:created xsi:type="dcterms:W3CDTF">2020-02-27T08:24:00Z</dcterms:created>
  <dcterms:modified xsi:type="dcterms:W3CDTF">2020-04-13T03:48:00Z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