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D48" w:rsidRDefault="00877150">
      <w:pPr>
        <w:tabs>
          <w:tab w:val="left" w:pos="2074"/>
          <w:tab w:val="left" w:pos="3583"/>
        </w:tabs>
        <w:jc w:val="center"/>
        <w:rPr>
          <w:rFonts w:ascii="仿宋_GB2312" w:eastAsia="仿宋_GB2312"/>
          <w:b/>
          <w:sz w:val="44"/>
          <w:szCs w:val="44"/>
        </w:rPr>
      </w:pPr>
      <w:commentRangeStart w:id="0"/>
      <w:r>
        <w:rPr>
          <w:rFonts w:asciiTheme="majorEastAsia" w:eastAsiaTheme="majorEastAsia" w:hAnsiTheme="majorEastAsia" w:cstheme="majorEastAsia" w:hint="eastAsia"/>
          <w:sz w:val="44"/>
          <w:szCs w:val="44"/>
        </w:rPr>
        <w:t>《</w:t>
      </w:r>
      <w:r>
        <w:rPr>
          <w:rFonts w:asciiTheme="majorEastAsia" w:eastAsiaTheme="majorEastAsia" w:hAnsiTheme="majorEastAsia" w:cstheme="majorEastAsia" w:hint="eastAsia"/>
          <w:b/>
          <w:sz w:val="44"/>
          <w:szCs w:val="44"/>
        </w:rPr>
        <w:t>科尔沁肉牛</w:t>
      </w:r>
      <w:r w:rsidRPr="009B48F2">
        <w:rPr>
          <w:rFonts w:asciiTheme="majorEastAsia" w:eastAsiaTheme="majorEastAsia" w:hAnsiTheme="majorEastAsia" w:cstheme="majorEastAsia" w:hint="eastAsia"/>
          <w:b/>
          <w:sz w:val="44"/>
          <w:szCs w:val="44"/>
        </w:rPr>
        <w:t>品种标准</w:t>
      </w:r>
      <w:r>
        <w:rPr>
          <w:rFonts w:asciiTheme="majorEastAsia" w:eastAsiaTheme="majorEastAsia" w:hAnsiTheme="majorEastAsia" w:cstheme="majorEastAsia" w:hint="eastAsia"/>
          <w:sz w:val="44"/>
          <w:szCs w:val="44"/>
        </w:rPr>
        <w:t>》</w:t>
      </w:r>
      <w:commentRangeEnd w:id="0"/>
      <w:r w:rsidR="004E24B7">
        <w:rPr>
          <w:rStyle w:val="a8"/>
        </w:rPr>
        <w:commentReference w:id="0"/>
      </w:r>
      <w:r>
        <w:rPr>
          <w:rFonts w:asciiTheme="majorEastAsia" w:eastAsiaTheme="majorEastAsia" w:hAnsiTheme="majorEastAsia" w:cstheme="majorEastAsia" w:hint="eastAsia"/>
          <w:b/>
          <w:sz w:val="44"/>
          <w:szCs w:val="44"/>
        </w:rPr>
        <w:t>编制说明</w:t>
      </w:r>
    </w:p>
    <w:p w:rsidR="00182D48" w:rsidRDefault="00182D48">
      <w:pPr>
        <w:tabs>
          <w:tab w:val="left" w:pos="2074"/>
          <w:tab w:val="left" w:pos="3583"/>
        </w:tabs>
        <w:jc w:val="center"/>
        <w:rPr>
          <w:rFonts w:ascii="仿宋_GB2312" w:eastAsia="仿宋_GB2312"/>
          <w:b/>
          <w:sz w:val="44"/>
          <w:szCs w:val="44"/>
        </w:rPr>
      </w:pPr>
    </w:p>
    <w:p w:rsidR="00182D48" w:rsidRDefault="00877150">
      <w:pPr>
        <w:spacing w:line="600" w:lineRule="exact"/>
        <w:ind w:firstLineChars="200" w:firstLine="643"/>
        <w:rPr>
          <w:rFonts w:ascii="黑体" w:eastAsia="黑体" w:hAnsi="黑体" w:cs="黑体"/>
          <w:b/>
          <w:bCs/>
          <w:sz w:val="32"/>
          <w:szCs w:val="32"/>
        </w:rPr>
      </w:pPr>
      <w:r>
        <w:rPr>
          <w:rFonts w:ascii="仿宋" w:eastAsia="仿宋" w:hAnsi="仿宋" w:cs="仿宋" w:hint="eastAsia"/>
          <w:b/>
          <w:bCs/>
          <w:sz w:val="32"/>
          <w:szCs w:val="32"/>
        </w:rPr>
        <w:t>一、</w:t>
      </w:r>
      <w:commentRangeStart w:id="1"/>
      <w:r>
        <w:rPr>
          <w:rFonts w:ascii="仿宋" w:eastAsia="仿宋" w:hAnsi="仿宋" w:cs="仿宋" w:hint="eastAsia"/>
          <w:b/>
          <w:bCs/>
          <w:sz w:val="32"/>
          <w:szCs w:val="32"/>
        </w:rPr>
        <w:t>任务来源</w:t>
      </w:r>
      <w:commentRangeEnd w:id="1"/>
      <w:r w:rsidR="00B40367">
        <w:rPr>
          <w:rStyle w:val="a8"/>
        </w:rPr>
        <w:commentReference w:id="1"/>
      </w:r>
    </w:p>
    <w:p w:rsidR="00182D48" w:rsidRDefault="00877150">
      <w:pPr>
        <w:ind w:firstLineChars="200" w:firstLine="640"/>
        <w:rPr>
          <w:rFonts w:ascii="仿宋_GB2312" w:eastAsia="仿宋_GB2312" w:hAnsi="仿宋" w:cs="仿宋"/>
          <w:b/>
          <w:sz w:val="32"/>
          <w:szCs w:val="32"/>
          <w:highlight w:val="yellow"/>
        </w:rPr>
      </w:pPr>
      <w:r>
        <w:rPr>
          <w:rFonts w:ascii="仿宋_GB2312" w:eastAsia="仿宋_GB2312" w:hAnsi="仿宋" w:cs="仿宋" w:hint="eastAsia"/>
          <w:sz w:val="32"/>
          <w:szCs w:val="32"/>
        </w:rPr>
        <w:t>2016年内蒙古自治区科技厅将</w:t>
      </w:r>
      <w:r>
        <w:rPr>
          <w:rFonts w:ascii="仿宋_GB2312" w:eastAsia="仿宋_GB2312" w:hint="eastAsia"/>
          <w:sz w:val="32"/>
          <w:szCs w:val="32"/>
        </w:rPr>
        <w:t>“科尔沁肉牛品种培育”项目</w:t>
      </w:r>
      <w:r>
        <w:rPr>
          <w:rFonts w:ascii="仿宋_GB2312" w:eastAsia="仿宋_GB2312" w:hAnsi="仿宋" w:cs="仿宋" w:hint="eastAsia"/>
          <w:sz w:val="32"/>
          <w:szCs w:val="32"/>
        </w:rPr>
        <w:t>列为应用技术研究与开发资金项目（NO.201602063）。2017年12月内蒙古自治区质量技术监督局下发了“内质监标函[2017]509号”文件，同意</w:t>
      </w:r>
      <w:commentRangeStart w:id="2"/>
      <w:r>
        <w:rPr>
          <w:rFonts w:ascii="仿宋_GB2312" w:eastAsia="仿宋_GB2312" w:hAnsi="仿宋" w:cs="仿宋" w:hint="eastAsia"/>
          <w:sz w:val="32"/>
          <w:szCs w:val="32"/>
        </w:rPr>
        <w:t>《科尔沁肉牛品种</w:t>
      </w:r>
      <w:bookmarkStart w:id="3" w:name="_GoBack"/>
      <w:bookmarkEnd w:id="3"/>
      <w:r>
        <w:rPr>
          <w:rFonts w:ascii="仿宋_GB2312" w:eastAsia="仿宋_GB2312" w:hAnsi="仿宋" w:cs="仿宋" w:hint="eastAsia"/>
          <w:sz w:val="32"/>
          <w:szCs w:val="32"/>
        </w:rPr>
        <w:t>地方标准》</w:t>
      </w:r>
      <w:commentRangeEnd w:id="2"/>
      <w:r w:rsidR="00262013">
        <w:rPr>
          <w:rStyle w:val="a8"/>
        </w:rPr>
        <w:commentReference w:id="2"/>
      </w:r>
      <w:r>
        <w:rPr>
          <w:rFonts w:ascii="仿宋_GB2312" w:eastAsia="仿宋_GB2312" w:hAnsi="仿宋" w:cs="仿宋" w:hint="eastAsia"/>
          <w:sz w:val="32"/>
          <w:szCs w:val="32"/>
        </w:rPr>
        <w:t>立项。2018年9月自治区财政厅和科技厅联合下发了“内财政[2018]1351号”文件，将其列入自治区“2060901科技重大专项”</w:t>
      </w:r>
      <w:r>
        <w:rPr>
          <w:rFonts w:ascii="仿宋_GB2312" w:eastAsia="仿宋_GB2312" w:hAnsi="仿宋" w:hint="eastAsia"/>
          <w:sz w:val="32"/>
          <w:szCs w:val="32"/>
        </w:rPr>
        <w:t>，</w:t>
      </w:r>
      <w:r>
        <w:rPr>
          <w:rFonts w:ascii="仿宋_GB2312" w:eastAsia="仿宋_GB2312" w:hint="eastAsia"/>
          <w:sz w:val="32"/>
          <w:szCs w:val="32"/>
        </w:rPr>
        <w:t>这是</w:t>
      </w:r>
      <w:r>
        <w:rPr>
          <w:rFonts w:ascii="仿宋_GB2312" w:eastAsia="仿宋_GB2312" w:hAnsi="仿宋" w:hint="eastAsia"/>
          <w:sz w:val="32"/>
          <w:szCs w:val="32"/>
        </w:rPr>
        <w:t>围绕专门化肉牛品种培育的一项创新研究工作</w:t>
      </w:r>
      <w:r>
        <w:rPr>
          <w:rFonts w:ascii="仿宋_GB2312" w:eastAsia="仿宋_GB2312" w:hAnsi="仿宋" w:cs="仿宋" w:hint="eastAsia"/>
          <w:sz w:val="32"/>
          <w:szCs w:val="32"/>
        </w:rPr>
        <w:t>。为了鉴别科尔沁肉牛品种及等级评定，特制定《科尔沁肉牛品种标准》，为国家验收提供必要依据。</w:t>
      </w:r>
    </w:p>
    <w:p w:rsidR="00182D48" w:rsidRDefault="00877150">
      <w:pPr>
        <w:pStyle w:val="a7"/>
        <w:tabs>
          <w:tab w:val="left" w:pos="2074"/>
          <w:tab w:val="left" w:pos="3583"/>
        </w:tabs>
        <w:ind w:firstLine="643"/>
        <w:rPr>
          <w:rFonts w:ascii="黑体" w:eastAsia="黑体" w:hAnsi="黑体" w:cs="黑体"/>
          <w:bCs/>
          <w:sz w:val="32"/>
          <w:szCs w:val="32"/>
        </w:rPr>
      </w:pPr>
      <w:r>
        <w:rPr>
          <w:rFonts w:ascii="仿宋" w:eastAsia="仿宋" w:hAnsi="仿宋" w:cs="仿宋" w:hint="eastAsia"/>
          <w:b/>
          <w:sz w:val="32"/>
          <w:szCs w:val="32"/>
        </w:rPr>
        <w:t>二、品种来源</w:t>
      </w:r>
    </w:p>
    <w:p w:rsidR="00182D48" w:rsidRDefault="00877150">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通辽市的黄牛改良工作，从上世纪50年代开始，一直以乳肉兼用型西门塔尔牛为选育目标，1990年成功培育出乳肉兼用型品种—科尔沁牛，并通过内蒙古自治区人民政府验收命名。科尔沁牛是以兼用型西门塔尔牛为父本，蒙古牛、三河牛和蒙古牛的杂交牛为母本，采用级进杂交至三代,选择理想型横交固定培育而成的适合科尔沁草原自然特点的良种乳肉兼用型品种。随着国内外肉牛生产现状、牛肉市场需求及价格上涨的形势下，选择地方优良品种，尽快培育中国西门塔尔牛肉用品系已成为我市养牛产业发展的首要问</w:t>
      </w:r>
      <w:r>
        <w:rPr>
          <w:rFonts w:ascii="仿宋_GB2312" w:eastAsia="仿宋_GB2312" w:hAnsi="宋体" w:hint="eastAsia"/>
          <w:sz w:val="32"/>
          <w:szCs w:val="32"/>
        </w:rPr>
        <w:lastRenderedPageBreak/>
        <w:t>题和面临机遇。兼用型科尔沁牛的产肉性能不突出不能满足市场需求，因此急需对其进行品种选育，以突出其肉用性能，推动我市肉牛由传统产业向现代产业转型升级，打造具有自主知识产权的专门化肉牛品种。由此，开始了科尔沁肉牛新品种的培育工作。</w:t>
      </w:r>
    </w:p>
    <w:p w:rsidR="00182D48" w:rsidRDefault="00877150" w:rsidP="00C03286">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1993年—1999年，引入加拿大和美国肉用性状优秀的8头西门塔尔种公牛进行杂交改良，以这8头种公牛为父本，选择体型外貌一致肉用性能突出的科尔沁母牛，登记个体信息，组建基础母牛群进行杂交，主要提高科尔沁牛肉用性能。</w:t>
      </w:r>
    </w:p>
    <w:p w:rsidR="00182D48" w:rsidRDefault="00877150">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2000年—2015年，选择杂交二代的理想型个体进行横交。理想型个体是按血统、外貌和体重三项指标，以体重为主进行严格选择的。公牛是从核心群母牛的后代中经过筛选而产生的, 优秀公牛进入通辽京缘种牛有限公司生产牛冷冻精液进行人工授精。目前，科尔沁肉牛育种项目区有母牛5000头，育种核心群有母牛1000头。</w:t>
      </w:r>
    </w:p>
    <w:p w:rsidR="00182D48" w:rsidRDefault="00877150">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2013年，制订了科尔沁肉牛品种企业标准。包括科尔沁肉牛体型外貌、生长发育性状、产肉性状、产奶性状、繁殖性能、适应性等方面。</w:t>
      </w:r>
    </w:p>
    <w:p w:rsidR="00182D48" w:rsidRDefault="00877150">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2015年—2016年，进行良种登记、整群鉴定、选育提高。对符合科尔沁肉牛品种标准的母牛进行整群鉴定和良种登记，开展相关试验研究。</w:t>
      </w:r>
    </w:p>
    <w:p w:rsidR="00182D48" w:rsidRDefault="00877150">
      <w:pPr>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2017年由内蒙古自治区畜牧工作站、通辽市家畜繁育指导站、通辽市畜牧兽医科学研究所共同起草，报送科尔沁肉</w:t>
      </w:r>
      <w:r>
        <w:rPr>
          <w:rFonts w:ascii="仿宋_GB2312" w:eastAsia="仿宋_GB2312" w:hAnsi="宋体" w:hint="eastAsia"/>
          <w:sz w:val="32"/>
          <w:szCs w:val="32"/>
        </w:rPr>
        <w:lastRenderedPageBreak/>
        <w:t>牛内蒙古自治区地方品种标准。</w:t>
      </w:r>
    </w:p>
    <w:p w:rsidR="00182D48" w:rsidRDefault="00877150">
      <w:pPr>
        <w:pStyle w:val="a7"/>
        <w:numPr>
          <w:ilvl w:val="0"/>
          <w:numId w:val="1"/>
        </w:numPr>
        <w:tabs>
          <w:tab w:val="left" w:pos="2074"/>
          <w:tab w:val="left" w:pos="3583"/>
        </w:tabs>
        <w:ind w:firstLine="643"/>
        <w:rPr>
          <w:rFonts w:ascii="仿宋" w:eastAsia="仿宋" w:hAnsi="仿宋" w:cs="仿宋"/>
          <w:b/>
          <w:sz w:val="32"/>
          <w:szCs w:val="32"/>
        </w:rPr>
      </w:pPr>
      <w:r>
        <w:rPr>
          <w:rFonts w:ascii="仿宋" w:eastAsia="仿宋" w:hAnsi="仿宋" w:cs="仿宋" w:hint="eastAsia"/>
          <w:b/>
          <w:sz w:val="32"/>
          <w:szCs w:val="32"/>
        </w:rPr>
        <w:t>编制标准的必要性</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Ansi="仿宋_GB2312" w:cs="仿宋_GB2312" w:hint="eastAsia"/>
          <w:sz w:val="32"/>
          <w:szCs w:val="32"/>
          <w:shd w:val="clear" w:color="auto" w:fill="FFFFFF"/>
        </w:rPr>
        <w:t>通辽市位于内蒙古自治区东部，科尔沁草原腹地，素有“黄牛之乡”、“中国西门塔尔牛之乡”、</w:t>
      </w:r>
      <w:r>
        <w:rPr>
          <w:rFonts w:ascii="仿宋_GB2312" w:eastAsia="仿宋_GB2312" w:hAnsi="仿宋_GB2312" w:cs="仿宋_GB2312" w:hint="eastAsia"/>
          <w:sz w:val="32"/>
          <w:szCs w:val="32"/>
        </w:rPr>
        <w:t>“中国草原肉牛之都”</w:t>
      </w:r>
      <w:r>
        <w:rPr>
          <w:rFonts w:ascii="仿宋_GB2312" w:eastAsia="仿宋_GB2312" w:hAnsi="仿宋_GB2312" w:cs="仿宋_GB2312" w:hint="eastAsia"/>
          <w:sz w:val="32"/>
          <w:szCs w:val="32"/>
          <w:shd w:val="clear" w:color="auto" w:fill="FFFFFF"/>
        </w:rPr>
        <w:t>之称，是著名地方品种“科尔沁牛”和“中国西门塔尔牛（草原类型群）”的原产地，近年来，通辽市围绕建设中国草原肉牛之都，积极打造千亿级肉牛产业，已形成肉牛全产业链发展新格局，肉牛产业已成为当地农牧民的重要收入来源。</w:t>
      </w:r>
      <w:r>
        <w:rPr>
          <w:rFonts w:ascii="仿宋_GB2312" w:eastAsia="仿宋_GB2312" w:hint="eastAsia"/>
          <w:sz w:val="32"/>
          <w:szCs w:val="32"/>
        </w:rPr>
        <w:t>目前，我市肉牛在个体产量、肉质水平、生长速度等方面都有很大的上升空间。</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shd w:val="clear" w:color="auto" w:fill="FFFFFF"/>
        </w:rPr>
        <w:t>培育科尔沁肉牛新品种是顺应国内外肉牛产业发展趋势和内在规律，以提高个体牛肉产量和品质为主攻方向，符合《全国肉牛遗传改良计划》和自治区《千万头肉牛发展规划》的思路和目标。科尔沁肉牛已经历了杂交改良、横交固定和选育提高3个阶段，</w:t>
      </w:r>
      <w:r>
        <w:rPr>
          <w:rFonts w:ascii="仿宋_GB2312" w:eastAsia="仿宋_GB2312" w:hint="eastAsia"/>
          <w:sz w:val="32"/>
          <w:szCs w:val="32"/>
        </w:rPr>
        <w:t>具有了国内领先的肉用性能遗传基础和种群规模，在此基础上培育科尔沁肉牛新品种，填补我市没有</w:t>
      </w:r>
      <w:r>
        <w:rPr>
          <w:rFonts w:ascii="仿宋_GB2312" w:eastAsia="仿宋_GB2312" w:hAnsi="宋体" w:hint="eastAsia"/>
          <w:sz w:val="32"/>
          <w:szCs w:val="32"/>
        </w:rPr>
        <w:t>自主知识产权的专门化肉牛品种</w:t>
      </w:r>
      <w:r>
        <w:rPr>
          <w:rFonts w:ascii="仿宋_GB2312" w:eastAsia="仿宋_GB2312" w:hint="eastAsia"/>
          <w:sz w:val="32"/>
          <w:szCs w:val="32"/>
        </w:rPr>
        <w:t>的空白，已经具备了水到渠成的条件。科尔沁肉牛作为我市特有的优良地方品种，制定和实施科尔沁肉牛标准，可进一步规范科尔沁肉牛的选育和生产，推动自治区畜牧业标准化建设。</w:t>
      </w:r>
    </w:p>
    <w:p w:rsidR="00182D48" w:rsidRDefault="00877150">
      <w:pPr>
        <w:pStyle w:val="a7"/>
        <w:tabs>
          <w:tab w:val="left" w:pos="2074"/>
          <w:tab w:val="left" w:pos="3583"/>
        </w:tabs>
        <w:ind w:firstLine="640"/>
        <w:rPr>
          <w:rFonts w:ascii="黑体" w:eastAsia="黑体" w:hAnsi="黑体" w:cs="黑体"/>
          <w:bCs/>
          <w:sz w:val="32"/>
          <w:szCs w:val="32"/>
        </w:rPr>
      </w:pPr>
      <w:r>
        <w:rPr>
          <w:rFonts w:ascii="黑体" w:eastAsia="黑体" w:hAnsi="黑体" w:cs="黑体" w:hint="eastAsia"/>
          <w:bCs/>
          <w:sz w:val="32"/>
          <w:szCs w:val="32"/>
        </w:rPr>
        <w:t>四、标准编制过程</w:t>
      </w:r>
    </w:p>
    <w:p w:rsidR="00182D48" w:rsidRDefault="00877150">
      <w:pPr>
        <w:pStyle w:val="a7"/>
        <w:tabs>
          <w:tab w:val="left" w:pos="2074"/>
          <w:tab w:val="left" w:pos="3583"/>
        </w:tabs>
        <w:ind w:firstLine="643"/>
        <w:rPr>
          <w:rFonts w:ascii="仿宋_GB2312" w:eastAsia="仿宋_GB2312"/>
          <w:sz w:val="32"/>
          <w:szCs w:val="32"/>
        </w:rPr>
      </w:pPr>
      <w:r>
        <w:rPr>
          <w:rFonts w:ascii="仿宋_GB2312" w:eastAsia="仿宋_GB2312" w:hint="eastAsia"/>
          <w:b/>
          <w:bCs/>
          <w:sz w:val="32"/>
          <w:szCs w:val="32"/>
        </w:rPr>
        <w:t xml:space="preserve">（一）标准编制依据 </w:t>
      </w:r>
    </w:p>
    <w:p w:rsidR="00182D48" w:rsidRDefault="00877150" w:rsidP="00C03286">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lastRenderedPageBreak/>
        <w:t>本标准的编制，依据《中华人民共和国标准法》及其实施条例，按照中华人民共和国国家标准GB/T1.1-2009《标准化工作导则，第一部分：标准的结构和编写规则》的规定进行。</w:t>
      </w:r>
    </w:p>
    <w:p w:rsidR="00182D48" w:rsidRDefault="00877150">
      <w:pPr>
        <w:pStyle w:val="a7"/>
        <w:tabs>
          <w:tab w:val="left" w:pos="2074"/>
          <w:tab w:val="left" w:pos="3583"/>
        </w:tabs>
        <w:ind w:firstLine="643"/>
        <w:rPr>
          <w:rFonts w:ascii="仿宋_GB2312" w:eastAsia="仿宋_GB2312"/>
          <w:sz w:val="32"/>
          <w:szCs w:val="32"/>
        </w:rPr>
      </w:pPr>
      <w:r>
        <w:rPr>
          <w:rFonts w:ascii="仿宋_GB2312" w:eastAsia="仿宋_GB2312" w:hint="eastAsia"/>
          <w:b/>
          <w:bCs/>
          <w:sz w:val="32"/>
          <w:szCs w:val="32"/>
        </w:rPr>
        <w:t>（二）标准编制原则</w:t>
      </w:r>
    </w:p>
    <w:p w:rsidR="00182D48" w:rsidRDefault="00877150" w:rsidP="00C03286">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1.始终遵循与《中华人民共和国畜牧法》、《中华人民共和国种畜禽管理条例》等相关法律、法规相协调。</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shd w:val="clear" w:color="auto" w:fill="FFFFFF"/>
        </w:rPr>
        <w:t>2.符合《全国肉牛遗传改良计划》和自治区《千万头肉牛发展规划》的思路和目标。</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3.与当前实际情况相结合，本着先进性、科学性、实用性的原则，合理明确标准的指标数值，使得制定的标准能够科学的指导科尔沁肉牛的生产和育种工作，达到逐步提高我市科尔沁肉牛群体质量的目的。</w:t>
      </w:r>
    </w:p>
    <w:p w:rsidR="00182D48" w:rsidRDefault="00877150">
      <w:pPr>
        <w:pStyle w:val="a7"/>
        <w:tabs>
          <w:tab w:val="left" w:pos="2074"/>
          <w:tab w:val="left" w:pos="3583"/>
        </w:tabs>
        <w:ind w:firstLine="643"/>
        <w:rPr>
          <w:rFonts w:ascii="仿宋_GB2312" w:eastAsia="仿宋_GB2312"/>
          <w:b/>
          <w:bCs/>
          <w:sz w:val="32"/>
          <w:szCs w:val="32"/>
        </w:rPr>
      </w:pPr>
      <w:r>
        <w:rPr>
          <w:rFonts w:ascii="仿宋_GB2312" w:eastAsia="仿宋_GB2312" w:hint="eastAsia"/>
          <w:b/>
          <w:bCs/>
          <w:sz w:val="32"/>
          <w:szCs w:val="32"/>
        </w:rPr>
        <w:t>（三）标准的制定过程</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成立标准制定领导和专家小组，为项目实施提供了必要的组织和技术保障。任务下达后，通辽市家畜繁育指导站立即牵头，会同通辽市畜牧兽医科学研究所、内蒙古民族大学动物科技学院、通辽市农畜产品质量安全中心、各旗县畜牧（改良）工作站等单位，组成了科尔沁肉牛标准制定领导小组、专家小组、工作小组。领导小组承担标准制定工作的组织协调、资金落实和方案审定工作，专家小组负责实施方案的制定和标准的起草工作，工作小组负责现场测量及数据</w:t>
      </w:r>
      <w:r>
        <w:rPr>
          <w:rFonts w:ascii="仿宋_GB2312" w:eastAsia="仿宋_GB2312" w:hint="eastAsia"/>
          <w:sz w:val="32"/>
          <w:szCs w:val="32"/>
        </w:rPr>
        <w:lastRenderedPageBreak/>
        <w:t>采集统计整理工作。</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2.开展大量普查、测试和实验研究工作。为使标准各项内容能够真实反映科尔沁肉牛现有牛群的性状和性能指标，工作小组先后开展了大量的普查、测试工作，共完成了653头次各月龄公、母牛的体尺、体重测定。</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3.综合分析普查、测试结果。专家小组通过对采集整理后的第一手原始数据进行统计分析，并将统计结果与科尔沁肉牛核心群的世代选育进展以及选育方向进行了综合分析，确定了等级评定标准。</w:t>
      </w:r>
    </w:p>
    <w:p w:rsidR="00182D48" w:rsidRDefault="00877150">
      <w:pPr>
        <w:pStyle w:val="a7"/>
        <w:tabs>
          <w:tab w:val="left" w:pos="2074"/>
          <w:tab w:val="left" w:pos="3583"/>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起草标准文本。在上述工作基础上，专家小组再参阅其他地方品种牛标准，依据《畜牧兽医标准化原理与应用》及中华人民共和国国家标准GB/T1.1-2009《标准化工作导则，第一部分:标准的结构和编写规则》，集中专家小组成员意见，反复推敲和更改，起草了标准征求意见稿。</w:t>
      </w:r>
    </w:p>
    <w:p w:rsidR="00182D48" w:rsidRDefault="00877150">
      <w:pPr>
        <w:pStyle w:val="a7"/>
        <w:tabs>
          <w:tab w:val="left" w:pos="2074"/>
          <w:tab w:val="left" w:pos="3583"/>
        </w:tabs>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5.广泛征求意见。标准征求意见稿完成后，为了标准的科学性，权威性和可行性，专家小组广泛征求了高校专家、教授、旗县区推广部门的配种员和养牛户的意见，对相关意见进行了汇总分析后，形成了送审稿。</w:t>
      </w:r>
    </w:p>
    <w:p w:rsidR="00182D48" w:rsidRDefault="00877150">
      <w:pPr>
        <w:pStyle w:val="a7"/>
        <w:tabs>
          <w:tab w:val="left" w:pos="2074"/>
          <w:tab w:val="left" w:pos="3583"/>
        </w:tabs>
        <w:ind w:firstLine="643"/>
        <w:rPr>
          <w:rFonts w:ascii="仿宋_GB2312" w:eastAsia="仿宋_GB2312"/>
          <w:b/>
          <w:bCs/>
          <w:sz w:val="32"/>
          <w:szCs w:val="32"/>
        </w:rPr>
      </w:pPr>
      <w:r>
        <w:rPr>
          <w:rFonts w:ascii="仿宋_GB2312" w:eastAsia="仿宋_GB2312" w:hint="eastAsia"/>
          <w:b/>
          <w:bCs/>
          <w:sz w:val="32"/>
          <w:szCs w:val="32"/>
        </w:rPr>
        <w:t>（四）测定内容</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1.外貌</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对科尔沁肉牛个体外貌作深入细致的观察，采用自前向后，自上到下的观察方法，根据外貌、体态结构、生长发育、</w:t>
      </w:r>
      <w:r>
        <w:rPr>
          <w:rFonts w:ascii="仿宋_GB2312" w:eastAsia="仿宋_GB2312" w:hint="eastAsia"/>
          <w:sz w:val="32"/>
          <w:szCs w:val="32"/>
        </w:rPr>
        <w:lastRenderedPageBreak/>
        <w:t>营养状况的好坏进行评级。</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2．科尔沁肉牛体重测定</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科尔沁肉牛体重采用特制的可移动式（可拆卸）保定栏、电子台秤进行实地测量。</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3.科尔沁肉牛体尺测定</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（1）体尺测量用具及测量内容：</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测杖：测体高、体斜长</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皮尺：测胸围、管围</w:t>
      </w:r>
    </w:p>
    <w:p w:rsidR="00182D48" w:rsidRDefault="00877150">
      <w:pPr>
        <w:numPr>
          <w:ilvl w:val="0"/>
          <w:numId w:val="2"/>
        </w:num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体尺测量方法：</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体高：鬐甲最高点至地面的垂直距离。</w:t>
      </w:r>
    </w:p>
    <w:p w:rsidR="00182D48" w:rsidRDefault="00877150">
      <w:pPr>
        <w:tabs>
          <w:tab w:val="left" w:pos="2074"/>
          <w:tab w:val="left" w:pos="3583"/>
        </w:tabs>
        <w:rPr>
          <w:rFonts w:ascii="仿宋_GB2312" w:eastAsia="仿宋_GB2312"/>
          <w:sz w:val="32"/>
          <w:szCs w:val="32"/>
        </w:rPr>
      </w:pPr>
      <w:r>
        <w:rPr>
          <w:rFonts w:ascii="仿宋_GB2312" w:eastAsia="仿宋_GB2312" w:hint="eastAsia"/>
          <w:sz w:val="32"/>
          <w:szCs w:val="32"/>
        </w:rPr>
        <w:t xml:space="preserve">    体斜长：从肩端前缘到坐骨结节后缘的距离。</w:t>
      </w:r>
    </w:p>
    <w:p w:rsidR="00182D48" w:rsidRDefault="00877150">
      <w:pPr>
        <w:tabs>
          <w:tab w:val="left" w:pos="2074"/>
          <w:tab w:val="left" w:pos="3583"/>
        </w:tabs>
        <w:rPr>
          <w:rFonts w:ascii="仿宋_GB2312" w:eastAsia="仿宋_GB2312"/>
          <w:sz w:val="32"/>
          <w:szCs w:val="32"/>
        </w:rPr>
      </w:pPr>
      <w:r>
        <w:rPr>
          <w:rFonts w:ascii="仿宋_GB2312" w:eastAsia="仿宋_GB2312" w:hint="eastAsia"/>
          <w:sz w:val="32"/>
          <w:szCs w:val="32"/>
        </w:rPr>
        <w:t xml:space="preserve">    胸围：肩胛骨后体躯的周长。</w:t>
      </w:r>
    </w:p>
    <w:p w:rsidR="00182D48" w:rsidRDefault="00877150">
      <w:pPr>
        <w:tabs>
          <w:tab w:val="left" w:pos="2074"/>
          <w:tab w:val="left" w:pos="3583"/>
        </w:tabs>
        <w:rPr>
          <w:rFonts w:ascii="仿宋_GB2312" w:eastAsia="仿宋_GB2312"/>
          <w:sz w:val="32"/>
          <w:szCs w:val="32"/>
        </w:rPr>
      </w:pPr>
      <w:r>
        <w:rPr>
          <w:rFonts w:ascii="仿宋_GB2312" w:eastAsia="仿宋_GB2312" w:hint="eastAsia"/>
          <w:sz w:val="32"/>
          <w:szCs w:val="32"/>
        </w:rPr>
        <w:t xml:space="preserve">    管围：左前肢前臂骨上三分之一处量取水平周径。</w:t>
      </w:r>
    </w:p>
    <w:p w:rsidR="00182D48" w:rsidRDefault="00877150">
      <w:pPr>
        <w:tabs>
          <w:tab w:val="left" w:pos="2074"/>
          <w:tab w:val="left" w:pos="3583"/>
        </w:tabs>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4.科尔沁肉牛产肉性能测定</w:t>
      </w:r>
    </w:p>
    <w:p w:rsidR="00182D48" w:rsidRDefault="00877150">
      <w:pPr>
        <w:tabs>
          <w:tab w:val="left" w:pos="2074"/>
          <w:tab w:val="left" w:pos="3583"/>
        </w:tabs>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（1）屠宰率（%）=胴体重 /宰前活重×100。其中胴体重指牛经刺杀、放血、去头蹄、剥皮、去内脏、去尾，去掉生殖器及周围脂肪，劈半后称量的两半胴体的重量和。</w:t>
      </w:r>
    </w:p>
    <w:p w:rsidR="00182D48" w:rsidRDefault="00877150">
      <w:pPr>
        <w:tabs>
          <w:tab w:val="left" w:pos="2074"/>
          <w:tab w:val="left" w:pos="3583"/>
        </w:tabs>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（2）净肉率（%）=净肉重/宰前活重×100。其中净肉重指胴体剔骨后全部肉重，骨上带肉不应超过2-3kg，需要用电子秤分别测量胴体各肉块重量并汇总或用胴体重量减去所有骨重。</w:t>
      </w:r>
    </w:p>
    <w:p w:rsidR="00182D48" w:rsidRDefault="00877150">
      <w:pPr>
        <w:tabs>
          <w:tab w:val="left" w:pos="2074"/>
          <w:tab w:val="left" w:pos="3583"/>
        </w:tabs>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（3）眼肌面积：在半胴体第12肋骨后缘处，现将脊骨</w:t>
      </w:r>
      <w:r>
        <w:rPr>
          <w:rFonts w:ascii="仿宋_GB2312" w:eastAsia="仿宋_GB2312" w:hAnsi="仿宋_GB2312" w:cs="仿宋_GB2312" w:hint="eastAsia"/>
          <w:sz w:val="32"/>
          <w:szCs w:val="32"/>
        </w:rPr>
        <w:lastRenderedPageBreak/>
        <w:t>锯开，再用利刃将第12至第13肋骨间切开。测量板中每个圆点所在的小方格面积是1cm²，将板放在12-13胸肋眼肌上，数出落在眼肌内的圆点数，即可测量出眼肌面积。</w:t>
      </w:r>
    </w:p>
    <w:p w:rsidR="00182D48" w:rsidRDefault="00877150">
      <w:pPr>
        <w:pStyle w:val="a7"/>
        <w:tabs>
          <w:tab w:val="left" w:pos="2074"/>
          <w:tab w:val="left" w:pos="3583"/>
        </w:tabs>
        <w:ind w:firstLine="643"/>
        <w:rPr>
          <w:rFonts w:ascii="仿宋_GB2312" w:eastAsia="仿宋_GB2312"/>
          <w:sz w:val="32"/>
          <w:szCs w:val="32"/>
        </w:rPr>
      </w:pPr>
      <w:r>
        <w:rPr>
          <w:rFonts w:ascii="仿宋_GB2312" w:eastAsia="仿宋_GB2312" w:hint="eastAsia"/>
          <w:b/>
          <w:bCs/>
          <w:sz w:val="32"/>
          <w:szCs w:val="32"/>
        </w:rPr>
        <w:t>（五）测定结果及依据</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1.外貌评定</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外貌评定等级标准，公牛分为三个级别，特级85分以上，一级80-84分，二级75-79分；母牛分为三个级别，特级为80分以上，一级为75-79分，二级为70-74分。</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2.谱系评定</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谱系评定就是以父母双亲的等级作为评定依据。科尔沁肉牛谱系评定等级分两个级别，父亲等级为特级，母亲等级为一级以上，其谱系评定等级为特级；父亲等级为特级，母亲等级为二级，其谱系评定等级为一级；父亲等级为一级，母亲等级为二级以上，其谱系评定等级为一级。</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3.体重测定结果</w:t>
      </w:r>
    </w:p>
    <w:p w:rsidR="00182D48" w:rsidRDefault="00877150">
      <w:pPr>
        <w:pStyle w:val="a7"/>
        <w:tabs>
          <w:tab w:val="left" w:pos="2074"/>
          <w:tab w:val="left" w:pos="3583"/>
        </w:tabs>
        <w:ind w:firstLineChars="600" w:firstLine="1920"/>
        <w:rPr>
          <w:rFonts w:ascii="仿宋_GB2312" w:eastAsia="仿宋_GB2312" w:hAnsi="仿宋_GB2312" w:cs="仿宋_GB2312"/>
          <w:sz w:val="32"/>
          <w:szCs w:val="32"/>
        </w:rPr>
      </w:pPr>
      <w:r>
        <w:rPr>
          <w:rFonts w:ascii="仿宋_GB2312" w:eastAsia="仿宋_GB2312" w:hAnsi="仿宋_GB2312" w:cs="仿宋_GB2312" w:hint="eastAsia"/>
          <w:sz w:val="32"/>
          <w:szCs w:val="32"/>
        </w:rPr>
        <w:t>表1.科尔沁肉牛体重测定表    单位：千克</w:t>
      </w:r>
    </w:p>
    <w:tbl>
      <w:tblPr>
        <w:tblStyle w:val="a6"/>
        <w:tblW w:w="7371" w:type="dxa"/>
        <w:tblInd w:w="959" w:type="dxa"/>
        <w:tblLayout w:type="fixed"/>
        <w:tblLook w:val="04A0"/>
      </w:tblPr>
      <w:tblGrid>
        <w:gridCol w:w="1432"/>
        <w:gridCol w:w="1770"/>
        <w:gridCol w:w="2184"/>
        <w:gridCol w:w="1985"/>
      </w:tblGrid>
      <w:tr w:rsidR="00182D48">
        <w:tc>
          <w:tcPr>
            <w:tcW w:w="143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年龄</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性别</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总测定头数</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体重</w:t>
            </w:r>
          </w:p>
        </w:tc>
      </w:tr>
      <w:tr w:rsidR="00182D48">
        <w:trPr>
          <w:trHeight w:hRule="exact" w:val="340"/>
        </w:trPr>
        <w:tc>
          <w:tcPr>
            <w:tcW w:w="1432" w:type="dxa"/>
            <w:vMerge w:val="restart"/>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初生</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公</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42</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41±4.3</w:t>
            </w:r>
          </w:p>
        </w:tc>
      </w:tr>
      <w:tr w:rsidR="00182D48">
        <w:trPr>
          <w:trHeight w:hRule="exact" w:val="340"/>
        </w:trPr>
        <w:tc>
          <w:tcPr>
            <w:tcW w:w="1432" w:type="dxa"/>
            <w:vMerge/>
            <w:tcBorders>
              <w:top w:val="single" w:sz="12" w:space="0" w:color="auto"/>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母</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40</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37±3.1</w:t>
            </w:r>
          </w:p>
        </w:tc>
      </w:tr>
      <w:tr w:rsidR="00182D48">
        <w:trPr>
          <w:trHeight w:hRule="exact" w:val="340"/>
        </w:trPr>
        <w:tc>
          <w:tcPr>
            <w:tcW w:w="1432" w:type="dxa"/>
            <w:vMerge w:val="restart"/>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6月龄</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公</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15</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200±18</w:t>
            </w:r>
          </w:p>
        </w:tc>
      </w:tr>
      <w:tr w:rsidR="00182D48">
        <w:trPr>
          <w:trHeight w:hRule="exact" w:val="340"/>
        </w:trPr>
        <w:tc>
          <w:tcPr>
            <w:tcW w:w="1432" w:type="dxa"/>
            <w:vMerge/>
            <w:tcBorders>
              <w:top w:val="single" w:sz="12" w:space="0" w:color="auto"/>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母</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58</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170±14</w:t>
            </w:r>
          </w:p>
        </w:tc>
      </w:tr>
      <w:tr w:rsidR="00182D48">
        <w:trPr>
          <w:trHeight w:hRule="exact" w:val="340"/>
        </w:trPr>
        <w:tc>
          <w:tcPr>
            <w:tcW w:w="1432" w:type="dxa"/>
            <w:vMerge w:val="restart"/>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12月龄</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公</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21</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380±32</w:t>
            </w:r>
          </w:p>
        </w:tc>
      </w:tr>
      <w:tr w:rsidR="00182D48">
        <w:trPr>
          <w:trHeight w:hRule="exact" w:val="340"/>
        </w:trPr>
        <w:tc>
          <w:tcPr>
            <w:tcW w:w="1432" w:type="dxa"/>
            <w:vMerge/>
            <w:tcBorders>
              <w:top w:val="single" w:sz="12" w:space="0" w:color="auto"/>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母</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9</w:t>
            </w:r>
            <w:r>
              <w:rPr>
                <w:rFonts w:ascii="Times New Roman" w:eastAsia="黑体" w:hAnsi="Times New Roman" w:cs="Times New Roman" w:hint="eastAsia"/>
                <w:sz w:val="24"/>
                <w:szCs w:val="24"/>
              </w:rPr>
              <w:t>7</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330±29</w:t>
            </w:r>
          </w:p>
        </w:tc>
      </w:tr>
      <w:tr w:rsidR="00182D48">
        <w:trPr>
          <w:trHeight w:hRule="exact" w:val="480"/>
        </w:trPr>
        <w:tc>
          <w:tcPr>
            <w:tcW w:w="1432" w:type="dxa"/>
            <w:vMerge w:val="restart"/>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18月龄</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公</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3</w:t>
            </w:r>
            <w:r>
              <w:rPr>
                <w:rFonts w:ascii="Times New Roman" w:eastAsia="黑体" w:hAnsi="Times New Roman" w:cs="Times New Roman"/>
                <w:sz w:val="24"/>
                <w:szCs w:val="24"/>
              </w:rPr>
              <w:t>6</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563±38</w:t>
            </w:r>
          </w:p>
        </w:tc>
      </w:tr>
      <w:tr w:rsidR="00182D48">
        <w:trPr>
          <w:trHeight w:hRule="exact" w:val="340"/>
        </w:trPr>
        <w:tc>
          <w:tcPr>
            <w:tcW w:w="1432" w:type="dxa"/>
            <w:vMerge/>
            <w:tcBorders>
              <w:top w:val="single" w:sz="12" w:space="0" w:color="auto"/>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母</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150</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460±40</w:t>
            </w:r>
          </w:p>
        </w:tc>
      </w:tr>
      <w:tr w:rsidR="00182D48">
        <w:trPr>
          <w:trHeight w:hRule="exact" w:val="340"/>
        </w:trPr>
        <w:tc>
          <w:tcPr>
            <w:tcW w:w="1432" w:type="dxa"/>
            <w:vMerge w:val="restart"/>
            <w:tcBorders>
              <w:top w:val="single" w:sz="12" w:space="0" w:color="auto"/>
              <w:left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24月龄</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公</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96</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787</w:t>
            </w:r>
            <w:r>
              <w:rPr>
                <w:rFonts w:ascii="Times New Roman" w:eastAsia="黑体" w:hAnsi="Times New Roman" w:cs="Times New Roman"/>
                <w:sz w:val="24"/>
                <w:szCs w:val="24"/>
              </w:rPr>
              <w:t>±</w:t>
            </w:r>
            <w:r>
              <w:rPr>
                <w:rFonts w:ascii="Times New Roman" w:eastAsia="黑体" w:hAnsi="Times New Roman" w:cs="Times New Roman" w:hint="eastAsia"/>
                <w:sz w:val="24"/>
                <w:szCs w:val="24"/>
              </w:rPr>
              <w:t>25</w:t>
            </w:r>
          </w:p>
        </w:tc>
      </w:tr>
      <w:tr w:rsidR="00182D48">
        <w:trPr>
          <w:trHeight w:hRule="exact" w:val="340"/>
        </w:trPr>
        <w:tc>
          <w:tcPr>
            <w:tcW w:w="1432" w:type="dxa"/>
            <w:vMerge/>
            <w:tcBorders>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母</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16</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494.2</w:t>
            </w:r>
            <w:r>
              <w:rPr>
                <w:rFonts w:ascii="Times New Roman" w:eastAsia="黑体" w:hAnsi="Times New Roman" w:cs="Times New Roman"/>
                <w:sz w:val="24"/>
                <w:szCs w:val="24"/>
              </w:rPr>
              <w:t>±</w:t>
            </w:r>
            <w:r>
              <w:rPr>
                <w:rFonts w:ascii="Times New Roman" w:eastAsia="黑体" w:hAnsi="Times New Roman" w:cs="Times New Roman" w:hint="eastAsia"/>
                <w:sz w:val="24"/>
                <w:szCs w:val="24"/>
              </w:rPr>
              <w:t>26</w:t>
            </w:r>
          </w:p>
        </w:tc>
      </w:tr>
      <w:tr w:rsidR="00182D48">
        <w:trPr>
          <w:trHeight w:hRule="exact" w:val="418"/>
        </w:trPr>
        <w:tc>
          <w:tcPr>
            <w:tcW w:w="1432" w:type="dxa"/>
            <w:vMerge w:val="restart"/>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36月龄</w:t>
            </w: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公</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19</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893</w:t>
            </w:r>
            <w:r>
              <w:rPr>
                <w:rFonts w:ascii="Times New Roman" w:eastAsia="黑体" w:hAnsi="Times New Roman" w:cs="Times New Roman"/>
                <w:sz w:val="24"/>
                <w:szCs w:val="24"/>
              </w:rPr>
              <w:t>±</w:t>
            </w:r>
            <w:r>
              <w:rPr>
                <w:rFonts w:ascii="Times New Roman" w:eastAsia="黑体" w:hAnsi="Times New Roman" w:cs="Times New Roman" w:hint="eastAsia"/>
                <w:sz w:val="24"/>
                <w:szCs w:val="24"/>
              </w:rPr>
              <w:t>23</w:t>
            </w:r>
          </w:p>
        </w:tc>
      </w:tr>
      <w:tr w:rsidR="00182D48">
        <w:trPr>
          <w:trHeight w:hRule="exact" w:val="340"/>
        </w:trPr>
        <w:tc>
          <w:tcPr>
            <w:tcW w:w="1432" w:type="dxa"/>
            <w:vMerge/>
            <w:tcBorders>
              <w:top w:val="single" w:sz="12" w:space="0" w:color="auto"/>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17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24"/>
                <w:szCs w:val="24"/>
              </w:rPr>
            </w:pPr>
            <w:r>
              <w:rPr>
                <w:rFonts w:ascii="仿宋_GB2312" w:eastAsia="仿宋_GB2312" w:hint="eastAsia"/>
                <w:sz w:val="24"/>
                <w:szCs w:val="24"/>
              </w:rPr>
              <w:t>母</w:t>
            </w:r>
          </w:p>
        </w:tc>
        <w:tc>
          <w:tcPr>
            <w:tcW w:w="2184"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63</w:t>
            </w:r>
          </w:p>
        </w:tc>
        <w:tc>
          <w:tcPr>
            <w:tcW w:w="198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550±47</w:t>
            </w:r>
          </w:p>
        </w:tc>
      </w:tr>
    </w:tbl>
    <w:p w:rsidR="00182D48" w:rsidRDefault="00182D48">
      <w:pPr>
        <w:pStyle w:val="a7"/>
        <w:tabs>
          <w:tab w:val="left" w:pos="2074"/>
          <w:tab w:val="left" w:pos="3583"/>
        </w:tabs>
        <w:ind w:left="1440" w:firstLineChars="600" w:firstLine="1440"/>
        <w:rPr>
          <w:rFonts w:ascii="仿宋_GB2312" w:eastAsia="仿宋_GB2312" w:hAnsi="仿宋_GB2312" w:cs="仿宋_GB2312"/>
          <w:sz w:val="24"/>
          <w:szCs w:val="24"/>
        </w:rPr>
      </w:pPr>
    </w:p>
    <w:p w:rsidR="00182D48" w:rsidRDefault="00877150" w:rsidP="00C03286">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体重与产肉性能呈正相关，因此体重是本标准的核心指标。配合本次各旗县（市区）数据采集工作的多为饲养管理水平较高的养殖场、合作社和养牛户，个体牛生长状况优异，基于犊牛培育方式及育肥方式的不同，其体重也差异较大。因此在制定体重标准时，根据育肥方式、年龄、饲养条件，客观的制定体重标准，以公、母科尔沁肉牛平均体重为一级牛，向上加上一个标准差即为特级牛，向下减一个标准差即为二级牛。</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4.体尺测定结果</w:t>
      </w:r>
    </w:p>
    <w:tbl>
      <w:tblPr>
        <w:tblStyle w:val="a6"/>
        <w:tblpPr w:leftFromText="180" w:rightFromText="180" w:vertAnchor="text" w:horzAnchor="page" w:tblpX="1920" w:tblpY="871"/>
        <w:tblOverlap w:val="never"/>
        <w:tblW w:w="7990" w:type="dxa"/>
        <w:tblLayout w:type="fixed"/>
        <w:tblLook w:val="04A0"/>
      </w:tblPr>
      <w:tblGrid>
        <w:gridCol w:w="970"/>
        <w:gridCol w:w="729"/>
        <w:gridCol w:w="872"/>
        <w:gridCol w:w="1329"/>
        <w:gridCol w:w="1455"/>
        <w:gridCol w:w="1405"/>
        <w:gridCol w:w="1230"/>
      </w:tblGrid>
      <w:tr w:rsidR="00182D48">
        <w:tc>
          <w:tcPr>
            <w:tcW w:w="97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年龄</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性别</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测定头数</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体高</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体斜长</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胸围</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仿宋_GB2312" w:eastAsia="仿宋_GB2312"/>
                <w:sz w:val="32"/>
                <w:szCs w:val="32"/>
              </w:rPr>
            </w:pPr>
            <w:r>
              <w:rPr>
                <w:rFonts w:ascii="仿宋_GB2312" w:eastAsia="仿宋_GB2312" w:hint="eastAsia"/>
                <w:sz w:val="32"/>
                <w:szCs w:val="32"/>
              </w:rPr>
              <w:t>管围</w:t>
            </w:r>
          </w:p>
        </w:tc>
      </w:tr>
      <w:tr w:rsidR="00182D48">
        <w:trPr>
          <w:trHeight w:hRule="exact" w:val="340"/>
        </w:trPr>
        <w:tc>
          <w:tcPr>
            <w:tcW w:w="970" w:type="dxa"/>
            <w:vMerge w:val="restart"/>
            <w:tcBorders>
              <w:top w:val="single" w:sz="12" w:space="0" w:color="auto"/>
              <w:left w:val="single" w:sz="12" w:space="0" w:color="auto"/>
              <w:bottom w:val="single" w:sz="12" w:space="0" w:color="auto"/>
              <w:right w:val="single" w:sz="12" w:space="0" w:color="auto"/>
            </w:tcBorders>
            <w:vAlign w:val="center"/>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初生</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公</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42</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65</w:t>
            </w:r>
            <w:r>
              <w:rPr>
                <w:rFonts w:ascii="Times New Roman" w:eastAsia="黑体" w:hAnsi="Times New Roman" w:cs="Times New Roman" w:hint="eastAsia"/>
                <w:sz w:val="24"/>
                <w:szCs w:val="24"/>
              </w:rPr>
              <w:t>.0</w:t>
            </w:r>
            <w:r>
              <w:rPr>
                <w:rFonts w:ascii="Times New Roman" w:eastAsia="黑体" w:hAnsi="Times New Roman" w:cs="Times New Roman"/>
                <w:sz w:val="24"/>
                <w:szCs w:val="24"/>
              </w:rPr>
              <w:t>±11.5</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66.9±2.8</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77</w:t>
            </w:r>
            <w:r>
              <w:rPr>
                <w:rFonts w:ascii="Times New Roman" w:eastAsia="黑体" w:hAnsi="Times New Roman" w:cs="Times New Roman" w:hint="eastAsia"/>
                <w:sz w:val="24"/>
                <w:szCs w:val="24"/>
              </w:rPr>
              <w:t xml:space="preserve">.0 </w:t>
            </w:r>
            <w:r>
              <w:rPr>
                <w:rFonts w:ascii="Times New Roman" w:eastAsia="黑体" w:hAnsi="Times New Roman" w:cs="Times New Roman"/>
                <w:sz w:val="24"/>
                <w:szCs w:val="24"/>
              </w:rPr>
              <w:t>±4.3</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11.7±1.0</w:t>
            </w:r>
          </w:p>
        </w:tc>
      </w:tr>
      <w:tr w:rsidR="00182D48">
        <w:trPr>
          <w:trHeight w:hRule="exact" w:val="340"/>
        </w:trPr>
        <w:tc>
          <w:tcPr>
            <w:tcW w:w="970" w:type="dxa"/>
            <w:vMerge/>
            <w:tcBorders>
              <w:top w:val="single" w:sz="12" w:space="0" w:color="auto"/>
              <w:left w:val="single" w:sz="12" w:space="0" w:color="auto"/>
              <w:bottom w:val="single" w:sz="12" w:space="0" w:color="auto"/>
              <w:right w:val="single" w:sz="12" w:space="0" w:color="auto"/>
            </w:tcBorders>
            <w:vAlign w:val="center"/>
          </w:tcPr>
          <w:p w:rsidR="00182D48" w:rsidRDefault="00182D48">
            <w:pPr>
              <w:pStyle w:val="a7"/>
              <w:tabs>
                <w:tab w:val="left" w:pos="2074"/>
                <w:tab w:val="left" w:pos="3583"/>
              </w:tabs>
              <w:ind w:firstLineChars="0" w:firstLine="0"/>
              <w:jc w:val="center"/>
              <w:rPr>
                <w:rFonts w:ascii="黑体" w:eastAsia="黑体" w:hAnsi="黑体" w:cs="黑体"/>
                <w:sz w:val="24"/>
                <w:szCs w:val="24"/>
              </w:rPr>
            </w:pP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母</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40</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67.4±4.2</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67.7±3.6</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71.4±4.</w:t>
            </w:r>
            <w:r>
              <w:rPr>
                <w:rFonts w:ascii="Times New Roman" w:eastAsia="黑体" w:hAnsi="Times New Roman" w:cs="Times New Roman" w:hint="eastAsia"/>
                <w:sz w:val="24"/>
                <w:szCs w:val="24"/>
              </w:rPr>
              <w:t>1</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10.7±0.</w:t>
            </w:r>
            <w:r>
              <w:rPr>
                <w:rFonts w:ascii="Times New Roman" w:eastAsia="黑体" w:hAnsi="Times New Roman" w:cs="Times New Roman" w:hint="eastAsia"/>
                <w:sz w:val="24"/>
                <w:szCs w:val="24"/>
              </w:rPr>
              <w:t>9</w:t>
            </w:r>
          </w:p>
        </w:tc>
      </w:tr>
      <w:tr w:rsidR="00182D48">
        <w:trPr>
          <w:trHeight w:hRule="exact" w:val="340"/>
        </w:trPr>
        <w:tc>
          <w:tcPr>
            <w:tcW w:w="970" w:type="dxa"/>
            <w:vMerge w:val="restart"/>
            <w:tcBorders>
              <w:top w:val="single" w:sz="12" w:space="0" w:color="auto"/>
              <w:left w:val="single" w:sz="12" w:space="0" w:color="auto"/>
              <w:bottom w:val="single" w:sz="12" w:space="0" w:color="auto"/>
              <w:right w:val="single" w:sz="12" w:space="0" w:color="auto"/>
            </w:tcBorders>
            <w:vAlign w:val="center"/>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6月龄</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公</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15</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105.5±3.6</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117</w:t>
            </w:r>
            <w:r>
              <w:rPr>
                <w:rFonts w:ascii="Times New Roman" w:eastAsia="黑体" w:hAnsi="Times New Roman" w:cs="Times New Roman" w:hint="eastAsia"/>
                <w:sz w:val="24"/>
                <w:szCs w:val="24"/>
              </w:rPr>
              <w:t xml:space="preserve">.0 </w:t>
            </w:r>
            <w:r>
              <w:rPr>
                <w:rFonts w:ascii="Times New Roman" w:eastAsia="黑体" w:hAnsi="Times New Roman" w:cs="Times New Roman"/>
                <w:sz w:val="24"/>
                <w:szCs w:val="24"/>
              </w:rPr>
              <w:t>±10.8</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134</w:t>
            </w:r>
            <w:r>
              <w:rPr>
                <w:rFonts w:ascii="Times New Roman" w:eastAsia="黑体" w:hAnsi="Times New Roman" w:cs="Times New Roman" w:hint="eastAsia"/>
                <w:sz w:val="24"/>
                <w:szCs w:val="24"/>
              </w:rPr>
              <w:t xml:space="preserve">.5 </w:t>
            </w:r>
            <w:r>
              <w:rPr>
                <w:rFonts w:ascii="Times New Roman" w:eastAsia="黑体" w:hAnsi="Times New Roman" w:cs="Times New Roman"/>
                <w:sz w:val="24"/>
                <w:szCs w:val="24"/>
              </w:rPr>
              <w:t>±6.5</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16.8±1.1</w:t>
            </w:r>
          </w:p>
        </w:tc>
      </w:tr>
      <w:tr w:rsidR="00182D48">
        <w:trPr>
          <w:trHeight w:hRule="exact" w:val="340"/>
        </w:trPr>
        <w:tc>
          <w:tcPr>
            <w:tcW w:w="970" w:type="dxa"/>
            <w:vMerge/>
            <w:tcBorders>
              <w:top w:val="single" w:sz="12" w:space="0" w:color="auto"/>
              <w:left w:val="single" w:sz="12" w:space="0" w:color="auto"/>
              <w:bottom w:val="single" w:sz="12" w:space="0" w:color="auto"/>
              <w:right w:val="single" w:sz="12" w:space="0" w:color="auto"/>
            </w:tcBorders>
            <w:vAlign w:val="center"/>
          </w:tcPr>
          <w:p w:rsidR="00182D48" w:rsidRDefault="00182D48">
            <w:pPr>
              <w:pStyle w:val="a7"/>
              <w:tabs>
                <w:tab w:val="left" w:pos="2074"/>
                <w:tab w:val="left" w:pos="3583"/>
              </w:tabs>
              <w:ind w:firstLineChars="0" w:firstLine="0"/>
              <w:jc w:val="center"/>
              <w:rPr>
                <w:rFonts w:ascii="黑体" w:eastAsia="黑体" w:hAnsi="黑体" w:cs="黑体"/>
                <w:sz w:val="24"/>
                <w:szCs w:val="24"/>
              </w:rPr>
            </w:pP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母</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58</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105.</w:t>
            </w:r>
            <w:r>
              <w:rPr>
                <w:rFonts w:ascii="Times New Roman" w:eastAsia="黑体" w:hAnsi="Times New Roman" w:cs="Times New Roman" w:hint="eastAsia"/>
                <w:sz w:val="24"/>
                <w:szCs w:val="24"/>
              </w:rPr>
              <w:t xml:space="preserve">4 </w:t>
            </w:r>
            <w:r>
              <w:rPr>
                <w:rFonts w:ascii="Times New Roman" w:eastAsia="黑体" w:hAnsi="Times New Roman" w:cs="Times New Roman"/>
                <w:sz w:val="24"/>
                <w:szCs w:val="24"/>
              </w:rPr>
              <w:t>±2.6</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116</w:t>
            </w:r>
            <w:r>
              <w:rPr>
                <w:rFonts w:ascii="Times New Roman" w:eastAsia="黑体" w:hAnsi="Times New Roman" w:cs="Times New Roman" w:hint="eastAsia"/>
                <w:sz w:val="24"/>
                <w:szCs w:val="24"/>
              </w:rPr>
              <w:t xml:space="preserve">.3 </w:t>
            </w:r>
            <w:r>
              <w:rPr>
                <w:rFonts w:ascii="Times New Roman" w:eastAsia="黑体" w:hAnsi="Times New Roman" w:cs="Times New Roman"/>
                <w:sz w:val="24"/>
                <w:szCs w:val="24"/>
              </w:rPr>
              <w:t>±4.5</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126.4±5.6</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16.7±0.6</w:t>
            </w:r>
          </w:p>
        </w:tc>
      </w:tr>
      <w:tr w:rsidR="00182D48">
        <w:trPr>
          <w:trHeight w:hRule="exact" w:val="340"/>
        </w:trPr>
        <w:tc>
          <w:tcPr>
            <w:tcW w:w="970" w:type="dxa"/>
            <w:vMerge w:val="restart"/>
            <w:tcBorders>
              <w:top w:val="single" w:sz="12" w:space="0" w:color="auto"/>
              <w:left w:val="single" w:sz="12" w:space="0" w:color="auto"/>
              <w:bottom w:val="single" w:sz="12" w:space="0" w:color="auto"/>
              <w:right w:val="single" w:sz="12" w:space="0" w:color="auto"/>
            </w:tcBorders>
            <w:vAlign w:val="center"/>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12月龄</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公</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21</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125.5±4.0</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145</w:t>
            </w:r>
            <w:r>
              <w:rPr>
                <w:rFonts w:ascii="Times New Roman" w:eastAsia="黑体" w:hAnsi="Times New Roman" w:cs="Times New Roman" w:hint="eastAsia"/>
                <w:sz w:val="24"/>
                <w:szCs w:val="24"/>
              </w:rPr>
              <w:t xml:space="preserve">.0 </w:t>
            </w:r>
            <w:r>
              <w:rPr>
                <w:rFonts w:ascii="Times New Roman" w:eastAsia="黑体" w:hAnsi="Times New Roman" w:cs="Times New Roman"/>
                <w:sz w:val="24"/>
                <w:szCs w:val="24"/>
              </w:rPr>
              <w:t>±7.3</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176.5±6.2</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19.7±0.7</w:t>
            </w:r>
          </w:p>
        </w:tc>
      </w:tr>
      <w:tr w:rsidR="00182D48">
        <w:trPr>
          <w:trHeight w:hRule="exact" w:val="340"/>
        </w:trPr>
        <w:tc>
          <w:tcPr>
            <w:tcW w:w="970" w:type="dxa"/>
            <w:vMerge/>
            <w:tcBorders>
              <w:top w:val="single" w:sz="12" w:space="0" w:color="auto"/>
              <w:left w:val="single" w:sz="12" w:space="0" w:color="auto"/>
              <w:bottom w:val="single" w:sz="12" w:space="0" w:color="auto"/>
              <w:right w:val="single" w:sz="12" w:space="0" w:color="auto"/>
            </w:tcBorders>
            <w:vAlign w:val="center"/>
          </w:tcPr>
          <w:p w:rsidR="00182D48" w:rsidRDefault="00182D48">
            <w:pPr>
              <w:pStyle w:val="a7"/>
              <w:tabs>
                <w:tab w:val="left" w:pos="2074"/>
                <w:tab w:val="left" w:pos="3583"/>
              </w:tabs>
              <w:ind w:firstLineChars="0" w:firstLine="0"/>
              <w:jc w:val="center"/>
              <w:rPr>
                <w:rFonts w:ascii="黑体" w:eastAsia="黑体" w:hAnsi="黑体" w:cs="黑体"/>
                <w:sz w:val="24"/>
                <w:szCs w:val="24"/>
              </w:rPr>
            </w:pP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母</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9</w:t>
            </w:r>
            <w:r>
              <w:rPr>
                <w:rFonts w:ascii="Times New Roman" w:eastAsia="黑体" w:hAnsi="Times New Roman" w:cs="Times New Roman" w:hint="eastAsia"/>
                <w:sz w:val="24"/>
                <w:szCs w:val="24"/>
              </w:rPr>
              <w:t>7</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124.6±4.</w:t>
            </w:r>
            <w:r>
              <w:rPr>
                <w:rFonts w:ascii="Times New Roman" w:eastAsia="黑体" w:hAnsi="Times New Roman" w:cs="Times New Roman" w:hint="eastAsia"/>
                <w:sz w:val="24"/>
                <w:szCs w:val="24"/>
              </w:rPr>
              <w:t>5</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13</w:t>
            </w:r>
            <w:r>
              <w:rPr>
                <w:rFonts w:ascii="Times New Roman" w:eastAsia="黑体" w:hAnsi="Times New Roman" w:cs="Times New Roman" w:hint="eastAsia"/>
                <w:sz w:val="24"/>
                <w:szCs w:val="24"/>
              </w:rPr>
              <w:t xml:space="preserve">9.1 </w:t>
            </w:r>
            <w:r>
              <w:rPr>
                <w:rFonts w:ascii="Times New Roman" w:eastAsia="黑体" w:hAnsi="Times New Roman" w:cs="Times New Roman"/>
                <w:sz w:val="24"/>
                <w:szCs w:val="24"/>
              </w:rPr>
              <w:t>±12.</w:t>
            </w:r>
            <w:r>
              <w:rPr>
                <w:rFonts w:ascii="Times New Roman" w:eastAsia="黑体" w:hAnsi="Times New Roman" w:cs="Times New Roman" w:hint="eastAsia"/>
                <w:sz w:val="24"/>
                <w:szCs w:val="24"/>
              </w:rPr>
              <w:t>9</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16</w:t>
            </w:r>
            <w:r>
              <w:rPr>
                <w:rFonts w:ascii="Times New Roman" w:eastAsia="黑体" w:hAnsi="Times New Roman" w:cs="Times New Roman" w:hint="eastAsia"/>
                <w:sz w:val="24"/>
                <w:szCs w:val="24"/>
              </w:rPr>
              <w:t>0.5</w:t>
            </w:r>
            <w:r>
              <w:rPr>
                <w:rFonts w:ascii="Times New Roman" w:eastAsia="黑体" w:hAnsi="Times New Roman" w:cs="Times New Roman"/>
                <w:sz w:val="24"/>
                <w:szCs w:val="24"/>
              </w:rPr>
              <w:t>±</w:t>
            </w:r>
            <w:r>
              <w:rPr>
                <w:rFonts w:ascii="Times New Roman" w:eastAsia="黑体" w:hAnsi="Times New Roman" w:cs="Times New Roman" w:hint="eastAsia"/>
                <w:sz w:val="24"/>
                <w:szCs w:val="24"/>
              </w:rPr>
              <w:t xml:space="preserve"> 10.3</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18.3±1.0</w:t>
            </w:r>
          </w:p>
        </w:tc>
      </w:tr>
      <w:tr w:rsidR="00182D48">
        <w:trPr>
          <w:trHeight w:hRule="exact" w:val="340"/>
        </w:trPr>
        <w:tc>
          <w:tcPr>
            <w:tcW w:w="970" w:type="dxa"/>
            <w:vMerge w:val="restart"/>
            <w:tcBorders>
              <w:top w:val="single" w:sz="12" w:space="0" w:color="auto"/>
              <w:left w:val="single" w:sz="12" w:space="0" w:color="auto"/>
              <w:bottom w:val="single" w:sz="12" w:space="0" w:color="auto"/>
              <w:right w:val="single" w:sz="12" w:space="0" w:color="auto"/>
            </w:tcBorders>
            <w:vAlign w:val="center"/>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18月龄</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公</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3</w:t>
            </w:r>
            <w:r>
              <w:rPr>
                <w:rFonts w:ascii="Times New Roman" w:eastAsia="黑体" w:hAnsi="Times New Roman" w:cs="Times New Roman"/>
                <w:sz w:val="24"/>
                <w:szCs w:val="24"/>
              </w:rPr>
              <w:t>6</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129.5±6</w:t>
            </w:r>
            <w:r>
              <w:rPr>
                <w:rFonts w:ascii="Times New Roman" w:eastAsia="黑体" w:hAnsi="Times New Roman" w:cs="Times New Roman" w:hint="eastAsia"/>
                <w:sz w:val="24"/>
                <w:szCs w:val="24"/>
              </w:rPr>
              <w:t>.0</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153</w:t>
            </w:r>
            <w:r>
              <w:rPr>
                <w:rFonts w:ascii="Times New Roman" w:eastAsia="黑体" w:hAnsi="Times New Roman" w:cs="Times New Roman" w:hint="eastAsia"/>
                <w:sz w:val="24"/>
                <w:szCs w:val="24"/>
              </w:rPr>
              <w:t xml:space="preserve">.0 </w:t>
            </w:r>
            <w:r>
              <w:rPr>
                <w:rFonts w:ascii="Times New Roman" w:eastAsia="黑体" w:hAnsi="Times New Roman" w:cs="Times New Roman"/>
                <w:sz w:val="24"/>
                <w:szCs w:val="24"/>
              </w:rPr>
              <w:t>±9.0</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194</w:t>
            </w:r>
            <w:r>
              <w:rPr>
                <w:rFonts w:ascii="Times New Roman" w:eastAsia="黑体" w:hAnsi="Times New Roman" w:cs="Times New Roman" w:hint="eastAsia"/>
                <w:sz w:val="24"/>
                <w:szCs w:val="24"/>
              </w:rPr>
              <w:t xml:space="preserve">.0 </w:t>
            </w:r>
            <w:r>
              <w:rPr>
                <w:rFonts w:ascii="Times New Roman" w:eastAsia="黑体" w:hAnsi="Times New Roman" w:cs="Times New Roman"/>
                <w:sz w:val="24"/>
                <w:szCs w:val="24"/>
              </w:rPr>
              <w:t>±4.2</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22.2±1.6</w:t>
            </w:r>
          </w:p>
        </w:tc>
      </w:tr>
      <w:tr w:rsidR="00182D48">
        <w:trPr>
          <w:trHeight w:hRule="exact" w:val="340"/>
        </w:trPr>
        <w:tc>
          <w:tcPr>
            <w:tcW w:w="970" w:type="dxa"/>
            <w:vMerge/>
            <w:tcBorders>
              <w:top w:val="single" w:sz="12" w:space="0" w:color="auto"/>
              <w:left w:val="single" w:sz="12" w:space="0" w:color="auto"/>
              <w:bottom w:val="single" w:sz="12" w:space="0" w:color="auto"/>
              <w:right w:val="single" w:sz="12" w:space="0" w:color="auto"/>
            </w:tcBorders>
            <w:vAlign w:val="center"/>
          </w:tcPr>
          <w:p w:rsidR="00182D48" w:rsidRDefault="00182D48">
            <w:pPr>
              <w:pStyle w:val="a7"/>
              <w:tabs>
                <w:tab w:val="left" w:pos="2074"/>
                <w:tab w:val="left" w:pos="3583"/>
              </w:tabs>
              <w:ind w:firstLineChars="0" w:firstLine="0"/>
              <w:jc w:val="center"/>
              <w:rPr>
                <w:rFonts w:ascii="黑体" w:eastAsia="黑体" w:hAnsi="黑体" w:cs="黑体"/>
                <w:sz w:val="24"/>
                <w:szCs w:val="24"/>
              </w:rPr>
            </w:pP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母</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150</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131.5±3.0</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159</w:t>
            </w:r>
            <w:r>
              <w:rPr>
                <w:rFonts w:ascii="Times New Roman" w:eastAsia="黑体" w:hAnsi="Times New Roman" w:cs="Times New Roman" w:hint="eastAsia"/>
                <w:sz w:val="24"/>
                <w:szCs w:val="24"/>
              </w:rPr>
              <w:t xml:space="preserve">.0 </w:t>
            </w:r>
            <w:r>
              <w:rPr>
                <w:rFonts w:ascii="Times New Roman" w:eastAsia="黑体" w:hAnsi="Times New Roman" w:cs="Times New Roman"/>
                <w:sz w:val="24"/>
                <w:szCs w:val="24"/>
              </w:rPr>
              <w:t>±9.4</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180</w:t>
            </w:r>
            <w:r>
              <w:rPr>
                <w:rFonts w:ascii="Times New Roman" w:eastAsia="黑体" w:hAnsi="Times New Roman" w:cs="Times New Roman" w:hint="eastAsia"/>
                <w:sz w:val="24"/>
                <w:szCs w:val="24"/>
              </w:rPr>
              <w:t xml:space="preserve">.1 </w:t>
            </w:r>
            <w:r>
              <w:rPr>
                <w:rFonts w:ascii="Times New Roman" w:eastAsia="黑体" w:hAnsi="Times New Roman" w:cs="Times New Roman"/>
                <w:sz w:val="24"/>
                <w:szCs w:val="24"/>
              </w:rPr>
              <w:t>±7</w:t>
            </w:r>
            <w:r>
              <w:rPr>
                <w:rFonts w:ascii="Times New Roman" w:eastAsia="黑体" w:hAnsi="Times New Roman" w:cs="Times New Roman" w:hint="eastAsia"/>
                <w:sz w:val="24"/>
                <w:szCs w:val="24"/>
              </w:rPr>
              <w:t>.7</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19.3±0.9</w:t>
            </w:r>
          </w:p>
        </w:tc>
      </w:tr>
      <w:tr w:rsidR="00182D48">
        <w:trPr>
          <w:trHeight w:hRule="exact" w:val="340"/>
        </w:trPr>
        <w:tc>
          <w:tcPr>
            <w:tcW w:w="970" w:type="dxa"/>
            <w:vMerge w:val="restart"/>
            <w:tcBorders>
              <w:top w:val="single" w:sz="12" w:space="0" w:color="auto"/>
              <w:left w:val="single" w:sz="12" w:space="0" w:color="auto"/>
              <w:right w:val="single" w:sz="12" w:space="0" w:color="auto"/>
            </w:tcBorders>
            <w:vAlign w:val="center"/>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24月龄</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公</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96</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rPr>
                <w:rFonts w:ascii="Times New Roman" w:eastAsia="黑体" w:hAnsi="Times New Roman" w:cs="Times New Roman"/>
                <w:sz w:val="24"/>
                <w:szCs w:val="24"/>
              </w:rPr>
            </w:pPr>
            <w:r>
              <w:rPr>
                <w:rFonts w:ascii="Times New Roman" w:eastAsia="黑体" w:hAnsi="Times New Roman" w:cs="Times New Roman" w:hint="eastAsia"/>
                <w:sz w:val="24"/>
                <w:szCs w:val="24"/>
              </w:rPr>
              <w:t>140.7</w:t>
            </w:r>
            <w:r>
              <w:rPr>
                <w:rFonts w:ascii="Times New Roman" w:eastAsia="黑体" w:hAnsi="Times New Roman" w:cs="Times New Roman"/>
                <w:sz w:val="24"/>
                <w:szCs w:val="24"/>
              </w:rPr>
              <w:t>±3.0</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180.6</w:t>
            </w:r>
            <w:r>
              <w:rPr>
                <w:rFonts w:ascii="Times New Roman" w:eastAsia="黑体" w:hAnsi="Times New Roman" w:cs="Times New Roman"/>
                <w:sz w:val="24"/>
                <w:szCs w:val="24"/>
              </w:rPr>
              <w:t>±</w:t>
            </w:r>
            <w:r>
              <w:rPr>
                <w:rFonts w:ascii="Times New Roman" w:eastAsia="黑体" w:hAnsi="Times New Roman" w:cs="Times New Roman" w:hint="eastAsia"/>
                <w:sz w:val="24"/>
                <w:szCs w:val="24"/>
              </w:rPr>
              <w:t>5.0</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210.9</w:t>
            </w:r>
            <w:r>
              <w:rPr>
                <w:rFonts w:ascii="Times New Roman" w:eastAsia="黑体" w:hAnsi="Times New Roman" w:cs="Times New Roman"/>
                <w:sz w:val="24"/>
                <w:szCs w:val="24"/>
              </w:rPr>
              <w:t>±</w:t>
            </w:r>
            <w:r>
              <w:rPr>
                <w:rFonts w:ascii="Times New Roman" w:eastAsia="黑体" w:hAnsi="Times New Roman" w:cs="Times New Roman" w:hint="eastAsia"/>
                <w:sz w:val="24"/>
                <w:szCs w:val="24"/>
              </w:rPr>
              <w:t>5.0</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26.0</w:t>
            </w:r>
            <w:r>
              <w:rPr>
                <w:rFonts w:ascii="Times New Roman" w:eastAsia="黑体" w:hAnsi="Times New Roman" w:cs="Times New Roman"/>
                <w:sz w:val="24"/>
                <w:szCs w:val="24"/>
              </w:rPr>
              <w:t>±</w:t>
            </w:r>
            <w:r>
              <w:rPr>
                <w:rFonts w:ascii="Times New Roman" w:eastAsia="黑体" w:hAnsi="Times New Roman" w:cs="Times New Roman" w:hint="eastAsia"/>
                <w:sz w:val="24"/>
                <w:szCs w:val="24"/>
              </w:rPr>
              <w:t>0.5</w:t>
            </w:r>
          </w:p>
        </w:tc>
      </w:tr>
      <w:tr w:rsidR="00182D48">
        <w:trPr>
          <w:trHeight w:hRule="exact" w:val="340"/>
        </w:trPr>
        <w:tc>
          <w:tcPr>
            <w:tcW w:w="970" w:type="dxa"/>
            <w:vMerge/>
            <w:tcBorders>
              <w:left w:val="single" w:sz="12" w:space="0" w:color="auto"/>
              <w:bottom w:val="single" w:sz="12" w:space="0" w:color="auto"/>
              <w:right w:val="single" w:sz="12" w:space="0" w:color="auto"/>
            </w:tcBorders>
            <w:vAlign w:val="center"/>
          </w:tcPr>
          <w:p w:rsidR="00182D48" w:rsidRDefault="00182D48">
            <w:pPr>
              <w:pStyle w:val="a7"/>
              <w:tabs>
                <w:tab w:val="left" w:pos="2074"/>
                <w:tab w:val="left" w:pos="3583"/>
              </w:tabs>
              <w:ind w:firstLineChars="0" w:firstLine="0"/>
              <w:jc w:val="center"/>
              <w:rPr>
                <w:rFonts w:ascii="黑体" w:eastAsia="黑体" w:hAnsi="黑体" w:cs="黑体"/>
                <w:sz w:val="24"/>
                <w:szCs w:val="24"/>
              </w:rPr>
            </w:pP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母</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16</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jc w:val="center"/>
              <w:rPr>
                <w:rFonts w:ascii="Times New Roman" w:eastAsia="黑体" w:hAnsi="Times New Roman" w:cs="Times New Roman"/>
                <w:sz w:val="24"/>
                <w:szCs w:val="24"/>
              </w:rPr>
            </w:pPr>
            <w:r>
              <w:rPr>
                <w:rFonts w:ascii="Times New Roman" w:eastAsia="黑体" w:hAnsi="Times New Roman" w:cs="Times New Roman"/>
                <w:sz w:val="24"/>
                <w:szCs w:val="24"/>
              </w:rPr>
              <w:t>13</w:t>
            </w:r>
            <w:r>
              <w:rPr>
                <w:rFonts w:ascii="Times New Roman" w:eastAsia="黑体" w:hAnsi="Times New Roman" w:cs="Times New Roman" w:hint="eastAsia"/>
                <w:sz w:val="24"/>
                <w:szCs w:val="24"/>
              </w:rPr>
              <w:t>2</w:t>
            </w:r>
            <w:r>
              <w:rPr>
                <w:rFonts w:ascii="Times New Roman" w:eastAsia="黑体" w:hAnsi="Times New Roman" w:cs="Times New Roman"/>
                <w:sz w:val="24"/>
                <w:szCs w:val="24"/>
              </w:rPr>
              <w:t>.</w:t>
            </w:r>
            <w:r>
              <w:rPr>
                <w:rFonts w:ascii="Times New Roman" w:eastAsia="黑体" w:hAnsi="Times New Roman" w:cs="Times New Roman" w:hint="eastAsia"/>
                <w:sz w:val="24"/>
                <w:szCs w:val="24"/>
              </w:rPr>
              <w:t xml:space="preserve">4 </w:t>
            </w:r>
            <w:r>
              <w:rPr>
                <w:rFonts w:ascii="Times New Roman" w:eastAsia="黑体" w:hAnsi="Times New Roman" w:cs="Times New Roman"/>
                <w:sz w:val="24"/>
                <w:szCs w:val="24"/>
              </w:rPr>
              <w:t>±3.0</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165</w:t>
            </w:r>
            <w:r>
              <w:rPr>
                <w:rFonts w:ascii="Times New Roman" w:eastAsia="黑体" w:hAnsi="Times New Roman" w:cs="Times New Roman"/>
                <w:sz w:val="24"/>
                <w:szCs w:val="24"/>
              </w:rPr>
              <w:t>±</w:t>
            </w:r>
            <w:r>
              <w:rPr>
                <w:rFonts w:ascii="Times New Roman" w:eastAsia="黑体" w:hAnsi="Times New Roman" w:cs="Times New Roman" w:hint="eastAsia"/>
                <w:sz w:val="24"/>
                <w:szCs w:val="24"/>
              </w:rPr>
              <w:t>9.3</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189.0</w:t>
            </w:r>
            <w:r>
              <w:rPr>
                <w:rFonts w:ascii="Times New Roman" w:eastAsia="黑体" w:hAnsi="Times New Roman" w:cs="Times New Roman"/>
                <w:sz w:val="24"/>
                <w:szCs w:val="24"/>
              </w:rPr>
              <w:t>±</w:t>
            </w:r>
            <w:r>
              <w:rPr>
                <w:rFonts w:ascii="Times New Roman" w:eastAsia="黑体" w:hAnsi="Times New Roman" w:cs="Times New Roman" w:hint="eastAsia"/>
                <w:sz w:val="24"/>
                <w:szCs w:val="24"/>
              </w:rPr>
              <w:t>5.0</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19.7</w:t>
            </w:r>
            <w:r>
              <w:rPr>
                <w:rFonts w:ascii="Times New Roman" w:eastAsia="黑体" w:hAnsi="Times New Roman" w:cs="Times New Roman"/>
                <w:sz w:val="24"/>
                <w:szCs w:val="24"/>
              </w:rPr>
              <w:t>±</w:t>
            </w:r>
            <w:r>
              <w:rPr>
                <w:rFonts w:ascii="Times New Roman" w:eastAsia="黑体" w:hAnsi="Times New Roman" w:cs="Times New Roman" w:hint="eastAsia"/>
                <w:sz w:val="24"/>
                <w:szCs w:val="24"/>
              </w:rPr>
              <w:t>0.5</w:t>
            </w:r>
          </w:p>
        </w:tc>
      </w:tr>
      <w:tr w:rsidR="00182D48">
        <w:trPr>
          <w:trHeight w:hRule="exact" w:val="340"/>
        </w:trPr>
        <w:tc>
          <w:tcPr>
            <w:tcW w:w="970" w:type="dxa"/>
            <w:vMerge w:val="restart"/>
            <w:tcBorders>
              <w:top w:val="single" w:sz="12" w:space="0" w:color="auto"/>
              <w:left w:val="single" w:sz="12" w:space="0" w:color="auto"/>
              <w:bottom w:val="single" w:sz="12" w:space="0" w:color="auto"/>
              <w:right w:val="single" w:sz="12" w:space="0" w:color="auto"/>
            </w:tcBorders>
            <w:vAlign w:val="center"/>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36月龄</w:t>
            </w: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公</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19</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149.8</w:t>
            </w:r>
            <w:r>
              <w:rPr>
                <w:rFonts w:ascii="Times New Roman" w:eastAsia="黑体" w:hAnsi="Times New Roman" w:cs="Times New Roman"/>
                <w:sz w:val="24"/>
                <w:szCs w:val="24"/>
              </w:rPr>
              <w:t>±</w:t>
            </w:r>
            <w:r>
              <w:rPr>
                <w:rFonts w:ascii="Times New Roman" w:eastAsia="黑体" w:hAnsi="Times New Roman" w:cs="Times New Roman" w:hint="eastAsia"/>
                <w:sz w:val="24"/>
                <w:szCs w:val="24"/>
              </w:rPr>
              <w:t>3.0</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201.1</w:t>
            </w:r>
            <w:r>
              <w:rPr>
                <w:rFonts w:ascii="Times New Roman" w:eastAsia="黑体" w:hAnsi="Times New Roman" w:cs="Times New Roman"/>
                <w:sz w:val="24"/>
                <w:szCs w:val="24"/>
              </w:rPr>
              <w:t>±</w:t>
            </w:r>
            <w:r>
              <w:rPr>
                <w:rFonts w:ascii="Times New Roman" w:eastAsia="黑体" w:hAnsi="Times New Roman" w:cs="Times New Roman" w:hint="eastAsia"/>
                <w:sz w:val="24"/>
                <w:szCs w:val="24"/>
              </w:rPr>
              <w:t>3.0</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230.5</w:t>
            </w:r>
            <w:r>
              <w:rPr>
                <w:rFonts w:ascii="Times New Roman" w:eastAsia="黑体" w:hAnsi="Times New Roman" w:cs="Times New Roman"/>
                <w:sz w:val="24"/>
                <w:szCs w:val="24"/>
              </w:rPr>
              <w:t>±</w:t>
            </w:r>
            <w:r>
              <w:rPr>
                <w:rFonts w:ascii="Times New Roman" w:eastAsia="黑体" w:hAnsi="Times New Roman" w:cs="Times New Roman" w:hint="eastAsia"/>
                <w:sz w:val="24"/>
                <w:szCs w:val="24"/>
              </w:rPr>
              <w:t>5.0</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hint="eastAsia"/>
                <w:sz w:val="24"/>
                <w:szCs w:val="24"/>
              </w:rPr>
              <w:t>27.0</w:t>
            </w:r>
            <w:r>
              <w:rPr>
                <w:rFonts w:ascii="Times New Roman" w:eastAsia="黑体" w:hAnsi="Times New Roman" w:cs="Times New Roman"/>
                <w:sz w:val="24"/>
                <w:szCs w:val="24"/>
              </w:rPr>
              <w:t>±</w:t>
            </w:r>
            <w:r>
              <w:rPr>
                <w:rFonts w:ascii="Times New Roman" w:eastAsia="黑体" w:hAnsi="Times New Roman" w:cs="Times New Roman" w:hint="eastAsia"/>
                <w:sz w:val="24"/>
                <w:szCs w:val="24"/>
              </w:rPr>
              <w:t>0.56</w:t>
            </w:r>
          </w:p>
        </w:tc>
      </w:tr>
      <w:tr w:rsidR="00182D48">
        <w:trPr>
          <w:trHeight w:hRule="exact" w:val="340"/>
        </w:trPr>
        <w:tc>
          <w:tcPr>
            <w:tcW w:w="970" w:type="dxa"/>
            <w:vMerge/>
            <w:tcBorders>
              <w:top w:val="single" w:sz="12" w:space="0" w:color="auto"/>
              <w:left w:val="single" w:sz="12" w:space="0" w:color="auto"/>
              <w:bottom w:val="single" w:sz="12" w:space="0" w:color="auto"/>
              <w:right w:val="single" w:sz="12" w:space="0" w:color="auto"/>
            </w:tcBorders>
          </w:tcPr>
          <w:p w:rsidR="00182D48" w:rsidRDefault="00182D48">
            <w:pPr>
              <w:pStyle w:val="a7"/>
              <w:tabs>
                <w:tab w:val="left" w:pos="2074"/>
                <w:tab w:val="left" w:pos="3583"/>
              </w:tabs>
              <w:ind w:firstLineChars="0" w:firstLine="0"/>
              <w:jc w:val="center"/>
              <w:rPr>
                <w:rFonts w:ascii="仿宋_GB2312" w:eastAsia="仿宋_GB2312"/>
                <w:sz w:val="32"/>
                <w:szCs w:val="32"/>
              </w:rPr>
            </w:pPr>
          </w:p>
        </w:tc>
        <w:tc>
          <w:tcPr>
            <w:tcW w:w="7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黑体" w:eastAsia="黑体" w:hAnsi="黑体" w:cs="黑体"/>
                <w:sz w:val="24"/>
                <w:szCs w:val="24"/>
              </w:rPr>
            </w:pPr>
            <w:r>
              <w:rPr>
                <w:rFonts w:ascii="黑体" w:eastAsia="黑体" w:hAnsi="黑体" w:cs="黑体" w:hint="eastAsia"/>
                <w:sz w:val="24"/>
                <w:szCs w:val="24"/>
              </w:rPr>
              <w:t>母</w:t>
            </w:r>
          </w:p>
        </w:tc>
        <w:tc>
          <w:tcPr>
            <w:tcW w:w="872"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63</w:t>
            </w:r>
          </w:p>
        </w:tc>
        <w:tc>
          <w:tcPr>
            <w:tcW w:w="1329"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134.8±3.1</w:t>
            </w:r>
          </w:p>
        </w:tc>
        <w:tc>
          <w:tcPr>
            <w:tcW w:w="145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171.6±4.2</w:t>
            </w:r>
          </w:p>
        </w:tc>
        <w:tc>
          <w:tcPr>
            <w:tcW w:w="1405"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194.6±7.5</w:t>
            </w:r>
          </w:p>
        </w:tc>
        <w:tc>
          <w:tcPr>
            <w:tcW w:w="1230" w:type="dxa"/>
            <w:tcBorders>
              <w:top w:val="single" w:sz="12" w:space="0" w:color="auto"/>
              <w:left w:val="single" w:sz="12" w:space="0" w:color="auto"/>
              <w:bottom w:val="single" w:sz="12" w:space="0" w:color="auto"/>
              <w:right w:val="single" w:sz="12" w:space="0" w:color="auto"/>
            </w:tcBorders>
          </w:tcPr>
          <w:p w:rsidR="00182D48" w:rsidRDefault="00877150">
            <w:pPr>
              <w:pStyle w:val="a7"/>
              <w:tabs>
                <w:tab w:val="left" w:pos="2074"/>
                <w:tab w:val="left" w:pos="3583"/>
              </w:tabs>
              <w:ind w:firstLineChars="0" w:firstLine="0"/>
              <w:jc w:val="center"/>
              <w:rPr>
                <w:rFonts w:ascii="Times New Roman" w:eastAsia="黑体" w:hAnsi="Times New Roman" w:cs="Times New Roman"/>
                <w:sz w:val="24"/>
                <w:szCs w:val="24"/>
              </w:rPr>
            </w:pPr>
            <w:r>
              <w:rPr>
                <w:rFonts w:ascii="Times New Roman" w:eastAsia="黑体" w:hAnsi="Times New Roman" w:cs="Times New Roman"/>
                <w:sz w:val="24"/>
                <w:szCs w:val="24"/>
              </w:rPr>
              <w:t>20.3±1.4</w:t>
            </w:r>
          </w:p>
        </w:tc>
      </w:tr>
    </w:tbl>
    <w:p w:rsidR="00182D48" w:rsidRDefault="00877150">
      <w:pPr>
        <w:tabs>
          <w:tab w:val="left" w:pos="2074"/>
          <w:tab w:val="left" w:pos="3583"/>
        </w:tabs>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表2.科尔沁肉牛体尺测定表    单位：厘米</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5.综合评定</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lastRenderedPageBreak/>
        <w:t>本品种综合评定方法是对体重、外貌限定一个最低标准后，以产肉性能为主进行综合评定。</w:t>
      </w:r>
    </w:p>
    <w:p w:rsidR="00182D48" w:rsidRDefault="00877150">
      <w:pPr>
        <w:tabs>
          <w:tab w:val="left" w:pos="2074"/>
          <w:tab w:val="left" w:pos="3583"/>
        </w:tabs>
        <w:ind w:firstLineChars="800" w:firstLine="25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表3母牛综合等级评定</w:t>
      </w:r>
    </w:p>
    <w:tbl>
      <w:tblPr>
        <w:tblStyle w:val="a6"/>
        <w:tblW w:w="8613" w:type="dxa"/>
        <w:tblLayout w:type="fixed"/>
        <w:tblLook w:val="04A0"/>
      </w:tblPr>
      <w:tblGrid>
        <w:gridCol w:w="1860"/>
        <w:gridCol w:w="2217"/>
        <w:gridCol w:w="2268"/>
        <w:gridCol w:w="2268"/>
      </w:tblGrid>
      <w:tr w:rsidR="00182D48">
        <w:tc>
          <w:tcPr>
            <w:tcW w:w="1860"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体重</w:t>
            </w:r>
          </w:p>
        </w:tc>
        <w:tc>
          <w:tcPr>
            <w:tcW w:w="2217"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外貌</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产肉性能</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综合等级评定</w:t>
            </w:r>
          </w:p>
        </w:tc>
      </w:tr>
      <w:tr w:rsidR="00182D48">
        <w:tc>
          <w:tcPr>
            <w:tcW w:w="1860"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一级或特级</w:t>
            </w:r>
          </w:p>
        </w:tc>
        <w:tc>
          <w:tcPr>
            <w:tcW w:w="2217"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一级或特级</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二级以上</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特级</w:t>
            </w:r>
          </w:p>
        </w:tc>
      </w:tr>
      <w:tr w:rsidR="00182D48">
        <w:tc>
          <w:tcPr>
            <w:tcW w:w="1860"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一级或特级</w:t>
            </w:r>
          </w:p>
        </w:tc>
        <w:tc>
          <w:tcPr>
            <w:tcW w:w="2217"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二级以上</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二级以上</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一级</w:t>
            </w:r>
          </w:p>
        </w:tc>
      </w:tr>
      <w:tr w:rsidR="00182D48">
        <w:tc>
          <w:tcPr>
            <w:tcW w:w="1860"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二级以上</w:t>
            </w:r>
          </w:p>
        </w:tc>
        <w:tc>
          <w:tcPr>
            <w:tcW w:w="2217"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二级以上</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二级以上</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w:t>
            </w:r>
          </w:p>
        </w:tc>
      </w:tr>
      <w:tr w:rsidR="00182D48">
        <w:tc>
          <w:tcPr>
            <w:tcW w:w="1860"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二级或等外</w:t>
            </w:r>
          </w:p>
        </w:tc>
        <w:tc>
          <w:tcPr>
            <w:tcW w:w="2217"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二级或等外</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二级以下</w:t>
            </w:r>
          </w:p>
        </w:tc>
        <w:tc>
          <w:tcPr>
            <w:tcW w:w="2268" w:type="dxa"/>
            <w:tcBorders>
              <w:top w:val="single" w:sz="12" w:space="0" w:color="auto"/>
              <w:left w:val="single" w:sz="12" w:space="0" w:color="auto"/>
              <w:bottom w:val="single" w:sz="12" w:space="0" w:color="auto"/>
              <w:right w:val="single" w:sz="12" w:space="0" w:color="auto"/>
            </w:tcBorders>
          </w:tcPr>
          <w:p w:rsidR="00182D48" w:rsidRDefault="00877150">
            <w:pPr>
              <w:tabs>
                <w:tab w:val="left" w:pos="2074"/>
                <w:tab w:val="left" w:pos="3583"/>
              </w:tabs>
              <w:jc w:val="center"/>
              <w:rPr>
                <w:rFonts w:ascii="仿宋_GB2312" w:eastAsia="仿宋_GB2312"/>
                <w:sz w:val="32"/>
                <w:szCs w:val="32"/>
              </w:rPr>
            </w:pPr>
            <w:r>
              <w:rPr>
                <w:rFonts w:ascii="仿宋_GB2312" w:eastAsia="仿宋_GB2312" w:hint="eastAsia"/>
                <w:sz w:val="32"/>
                <w:szCs w:val="32"/>
              </w:rPr>
              <w:t>等外</w:t>
            </w:r>
          </w:p>
        </w:tc>
      </w:tr>
    </w:tbl>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种公牛的综合评定以后裔测定的结果为准。</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犊牛不做综合评定，只注明体重和外貌等级。</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（六）良种登记</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凡符合下列条件的个体牛均可列入良种登记：</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1.凡纯种或级近改良二代以上的杂种母牛，综合评定等级为一级或一级以上者。</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2.凡体重及其母亲体重为特级，外貌为一级以上的公牛，繁殖、生理无缺陷者。</w:t>
      </w:r>
    </w:p>
    <w:p w:rsidR="00182D48" w:rsidRDefault="00877150">
      <w:pPr>
        <w:pStyle w:val="a7"/>
        <w:tabs>
          <w:tab w:val="left" w:pos="2074"/>
          <w:tab w:val="left" w:pos="3583"/>
        </w:tabs>
        <w:ind w:firstLine="643"/>
        <w:rPr>
          <w:rFonts w:ascii="仿宋" w:eastAsia="仿宋" w:hAnsi="仿宋" w:cs="仿宋"/>
          <w:b/>
          <w:sz w:val="32"/>
          <w:szCs w:val="32"/>
        </w:rPr>
      </w:pPr>
      <w:r>
        <w:rPr>
          <w:rFonts w:ascii="仿宋" w:eastAsia="仿宋" w:hAnsi="仿宋" w:cs="仿宋" w:hint="eastAsia"/>
          <w:b/>
          <w:sz w:val="32"/>
          <w:szCs w:val="32"/>
        </w:rPr>
        <w:t>五、标准制定的要求、适用范围及主要内容</w:t>
      </w:r>
    </w:p>
    <w:p w:rsidR="00182D48" w:rsidRDefault="00877150">
      <w:pPr>
        <w:pStyle w:val="a7"/>
        <w:tabs>
          <w:tab w:val="left" w:pos="2074"/>
          <w:tab w:val="left" w:pos="3583"/>
        </w:tabs>
        <w:ind w:firstLine="643"/>
        <w:rPr>
          <w:rFonts w:ascii="仿宋_GB2312" w:eastAsia="仿宋_GB2312"/>
          <w:sz w:val="32"/>
          <w:szCs w:val="32"/>
        </w:rPr>
      </w:pPr>
      <w:r>
        <w:rPr>
          <w:rFonts w:ascii="仿宋_GB2312" w:eastAsia="仿宋_GB2312" w:hint="eastAsia"/>
          <w:b/>
          <w:bCs/>
          <w:sz w:val="32"/>
          <w:szCs w:val="32"/>
        </w:rPr>
        <w:t>（一）要求及适用范围</w:t>
      </w:r>
    </w:p>
    <w:p w:rsidR="00182D48" w:rsidRDefault="00877150">
      <w:pPr>
        <w:pStyle w:val="a7"/>
        <w:tabs>
          <w:tab w:val="left" w:pos="2074"/>
          <w:tab w:val="left" w:pos="3583"/>
        </w:tabs>
        <w:ind w:left="720" w:firstLineChars="0" w:firstLine="0"/>
        <w:rPr>
          <w:rFonts w:ascii="仿宋_GB2312" w:eastAsia="仿宋_GB2312"/>
          <w:sz w:val="32"/>
          <w:szCs w:val="32"/>
        </w:rPr>
      </w:pPr>
      <w:r>
        <w:rPr>
          <w:rFonts w:ascii="仿宋_GB2312" w:eastAsia="仿宋_GB2312" w:hint="eastAsia"/>
          <w:sz w:val="32"/>
          <w:szCs w:val="32"/>
        </w:rPr>
        <w:t>1.本标准规定了科尔沁肉牛的品种特征。生产性能、等级标准及良种登记的基本要求。</w:t>
      </w:r>
    </w:p>
    <w:p w:rsidR="00182D48" w:rsidRDefault="00877150">
      <w:pPr>
        <w:pStyle w:val="a7"/>
        <w:tabs>
          <w:tab w:val="left" w:pos="2074"/>
          <w:tab w:val="left" w:pos="3583"/>
        </w:tabs>
        <w:ind w:left="720" w:firstLineChars="0" w:firstLine="0"/>
        <w:rPr>
          <w:rFonts w:ascii="仿宋_GB2312" w:eastAsia="仿宋_GB2312"/>
          <w:sz w:val="32"/>
          <w:szCs w:val="32"/>
        </w:rPr>
      </w:pPr>
      <w:r>
        <w:rPr>
          <w:rFonts w:ascii="仿宋_GB2312" w:eastAsia="仿宋_GB2312" w:hint="eastAsia"/>
          <w:sz w:val="32"/>
          <w:szCs w:val="32"/>
        </w:rPr>
        <w:t>2.本标准适用于科尔沁肉牛的品种鉴定、等级评定及良种登记。</w:t>
      </w:r>
    </w:p>
    <w:p w:rsidR="00182D48" w:rsidRDefault="00877150" w:rsidP="00C03286">
      <w:pPr>
        <w:tabs>
          <w:tab w:val="left" w:pos="2074"/>
          <w:tab w:val="left" w:pos="3583"/>
        </w:tabs>
        <w:ind w:leftChars="200" w:left="420"/>
        <w:rPr>
          <w:rFonts w:ascii="仿宋_GB2312" w:eastAsia="仿宋_GB2312"/>
          <w:b/>
          <w:bCs/>
          <w:sz w:val="32"/>
          <w:szCs w:val="32"/>
        </w:rPr>
      </w:pPr>
      <w:r>
        <w:rPr>
          <w:rFonts w:ascii="仿宋_GB2312" w:eastAsia="仿宋_GB2312" w:hint="eastAsia"/>
          <w:b/>
          <w:bCs/>
          <w:sz w:val="32"/>
          <w:szCs w:val="32"/>
        </w:rPr>
        <w:lastRenderedPageBreak/>
        <w:t>（二）标准制定的主要内容</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1.范围；</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2.规范性引用文件；</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3.科尔沁肉牛生产性能；</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4.科尔沁肉牛品种特征；</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5.科尔沁肉牛等级评定；</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（1）科尔沁肉牛体重评定标准；</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（2）科尔沁肉牛外貌评定标准；</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（3）科尔沁肉牛谱系评定标准；</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（4）科尔沁肉牛综合评定标准。</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6.科尔沁肉牛良种登记标准；</w:t>
      </w:r>
    </w:p>
    <w:p w:rsidR="00182D48" w:rsidRDefault="00877150">
      <w:pPr>
        <w:pStyle w:val="a7"/>
        <w:tabs>
          <w:tab w:val="left" w:pos="2074"/>
          <w:tab w:val="left" w:pos="3583"/>
        </w:tabs>
        <w:ind w:firstLine="643"/>
        <w:rPr>
          <w:rFonts w:ascii="仿宋" w:eastAsia="仿宋" w:hAnsi="仿宋" w:cs="仿宋"/>
          <w:b/>
          <w:sz w:val="32"/>
          <w:szCs w:val="32"/>
        </w:rPr>
      </w:pPr>
      <w:r>
        <w:rPr>
          <w:rFonts w:ascii="仿宋" w:eastAsia="仿宋" w:hAnsi="仿宋" w:cs="仿宋" w:hint="eastAsia"/>
          <w:b/>
          <w:sz w:val="32"/>
          <w:szCs w:val="32"/>
        </w:rPr>
        <w:t>六、标准作为强制性或推荐性意见</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本标准是对科尔沁肉牛的品种特征、生产性能、等级评定及良种登记的基本要求规定，用于指导和规范科尔沁肉牛的品种鉴别、等级评定及良种登记，针对科尔沁肉牛育种核心群、育种项目区作为强制性标准执行，对于养殖户、养牛合作社作为推荐性标准，不要求强制性执行。</w:t>
      </w:r>
    </w:p>
    <w:p w:rsidR="00182D48" w:rsidRDefault="00877150">
      <w:pPr>
        <w:pStyle w:val="a7"/>
        <w:tabs>
          <w:tab w:val="left" w:pos="2074"/>
          <w:tab w:val="left" w:pos="3583"/>
        </w:tabs>
        <w:ind w:firstLine="643"/>
        <w:rPr>
          <w:rFonts w:ascii="黑体" w:eastAsia="黑体" w:hAnsi="黑体" w:cs="黑体"/>
          <w:bCs/>
          <w:sz w:val="32"/>
          <w:szCs w:val="32"/>
        </w:rPr>
      </w:pPr>
      <w:r>
        <w:rPr>
          <w:rFonts w:ascii="仿宋" w:eastAsia="仿宋" w:hAnsi="仿宋" w:cs="仿宋" w:hint="eastAsia"/>
          <w:b/>
          <w:sz w:val="32"/>
          <w:szCs w:val="32"/>
        </w:rPr>
        <w:t>七、品准标准实施措施及建议</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1.以标准为指导，积极开展群体选育工作，科学的、有目的、有计划地对科尔沁肉牛进行选择培育，及时淘汰劣质不符合种用标准的科尔沁肉牛，提高牛群群体质量。</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2.加大宣传和技术培训力度，</w:t>
      </w:r>
      <w:r>
        <w:rPr>
          <w:rFonts w:ascii="仿宋_GB2312" w:eastAsia="仿宋_GB2312" w:hint="eastAsia"/>
          <w:sz w:val="32"/>
          <w:szCs w:val="32"/>
          <w:shd w:val="clear" w:color="auto" w:fill="FFFFFF"/>
        </w:rPr>
        <w:t>建立主要品种核心母牛</w:t>
      </w:r>
      <w:r>
        <w:rPr>
          <w:rFonts w:ascii="仿宋_GB2312" w:eastAsia="仿宋_GB2312" w:hint="eastAsia"/>
          <w:sz w:val="32"/>
          <w:szCs w:val="32"/>
          <w:shd w:val="clear" w:color="auto" w:fill="FFFFFF"/>
        </w:rPr>
        <w:lastRenderedPageBreak/>
        <w:t>场，提高种公牛站制种和推广良种的能力。</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shd w:val="clear" w:color="auto" w:fill="FFFFFF"/>
        </w:rPr>
        <w:t>3.健全基层人工授精服务网络，各级推广部门</w:t>
      </w:r>
      <w:r>
        <w:rPr>
          <w:rFonts w:ascii="仿宋_GB2312" w:eastAsia="仿宋_GB2312" w:hint="eastAsia"/>
          <w:sz w:val="32"/>
          <w:szCs w:val="32"/>
        </w:rPr>
        <w:t>要进一步贴近生产、了解群众，依托专家资源丰富、业务平台广泛的优势</w:t>
      </w:r>
      <w:r>
        <w:rPr>
          <w:rFonts w:ascii="仿宋_GB2312" w:eastAsia="仿宋_GB2312" w:hint="eastAsia"/>
          <w:sz w:val="32"/>
          <w:szCs w:val="32"/>
          <w:shd w:val="clear" w:color="auto" w:fill="FFFFFF"/>
        </w:rPr>
        <w:t>有计划地组织良种推广工作。</w:t>
      </w:r>
    </w:p>
    <w:p w:rsidR="00182D48" w:rsidRDefault="00877150">
      <w:pPr>
        <w:pStyle w:val="a7"/>
        <w:tabs>
          <w:tab w:val="left" w:pos="2074"/>
          <w:tab w:val="left" w:pos="3583"/>
        </w:tabs>
        <w:ind w:firstLine="640"/>
        <w:rPr>
          <w:rFonts w:ascii="仿宋_GB2312" w:eastAsia="仿宋_GB2312"/>
          <w:sz w:val="32"/>
          <w:szCs w:val="32"/>
        </w:rPr>
      </w:pPr>
      <w:r>
        <w:rPr>
          <w:rFonts w:ascii="仿宋_GB2312" w:eastAsia="仿宋_GB2312" w:hint="eastAsia"/>
          <w:sz w:val="32"/>
          <w:szCs w:val="32"/>
        </w:rPr>
        <w:t>4.通过对基层牛改良技术人员的培训，提高实施科尔沁肉牛品种标准的技术水平和管理水平，为完成标准实施奠定基础。</w:t>
      </w:r>
    </w:p>
    <w:p w:rsidR="00182D48" w:rsidRDefault="00877150">
      <w:pPr>
        <w:tabs>
          <w:tab w:val="left" w:pos="2074"/>
          <w:tab w:val="left" w:pos="3583"/>
        </w:tabs>
        <w:ind w:firstLineChars="200" w:firstLine="640"/>
        <w:rPr>
          <w:rFonts w:ascii="仿宋_GB2312" w:eastAsia="仿宋_GB2312"/>
          <w:sz w:val="32"/>
          <w:szCs w:val="32"/>
        </w:rPr>
      </w:pPr>
      <w:r>
        <w:rPr>
          <w:rFonts w:ascii="仿宋_GB2312" w:eastAsia="仿宋_GB2312" w:hint="eastAsia"/>
          <w:sz w:val="32"/>
          <w:szCs w:val="32"/>
        </w:rPr>
        <w:t>5.建立信息反馈渠道，标准实施后，应建立通畅的信息反馈渠道和反馈机制，以有效解决标准实施以及标准技术内容中存在的问题。</w:t>
      </w:r>
    </w:p>
    <w:p w:rsidR="00182D48" w:rsidRDefault="00877150" w:rsidP="009B48F2">
      <w:pPr>
        <w:spacing w:afterLines="100" w:line="600" w:lineRule="exact"/>
        <w:ind w:firstLineChars="200" w:firstLine="643"/>
        <w:jc w:val="left"/>
        <w:rPr>
          <w:rFonts w:ascii="仿宋" w:eastAsia="仿宋" w:hAnsi="仿宋" w:cs="仿宋"/>
          <w:b/>
          <w:sz w:val="32"/>
          <w:szCs w:val="32"/>
        </w:rPr>
      </w:pPr>
      <w:r>
        <w:rPr>
          <w:rFonts w:ascii="仿宋" w:eastAsia="仿宋" w:hAnsi="仿宋" w:cs="仿宋" w:hint="eastAsia"/>
          <w:b/>
          <w:sz w:val="32"/>
          <w:szCs w:val="32"/>
        </w:rPr>
        <w:t>八、标准草稿征求意见情况汇总表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268"/>
        <w:gridCol w:w="2126"/>
        <w:gridCol w:w="993"/>
        <w:gridCol w:w="2318"/>
      </w:tblGrid>
      <w:tr w:rsidR="00182D48">
        <w:tc>
          <w:tcPr>
            <w:tcW w:w="817" w:type="dxa"/>
            <w:noWrap/>
          </w:tcPr>
          <w:p w:rsidR="00182D48" w:rsidRDefault="00877150">
            <w:pPr>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序号</w:t>
            </w:r>
          </w:p>
        </w:tc>
        <w:tc>
          <w:tcPr>
            <w:tcW w:w="2268" w:type="dxa"/>
            <w:noWrap/>
          </w:tcPr>
          <w:p w:rsidR="00182D48" w:rsidRDefault="00877150">
            <w:pPr>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意见</w:t>
            </w:r>
          </w:p>
        </w:tc>
        <w:tc>
          <w:tcPr>
            <w:tcW w:w="2126" w:type="dxa"/>
            <w:noWrap/>
          </w:tcPr>
          <w:p w:rsidR="00182D48" w:rsidRDefault="00877150">
            <w:pPr>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提出单位/专家</w:t>
            </w:r>
          </w:p>
        </w:tc>
        <w:tc>
          <w:tcPr>
            <w:tcW w:w="993" w:type="dxa"/>
            <w:noWrap/>
          </w:tcPr>
          <w:p w:rsidR="00182D48" w:rsidRDefault="00877150">
            <w:pPr>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877150">
            <w:pPr>
              <w:spacing w:line="36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不采纳（原因）</w:t>
            </w: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1</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标准格式、5.3、5.4重量和时间表达方法</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内蒙古农牧业科学院/羿静</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2</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5.3、5.4重量和时间表达方法</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内蒙古农牧业科学院/胡月</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3</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5、6的表达层次</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内蒙古民族大学/王思珍</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4</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9.2表达</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蒙古民族大学/贾振伟</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5的表达层</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蒙古民族大学/魏曼琳</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6</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附录的表达</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蒙古民族大学/生化欣</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r w:rsidR="00182D48">
        <w:tc>
          <w:tcPr>
            <w:tcW w:w="817"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7</w:t>
            </w:r>
          </w:p>
        </w:tc>
        <w:tc>
          <w:tcPr>
            <w:tcW w:w="2268"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1.范围表达</w:t>
            </w:r>
          </w:p>
        </w:tc>
        <w:tc>
          <w:tcPr>
            <w:tcW w:w="2126"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通辽市农牧局/邵志文</w:t>
            </w:r>
          </w:p>
        </w:tc>
        <w:tc>
          <w:tcPr>
            <w:tcW w:w="993" w:type="dxa"/>
            <w:noWrap/>
          </w:tcPr>
          <w:p w:rsidR="00182D48" w:rsidRDefault="00877150">
            <w:pPr>
              <w:spacing w:line="36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采纳</w:t>
            </w:r>
          </w:p>
        </w:tc>
        <w:tc>
          <w:tcPr>
            <w:tcW w:w="2318" w:type="dxa"/>
            <w:noWrap/>
          </w:tcPr>
          <w:p w:rsidR="00182D48" w:rsidRDefault="00182D48">
            <w:pPr>
              <w:spacing w:line="360" w:lineRule="exact"/>
              <w:jc w:val="left"/>
              <w:rPr>
                <w:rFonts w:ascii="仿宋_GB2312" w:eastAsia="仿宋_GB2312" w:hAnsi="仿宋_GB2312" w:cs="仿宋_GB2312"/>
                <w:sz w:val="28"/>
                <w:szCs w:val="28"/>
              </w:rPr>
            </w:pPr>
          </w:p>
        </w:tc>
      </w:tr>
    </w:tbl>
    <w:p w:rsidR="00182D48" w:rsidRDefault="00182D48">
      <w:pPr>
        <w:tabs>
          <w:tab w:val="left" w:pos="2074"/>
          <w:tab w:val="left" w:pos="3583"/>
        </w:tabs>
        <w:ind w:firstLineChars="200" w:firstLine="640"/>
        <w:rPr>
          <w:rFonts w:ascii="仿宋_GB2312" w:eastAsia="仿宋_GB2312"/>
          <w:sz w:val="32"/>
          <w:szCs w:val="32"/>
        </w:rPr>
      </w:pPr>
    </w:p>
    <w:sectPr w:rsidR="00182D48" w:rsidSect="00182D48">
      <w:footerReference w:type="default" r:id="rId10"/>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Windows 用户" w:date="2020-04-16T16:51:00Z" w:initials="W用">
    <w:p w:rsidR="004E24B7" w:rsidRDefault="004E24B7">
      <w:pPr>
        <w:pStyle w:val="a3"/>
      </w:pPr>
      <w:r>
        <w:rPr>
          <w:rStyle w:val="a8"/>
        </w:rPr>
        <w:annotationRef/>
      </w:r>
      <w:r>
        <w:t>原立项名称为</w:t>
      </w:r>
      <w:r w:rsidR="00A83166">
        <w:rPr>
          <w:rFonts w:hint="eastAsia"/>
        </w:rPr>
        <w:t>《科尔沁肉牛</w:t>
      </w:r>
      <w:r>
        <w:rPr>
          <w:rFonts w:hint="eastAsia"/>
        </w:rPr>
        <w:t>》</w:t>
      </w:r>
    </w:p>
  </w:comment>
  <w:comment w:id="1" w:author="Windows 用户" w:date="2020-04-17T10:06:00Z" w:initials="W用">
    <w:p w:rsidR="00B40367" w:rsidRDefault="00B40367">
      <w:pPr>
        <w:pStyle w:val="a3"/>
      </w:pPr>
      <w:r>
        <w:rPr>
          <w:rStyle w:val="a8"/>
        </w:rPr>
        <w:annotationRef/>
      </w:r>
      <w:r>
        <w:t>缺少起草单位</w:t>
      </w:r>
      <w:r>
        <w:rPr>
          <w:rFonts w:hint="eastAsia"/>
        </w:rPr>
        <w:t>、</w:t>
      </w:r>
      <w:r>
        <w:t>起草人</w:t>
      </w:r>
      <w:r w:rsidR="009B48F2">
        <w:rPr>
          <w:rFonts w:hint="eastAsia"/>
        </w:rPr>
        <w:t>、缺少主要条款说明、缺少</w:t>
      </w:r>
      <w:r w:rsidR="009B48F2" w:rsidRPr="009B48F2">
        <w:rPr>
          <w:rFonts w:hint="eastAsia"/>
        </w:rPr>
        <w:t>重大意见分歧的处理依据和结果</w:t>
      </w:r>
      <w:r w:rsidR="009B48F2">
        <w:rPr>
          <w:rFonts w:hint="eastAsia"/>
        </w:rPr>
        <w:t>。</w:t>
      </w:r>
    </w:p>
  </w:comment>
  <w:comment w:id="2" w:author="Windows 用户" w:date="2020-04-13T17:21:00Z" w:initials="W用">
    <w:p w:rsidR="00262013" w:rsidRDefault="00262013">
      <w:pPr>
        <w:pStyle w:val="a3"/>
      </w:pPr>
      <w:r>
        <w:rPr>
          <w:rStyle w:val="a8"/>
        </w:rPr>
        <w:annotationRef/>
      </w:r>
      <w:r>
        <w:t>正确标准名称为</w:t>
      </w:r>
      <w:r>
        <w:rPr>
          <w:rFonts w:hint="eastAsia"/>
        </w:rPr>
        <w:t>：</w:t>
      </w:r>
      <w:r>
        <w:t>科尔沁肉牛</w:t>
      </w:r>
      <w:r>
        <w:rPr>
          <w:rFonts w:hint="eastAsia"/>
        </w:rP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661" w:rsidRDefault="00B94661" w:rsidP="00182D48">
      <w:r>
        <w:separator/>
      </w:r>
    </w:p>
  </w:endnote>
  <w:endnote w:type="continuationSeparator" w:id="1">
    <w:p w:rsidR="00B94661" w:rsidRDefault="00B94661" w:rsidP="00182D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D48" w:rsidRDefault="00EC2F52">
    <w:pPr>
      <w:pStyle w:val="a4"/>
    </w:pPr>
    <w:r>
      <w:pict>
        <v:shapetype id="_x0000_t202" coordsize="21600,21600" o:spt="202" path="m,l,21600r21600,l21600,xe">
          <v:stroke joinstyle="miter"/>
          <v:path gradientshapeok="t" o:connecttype="rect"/>
        </v:shapetype>
        <v:shape id="_x0000_s4097" type="#_x0000_t202" style="position:absolute;margin-left:520pt;margin-top:0;width:2in;height:2in;z-index:251658240;mso-wrap-style:none;mso-position-horizontal:right;mso-position-horizontal-relative:margin" filled="f" stroked="f">
          <v:textbox style="mso-fit-shape-to-text:t" inset="0,0,0,0">
            <w:txbxContent>
              <w:p w:rsidR="00182D48" w:rsidRDefault="00EC2F52">
                <w:pPr>
                  <w:pStyle w:val="a4"/>
                </w:pPr>
                <w:r>
                  <w:rPr>
                    <w:rFonts w:hint="eastAsia"/>
                  </w:rPr>
                  <w:fldChar w:fldCharType="begin"/>
                </w:r>
                <w:r w:rsidR="00877150">
                  <w:rPr>
                    <w:rFonts w:hint="eastAsia"/>
                  </w:rPr>
                  <w:instrText xml:space="preserve"> PAGE  \* MERGEFORMAT </w:instrText>
                </w:r>
                <w:r>
                  <w:rPr>
                    <w:rFonts w:hint="eastAsia"/>
                  </w:rPr>
                  <w:fldChar w:fldCharType="separate"/>
                </w:r>
                <w:r w:rsidR="009B48F2">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661" w:rsidRDefault="00B94661" w:rsidP="00182D48">
      <w:r>
        <w:separator/>
      </w:r>
    </w:p>
  </w:footnote>
  <w:footnote w:type="continuationSeparator" w:id="1">
    <w:p w:rsidR="00B94661" w:rsidRDefault="00B94661" w:rsidP="00182D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098FE9C"/>
    <w:multiLevelType w:val="singleLevel"/>
    <w:tmpl w:val="E098FE9C"/>
    <w:lvl w:ilvl="0">
      <w:start w:val="3"/>
      <w:numFmt w:val="chineseCounting"/>
      <w:suff w:val="nothing"/>
      <w:lvlText w:val="%1、"/>
      <w:lvlJc w:val="left"/>
      <w:rPr>
        <w:rFonts w:hint="eastAsia"/>
      </w:rPr>
    </w:lvl>
  </w:abstractNum>
  <w:abstractNum w:abstractNumId="1">
    <w:nsid w:val="6EEB68C7"/>
    <w:multiLevelType w:val="singleLevel"/>
    <w:tmpl w:val="6EEB68C7"/>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4338"/>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00DB4"/>
    <w:rsid w:val="00054504"/>
    <w:rsid w:val="000706A9"/>
    <w:rsid w:val="00080D25"/>
    <w:rsid w:val="000B3D6E"/>
    <w:rsid w:val="001018E0"/>
    <w:rsid w:val="00115B5D"/>
    <w:rsid w:val="00182D48"/>
    <w:rsid w:val="00262013"/>
    <w:rsid w:val="002D740B"/>
    <w:rsid w:val="003068A1"/>
    <w:rsid w:val="00332B72"/>
    <w:rsid w:val="0038612B"/>
    <w:rsid w:val="003B0A3C"/>
    <w:rsid w:val="003F0D8B"/>
    <w:rsid w:val="00420D45"/>
    <w:rsid w:val="004B6215"/>
    <w:rsid w:val="004E24B7"/>
    <w:rsid w:val="004F749A"/>
    <w:rsid w:val="00581FC6"/>
    <w:rsid w:val="005B6653"/>
    <w:rsid w:val="006B35D2"/>
    <w:rsid w:val="00700DB4"/>
    <w:rsid w:val="007C1880"/>
    <w:rsid w:val="00877150"/>
    <w:rsid w:val="00891D6D"/>
    <w:rsid w:val="00894D67"/>
    <w:rsid w:val="008F7397"/>
    <w:rsid w:val="009521CB"/>
    <w:rsid w:val="009633A3"/>
    <w:rsid w:val="00970937"/>
    <w:rsid w:val="009B48F2"/>
    <w:rsid w:val="00A83166"/>
    <w:rsid w:val="00A86287"/>
    <w:rsid w:val="00AA143B"/>
    <w:rsid w:val="00AB4077"/>
    <w:rsid w:val="00B40367"/>
    <w:rsid w:val="00B40C14"/>
    <w:rsid w:val="00B72A51"/>
    <w:rsid w:val="00B94661"/>
    <w:rsid w:val="00C03286"/>
    <w:rsid w:val="00CC0300"/>
    <w:rsid w:val="00EC2F52"/>
    <w:rsid w:val="00ED7C10"/>
    <w:rsid w:val="00F12D8F"/>
    <w:rsid w:val="00F26EC8"/>
    <w:rsid w:val="00FA175D"/>
    <w:rsid w:val="00FD1422"/>
    <w:rsid w:val="011B129F"/>
    <w:rsid w:val="01364E43"/>
    <w:rsid w:val="01AF0059"/>
    <w:rsid w:val="01CA4727"/>
    <w:rsid w:val="03D022B4"/>
    <w:rsid w:val="043176E7"/>
    <w:rsid w:val="04FD1BC9"/>
    <w:rsid w:val="05052D7B"/>
    <w:rsid w:val="06361EF3"/>
    <w:rsid w:val="06671908"/>
    <w:rsid w:val="06761165"/>
    <w:rsid w:val="06780273"/>
    <w:rsid w:val="06BF1BE6"/>
    <w:rsid w:val="07786B14"/>
    <w:rsid w:val="07BB76E3"/>
    <w:rsid w:val="0A1317F9"/>
    <w:rsid w:val="0A9E6DEB"/>
    <w:rsid w:val="0AED38EF"/>
    <w:rsid w:val="0B447519"/>
    <w:rsid w:val="0B734DB5"/>
    <w:rsid w:val="0BF32B51"/>
    <w:rsid w:val="0C9417F8"/>
    <w:rsid w:val="0D7C0D33"/>
    <w:rsid w:val="0DB561A1"/>
    <w:rsid w:val="0E5E6DB1"/>
    <w:rsid w:val="0EBA7A40"/>
    <w:rsid w:val="0EC042C5"/>
    <w:rsid w:val="0EF11BD1"/>
    <w:rsid w:val="11874021"/>
    <w:rsid w:val="126D38A7"/>
    <w:rsid w:val="13F10320"/>
    <w:rsid w:val="146D2043"/>
    <w:rsid w:val="16C21E83"/>
    <w:rsid w:val="178C6E85"/>
    <w:rsid w:val="1873008C"/>
    <w:rsid w:val="1A0635B7"/>
    <w:rsid w:val="1CA056FC"/>
    <w:rsid w:val="1D1F6CAD"/>
    <w:rsid w:val="1D5134A9"/>
    <w:rsid w:val="1E455BAC"/>
    <w:rsid w:val="201763E5"/>
    <w:rsid w:val="204F6AA6"/>
    <w:rsid w:val="20C42FC4"/>
    <w:rsid w:val="20E965E7"/>
    <w:rsid w:val="212E5C83"/>
    <w:rsid w:val="218A75BA"/>
    <w:rsid w:val="221437E8"/>
    <w:rsid w:val="22240751"/>
    <w:rsid w:val="232906EF"/>
    <w:rsid w:val="245D5F0B"/>
    <w:rsid w:val="261F4F1B"/>
    <w:rsid w:val="266B00D1"/>
    <w:rsid w:val="272F7070"/>
    <w:rsid w:val="28E6503A"/>
    <w:rsid w:val="291C41CE"/>
    <w:rsid w:val="2BDE4685"/>
    <w:rsid w:val="2C342B73"/>
    <w:rsid w:val="2E014DCD"/>
    <w:rsid w:val="2E7B19EB"/>
    <w:rsid w:val="31085599"/>
    <w:rsid w:val="32E003B1"/>
    <w:rsid w:val="32F9690D"/>
    <w:rsid w:val="33A3736B"/>
    <w:rsid w:val="33CB344F"/>
    <w:rsid w:val="349D224F"/>
    <w:rsid w:val="357E144B"/>
    <w:rsid w:val="35BD39BC"/>
    <w:rsid w:val="36B80B16"/>
    <w:rsid w:val="37223561"/>
    <w:rsid w:val="375A1E79"/>
    <w:rsid w:val="38994447"/>
    <w:rsid w:val="38C868E2"/>
    <w:rsid w:val="38DB4F8F"/>
    <w:rsid w:val="3A6771B3"/>
    <w:rsid w:val="3CE45A23"/>
    <w:rsid w:val="3DAF2222"/>
    <w:rsid w:val="3DB61C83"/>
    <w:rsid w:val="3F976240"/>
    <w:rsid w:val="4114722F"/>
    <w:rsid w:val="41770531"/>
    <w:rsid w:val="42201BE2"/>
    <w:rsid w:val="42F96D40"/>
    <w:rsid w:val="43C33304"/>
    <w:rsid w:val="43C40196"/>
    <w:rsid w:val="447E1DF5"/>
    <w:rsid w:val="44A36072"/>
    <w:rsid w:val="44CB271C"/>
    <w:rsid w:val="468C67ED"/>
    <w:rsid w:val="4719551D"/>
    <w:rsid w:val="4754372B"/>
    <w:rsid w:val="47A67755"/>
    <w:rsid w:val="48353991"/>
    <w:rsid w:val="48FF13ED"/>
    <w:rsid w:val="49E7316E"/>
    <w:rsid w:val="4A8857AE"/>
    <w:rsid w:val="4B0F3601"/>
    <w:rsid w:val="4B18672B"/>
    <w:rsid w:val="4C3F0F00"/>
    <w:rsid w:val="4DA142F4"/>
    <w:rsid w:val="4ED45B88"/>
    <w:rsid w:val="4ED9474A"/>
    <w:rsid w:val="4F4C3E05"/>
    <w:rsid w:val="50627D2F"/>
    <w:rsid w:val="50BE0FFD"/>
    <w:rsid w:val="50C67A1E"/>
    <w:rsid w:val="51C75126"/>
    <w:rsid w:val="51DF7357"/>
    <w:rsid w:val="528612A1"/>
    <w:rsid w:val="52B96F61"/>
    <w:rsid w:val="52F92F0C"/>
    <w:rsid w:val="531720FD"/>
    <w:rsid w:val="54CF11E7"/>
    <w:rsid w:val="55CE476E"/>
    <w:rsid w:val="564B1B45"/>
    <w:rsid w:val="569575C9"/>
    <w:rsid w:val="56BC5121"/>
    <w:rsid w:val="57B23C5E"/>
    <w:rsid w:val="58F4108A"/>
    <w:rsid w:val="59DB18A4"/>
    <w:rsid w:val="5C311002"/>
    <w:rsid w:val="5CA4681A"/>
    <w:rsid w:val="5ED25CC4"/>
    <w:rsid w:val="5F6332D6"/>
    <w:rsid w:val="602816BC"/>
    <w:rsid w:val="62C0353E"/>
    <w:rsid w:val="63091855"/>
    <w:rsid w:val="63256891"/>
    <w:rsid w:val="647D665D"/>
    <w:rsid w:val="66382325"/>
    <w:rsid w:val="66512898"/>
    <w:rsid w:val="66F5083A"/>
    <w:rsid w:val="68172906"/>
    <w:rsid w:val="69DA67D6"/>
    <w:rsid w:val="69F976D7"/>
    <w:rsid w:val="6A1E59F3"/>
    <w:rsid w:val="6B1354F9"/>
    <w:rsid w:val="6B2E3CAE"/>
    <w:rsid w:val="6C6C667D"/>
    <w:rsid w:val="6C8B47FB"/>
    <w:rsid w:val="6D611DA3"/>
    <w:rsid w:val="6DE04A5D"/>
    <w:rsid w:val="6FC72C24"/>
    <w:rsid w:val="70D1560F"/>
    <w:rsid w:val="70E23C75"/>
    <w:rsid w:val="713D4A76"/>
    <w:rsid w:val="71814C49"/>
    <w:rsid w:val="722B3D0A"/>
    <w:rsid w:val="72D71F9F"/>
    <w:rsid w:val="731B7917"/>
    <w:rsid w:val="736C4374"/>
    <w:rsid w:val="739143AA"/>
    <w:rsid w:val="74B376A6"/>
    <w:rsid w:val="74E809AA"/>
    <w:rsid w:val="7679700B"/>
    <w:rsid w:val="76D81126"/>
    <w:rsid w:val="77BD1250"/>
    <w:rsid w:val="78057F5F"/>
    <w:rsid w:val="78382BA3"/>
    <w:rsid w:val="79822F96"/>
    <w:rsid w:val="7B933339"/>
    <w:rsid w:val="7CA07703"/>
    <w:rsid w:val="7CF8186E"/>
    <w:rsid w:val="7D221EB3"/>
    <w:rsid w:val="7D935003"/>
    <w:rsid w:val="7E4C01FE"/>
    <w:rsid w:val="7E8D7C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D4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2D48"/>
    <w:pPr>
      <w:jc w:val="left"/>
    </w:pPr>
  </w:style>
  <w:style w:type="paragraph" w:styleId="a4">
    <w:name w:val="footer"/>
    <w:basedOn w:val="a"/>
    <w:uiPriority w:val="99"/>
    <w:semiHidden/>
    <w:unhideWhenUsed/>
    <w:qFormat/>
    <w:rsid w:val="00182D48"/>
    <w:pPr>
      <w:tabs>
        <w:tab w:val="center" w:pos="4153"/>
        <w:tab w:val="right" w:pos="8306"/>
      </w:tabs>
      <w:snapToGrid w:val="0"/>
      <w:jc w:val="left"/>
    </w:pPr>
    <w:rPr>
      <w:sz w:val="18"/>
    </w:rPr>
  </w:style>
  <w:style w:type="paragraph" w:styleId="a5">
    <w:name w:val="header"/>
    <w:basedOn w:val="a"/>
    <w:uiPriority w:val="99"/>
    <w:semiHidden/>
    <w:unhideWhenUsed/>
    <w:qFormat/>
    <w:rsid w:val="00182D4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rsid w:val="00182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182D48"/>
    <w:pPr>
      <w:ind w:firstLineChars="200" w:firstLine="420"/>
    </w:pPr>
  </w:style>
  <w:style w:type="paragraph" w:customStyle="1" w:styleId="p0">
    <w:name w:val="p0"/>
    <w:basedOn w:val="a"/>
    <w:qFormat/>
    <w:rsid w:val="00182D48"/>
    <w:pPr>
      <w:widowControl/>
    </w:pPr>
    <w:rPr>
      <w:rFonts w:ascii="Times New Roman" w:eastAsia="宋体" w:hAnsi="Times New Roman" w:cs="Times New Roman"/>
      <w:kern w:val="0"/>
      <w:szCs w:val="21"/>
    </w:rPr>
  </w:style>
  <w:style w:type="paragraph" w:customStyle="1" w:styleId="1">
    <w:name w:val="正文1"/>
    <w:qFormat/>
    <w:rsid w:val="00182D48"/>
    <w:pPr>
      <w:jc w:val="both"/>
    </w:pPr>
    <w:rPr>
      <w:rFonts w:ascii="Calibri" w:hAnsi="Calibri" w:cs="宋体"/>
      <w:kern w:val="2"/>
      <w:sz w:val="21"/>
      <w:szCs w:val="21"/>
    </w:rPr>
  </w:style>
  <w:style w:type="character" w:styleId="a8">
    <w:name w:val="annotation reference"/>
    <w:basedOn w:val="a0"/>
    <w:uiPriority w:val="99"/>
    <w:semiHidden/>
    <w:unhideWhenUsed/>
    <w:rsid w:val="00C03286"/>
    <w:rPr>
      <w:sz w:val="21"/>
      <w:szCs w:val="21"/>
    </w:rPr>
  </w:style>
  <w:style w:type="paragraph" w:styleId="a9">
    <w:name w:val="annotation subject"/>
    <w:basedOn w:val="a3"/>
    <w:next w:val="a3"/>
    <w:link w:val="Char0"/>
    <w:uiPriority w:val="99"/>
    <w:semiHidden/>
    <w:unhideWhenUsed/>
    <w:rsid w:val="00C03286"/>
    <w:rPr>
      <w:b/>
      <w:bCs/>
    </w:rPr>
  </w:style>
  <w:style w:type="character" w:customStyle="1" w:styleId="Char">
    <w:name w:val="批注文字 Char"/>
    <w:basedOn w:val="a0"/>
    <w:link w:val="a3"/>
    <w:uiPriority w:val="99"/>
    <w:semiHidden/>
    <w:rsid w:val="00C03286"/>
    <w:rPr>
      <w:rFonts w:asciiTheme="minorHAnsi" w:eastAsiaTheme="minorEastAsia" w:hAnsiTheme="minorHAnsi" w:cstheme="minorBidi"/>
      <w:kern w:val="2"/>
      <w:sz w:val="21"/>
      <w:szCs w:val="22"/>
    </w:rPr>
  </w:style>
  <w:style w:type="character" w:customStyle="1" w:styleId="Char0">
    <w:name w:val="批注主题 Char"/>
    <w:basedOn w:val="Char"/>
    <w:link w:val="a9"/>
    <w:rsid w:val="00C03286"/>
  </w:style>
  <w:style w:type="paragraph" w:styleId="aa">
    <w:name w:val="Balloon Text"/>
    <w:basedOn w:val="a"/>
    <w:link w:val="Char1"/>
    <w:uiPriority w:val="99"/>
    <w:semiHidden/>
    <w:unhideWhenUsed/>
    <w:rsid w:val="00C03286"/>
    <w:rPr>
      <w:sz w:val="18"/>
      <w:szCs w:val="18"/>
    </w:rPr>
  </w:style>
  <w:style w:type="character" w:customStyle="1" w:styleId="Char1">
    <w:name w:val="批注框文本 Char"/>
    <w:basedOn w:val="a0"/>
    <w:link w:val="aa"/>
    <w:uiPriority w:val="99"/>
    <w:semiHidden/>
    <w:rsid w:val="00C0328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130B21-B7ED-4286-93A3-79FA93CED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11</Pages>
  <Words>834</Words>
  <Characters>4755</Characters>
  <Application>Microsoft Office Word</Application>
  <DocSecurity>0</DocSecurity>
  <Lines>39</Lines>
  <Paragraphs>11</Paragraphs>
  <ScaleCrop>false</ScaleCrop>
  <Company/>
  <LinksUpToDate>false</LinksUpToDate>
  <CharactersWithSpaces>5578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5</cp:revision>
  <dcterms:created xsi:type="dcterms:W3CDTF">2019-08-21T00:28:00Z</dcterms:created>
  <dcterms:modified xsi:type="dcterms:W3CDTF">2020-04-17T02:07:00Z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