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仿宋" w:hAnsi="仿宋"/>
          <w:color w:val="auto"/>
          <w:highlight w:val="none"/>
          <w:lang w:val="en-US"/>
        </w:rPr>
      </w:pPr>
      <w:bookmarkStart w:id="0" w:name="_GoBack"/>
      <w:bookmarkEnd w:id="0"/>
      <w:r>
        <w:rPr>
          <w:rFonts w:hint="eastAsia" w:ascii="黑体" w:hAnsi="黑体" w:eastAsia="黑体" w:cs="仿宋"/>
          <w:color w:val="auto"/>
          <w:highlight w:val="none"/>
        </w:rPr>
        <w:t>附件</w:t>
      </w:r>
      <w:r>
        <w:rPr>
          <w:rFonts w:hint="eastAsia" w:ascii="黑体" w:hAnsi="黑体" w:eastAsia="黑体" w:cs="仿宋"/>
          <w:color w:val="auto"/>
          <w:highlight w:val="none"/>
          <w:lang w:val="en-US" w:eastAsia="zh-CN"/>
        </w:rPr>
        <w:t>12</w:t>
      </w:r>
    </w:p>
    <w:p>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jc w:val="center"/>
        <w:textAlignment w:val="auto"/>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关于部分检验项目的说明</w:t>
      </w:r>
    </w:p>
    <w:p>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jc w:val="both"/>
        <w:textAlignment w:val="auto"/>
        <w:rPr>
          <w:rFonts w:hint="eastAsia" w:ascii="仿宋" w:hAnsi="仿宋"/>
        </w:rPr>
      </w:pPr>
      <w:r>
        <w:rPr>
          <w:rFonts w:hint="eastAsia" w:ascii="仿宋" w:hAnsi="仿宋"/>
        </w:rPr>
        <w:t xml:space="preserve">    </w:t>
      </w:r>
    </w:p>
    <w:p>
      <w:pPr>
        <w:keepNext w:val="0"/>
        <w:keepLines w:val="0"/>
        <w:pageBreakBefore w:val="0"/>
        <w:widowControl w:val="0"/>
        <w:kinsoku/>
        <w:wordWrap/>
        <w:overflowPunct/>
        <w:topLinePunct w:val="0"/>
        <w:autoSpaceDE/>
        <w:autoSpaceDN/>
        <w:bidi w:val="0"/>
        <w:adjustRightInd/>
        <w:spacing w:line="600" w:lineRule="exact"/>
        <w:ind w:firstLine="632" w:firstLineChars="200"/>
        <w:jc w:val="both"/>
        <w:textAlignment w:val="auto"/>
        <w:rPr>
          <w:rFonts w:hint="eastAsia" w:ascii="黑体" w:hAnsi="黑体" w:eastAsia="黑体"/>
          <w:highlight w:val="none"/>
        </w:rPr>
      </w:pPr>
      <w:r>
        <w:rPr>
          <w:rFonts w:hint="eastAsia" w:ascii="黑体" w:hAnsi="黑体" w:eastAsia="黑体"/>
          <w:highlight w:val="none"/>
          <w:lang w:eastAsia="zh-CN"/>
        </w:rPr>
        <w:t>一</w:t>
      </w:r>
      <w:r>
        <w:rPr>
          <w:rFonts w:hint="eastAsia" w:ascii="黑体" w:hAnsi="黑体" w:eastAsia="黑体"/>
          <w:highlight w:val="none"/>
        </w:rPr>
        <w:t>、</w:t>
      </w:r>
      <w:r>
        <w:rPr>
          <w:rFonts w:hint="eastAsia" w:ascii="Times New Roman" w:hAnsi="Times New Roman" w:eastAsia="黑体" w:cs="Times New Roman"/>
          <w:sz w:val="32"/>
          <w:szCs w:val="32"/>
          <w:lang w:eastAsia="zh-CN"/>
        </w:rPr>
        <w:t>孔雀石绿</w:t>
      </w:r>
    </w:p>
    <w:p>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ind w:firstLine="632" w:firstLineChars="200"/>
        <w:jc w:val="both"/>
        <w:textAlignment w:val="auto"/>
        <w:rPr>
          <w:rFonts w:hint="eastAsia" w:ascii="Times New Roman" w:hAnsi="Times New Roman" w:eastAsia="仿宋_GB2312" w:cs="仿宋"/>
          <w:highlight w:val="none"/>
        </w:rPr>
      </w:pPr>
      <w:r>
        <w:rPr>
          <w:rFonts w:hint="eastAsia" w:ascii="Times New Roman" w:hAnsi="Times New Roman" w:eastAsia="仿宋_GB2312" w:cs="仿宋"/>
          <w:highlight w:val="none"/>
        </w:rPr>
        <w:t>孔雀石绿属于有毒的三苯甲烷类化学物，既是染料，也是杀真菌、细菌、寄生虫的药物。《动物性食品中兽药最高残留限量》</w:t>
      </w:r>
      <w:r>
        <w:rPr>
          <w:rFonts w:hint="eastAsia" w:ascii="Times New Roman" w:hAnsi="Times New Roman" w:eastAsia="仿宋_GB2312" w:cs="仿宋"/>
          <w:highlight w:val="none"/>
          <w:lang w:eastAsia="zh-CN"/>
        </w:rPr>
        <w:t>（</w:t>
      </w:r>
      <w:r>
        <w:rPr>
          <w:rFonts w:hint="eastAsia" w:ascii="Times New Roman" w:hAnsi="Times New Roman" w:eastAsia="仿宋_GB2312" w:cs="仿宋"/>
          <w:highlight w:val="none"/>
        </w:rPr>
        <w:t>农业部公告第235号</w:t>
      </w:r>
      <w:r>
        <w:rPr>
          <w:rFonts w:hint="eastAsia" w:ascii="Times New Roman" w:hAnsi="Times New Roman" w:eastAsia="仿宋_GB2312" w:cs="仿宋"/>
          <w:highlight w:val="none"/>
          <w:lang w:eastAsia="zh-CN"/>
        </w:rPr>
        <w:t>）</w:t>
      </w:r>
      <w:r>
        <w:rPr>
          <w:rFonts w:hint="eastAsia" w:ascii="Times New Roman" w:hAnsi="Times New Roman" w:eastAsia="仿宋_GB2312" w:cs="仿宋"/>
          <w:highlight w:val="none"/>
        </w:rPr>
        <w:t>中规定，孔雀石绿为禁止使用的药物，在动物性食品中不得检出。孔雀石绿具有潜在致癌、致畸、致突变的作用。长期食用检出孔雀石绿的食品，可能会对人体健康有一定影响。</w:t>
      </w:r>
    </w:p>
    <w:p>
      <w:pPr>
        <w:keepNext w:val="0"/>
        <w:keepLines w:val="0"/>
        <w:pageBreakBefore w:val="0"/>
        <w:widowControl w:val="0"/>
        <w:kinsoku/>
        <w:wordWrap/>
        <w:overflowPunct/>
        <w:topLinePunct w:val="0"/>
        <w:autoSpaceDE/>
        <w:autoSpaceDN/>
        <w:bidi w:val="0"/>
        <w:adjustRightInd/>
        <w:spacing w:line="600" w:lineRule="exact"/>
        <w:ind w:firstLine="632" w:firstLineChars="200"/>
        <w:jc w:val="both"/>
        <w:textAlignment w:val="auto"/>
        <w:rPr>
          <w:rFonts w:hint="default" w:ascii="Times New Roman" w:hAnsi="Times New Roman" w:eastAsia="黑体" w:cs="Times New Roman"/>
          <w:highlight w:val="none"/>
        </w:rPr>
      </w:pPr>
      <w:r>
        <w:rPr>
          <w:rFonts w:hint="eastAsia" w:ascii="Times New Roman" w:hAnsi="Times New Roman" w:eastAsia="黑体" w:cs="Times New Roman"/>
          <w:highlight w:val="none"/>
          <w:lang w:eastAsia="zh-CN"/>
        </w:rPr>
        <w:t>二</w:t>
      </w:r>
      <w:r>
        <w:rPr>
          <w:rFonts w:hint="default" w:ascii="Times New Roman" w:hAnsi="Times New Roman" w:eastAsia="黑体" w:cs="Times New Roman"/>
          <w:highlight w:val="none"/>
        </w:rPr>
        <w:t>、</w:t>
      </w:r>
      <w:r>
        <w:rPr>
          <w:rFonts w:hint="eastAsia" w:eastAsia="黑体" w:cs="黑体"/>
          <w:kern w:val="0"/>
          <w:sz w:val="32"/>
          <w:szCs w:val="32"/>
          <w:highlight w:val="none"/>
        </w:rPr>
        <w:t>呋喃唑酮代谢物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仿宋"/>
          <w:highlight w:val="none"/>
        </w:rPr>
      </w:pPr>
      <w:r>
        <w:rPr>
          <w:rFonts w:hint="eastAsia" w:ascii="Times New Roman" w:hAnsi="Times New Roman" w:eastAsia="仿宋_GB2312" w:cs="仿宋"/>
          <w:highlight w:val="none"/>
        </w:rPr>
        <w:t>硝基呋喃类药物</w:t>
      </w:r>
      <w:r>
        <w:rPr>
          <w:rFonts w:hint="eastAsia" w:ascii="Times New Roman" w:hAnsi="Times New Roman" w:eastAsia="仿宋_GB2312" w:cs="仿宋"/>
          <w:highlight w:val="none"/>
          <w:lang w:eastAsia="zh-CN"/>
        </w:rPr>
        <w:t>（</w:t>
      </w:r>
      <w:r>
        <w:rPr>
          <w:rFonts w:hint="eastAsia" w:ascii="Times New Roman" w:hAnsi="Times New Roman" w:eastAsia="仿宋_GB2312" w:cs="仿宋"/>
          <w:highlight w:val="none"/>
        </w:rPr>
        <w:t>呋喃它酮、呋喃唑酮、呋喃妥因、呋喃西林</w:t>
      </w:r>
      <w:r>
        <w:rPr>
          <w:rFonts w:hint="eastAsia" w:ascii="Times New Roman" w:hAnsi="Times New Roman" w:eastAsia="仿宋_GB2312" w:cs="仿宋"/>
          <w:highlight w:val="none"/>
          <w:lang w:eastAsia="zh-CN"/>
        </w:rPr>
        <w:t>）</w:t>
      </w:r>
      <w:r>
        <w:rPr>
          <w:rFonts w:hint="eastAsia" w:ascii="Times New Roman" w:hAnsi="Times New Roman" w:eastAsia="仿宋_GB2312" w:cs="仿宋"/>
          <w:highlight w:val="none"/>
        </w:rPr>
        <w:t>是广谱抗生素，由于该类药物长期食用有健康风险，农业部规定该类药物为“禁止使用的药物，在动物性食品中不得检出”。呋喃类药物进入动物体内很快发生代谢，代谢产物在组织中存在较长时间，人体长期摄入后可能引起溶血性贫血、多发性神经炎、眼部损害和急性肝坏死，并有一定致癌性。</w:t>
      </w:r>
    </w:p>
    <w:p>
      <w:pPr>
        <w:keepNext w:val="0"/>
        <w:keepLines w:val="0"/>
        <w:pageBreakBefore w:val="0"/>
        <w:widowControl w:val="0"/>
        <w:kinsoku/>
        <w:wordWrap/>
        <w:overflowPunct/>
        <w:topLinePunct w:val="0"/>
        <w:autoSpaceDE/>
        <w:autoSpaceDN/>
        <w:bidi w:val="0"/>
        <w:adjustRightInd/>
        <w:spacing w:line="600" w:lineRule="exact"/>
        <w:ind w:firstLine="632" w:firstLineChars="200"/>
        <w:jc w:val="both"/>
        <w:textAlignment w:val="auto"/>
        <w:rPr>
          <w:rFonts w:hint="default" w:ascii="Times New Roman" w:hAnsi="Times New Roman" w:eastAsia="黑体" w:cs="Times New Roman"/>
          <w:highlight w:val="none"/>
        </w:rPr>
      </w:pPr>
      <w:r>
        <w:rPr>
          <w:rFonts w:hint="eastAsia" w:ascii="Times New Roman" w:hAnsi="Times New Roman" w:eastAsia="黑体" w:cs="Times New Roman"/>
          <w:highlight w:val="none"/>
          <w:lang w:eastAsia="zh-CN"/>
        </w:rPr>
        <w:t>三</w:t>
      </w:r>
      <w:r>
        <w:rPr>
          <w:rFonts w:hint="default" w:ascii="Times New Roman" w:hAnsi="Times New Roman" w:eastAsia="黑体" w:cs="Times New Roman"/>
          <w:highlight w:val="none"/>
        </w:rPr>
        <w:t>、</w:t>
      </w:r>
      <w:r>
        <w:rPr>
          <w:rFonts w:hint="eastAsia" w:eastAsia="黑体" w:cs="黑体"/>
          <w:kern w:val="0"/>
          <w:sz w:val="32"/>
          <w:szCs w:val="32"/>
        </w:rPr>
        <w:t>氯霉素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仿宋"/>
          <w:highlight w:val="none"/>
        </w:rPr>
      </w:pPr>
      <w:r>
        <w:rPr>
          <w:rFonts w:hint="eastAsia" w:ascii="Times New Roman" w:hAnsi="Times New Roman" w:eastAsia="仿宋_GB2312" w:cs="仿宋"/>
          <w:highlight w:val="none"/>
        </w:rPr>
        <w:t>氯霉素是一种杀菌剂，也是高效广谱的抗生素，对革兰氏阳性菌和革兰氏阴性菌均有较好的抑制作用。《动物性食品中兽药最高残留限量》</w:t>
      </w:r>
      <w:r>
        <w:rPr>
          <w:rFonts w:hint="eastAsia" w:ascii="Times New Roman" w:hAnsi="Times New Roman" w:eastAsia="仿宋_GB2312" w:cs="仿宋"/>
          <w:highlight w:val="none"/>
          <w:lang w:eastAsia="zh-CN"/>
        </w:rPr>
        <w:t>（</w:t>
      </w:r>
      <w:r>
        <w:rPr>
          <w:rFonts w:hint="eastAsia" w:ascii="Times New Roman" w:hAnsi="Times New Roman" w:eastAsia="仿宋_GB2312" w:cs="仿宋"/>
          <w:highlight w:val="none"/>
        </w:rPr>
        <w:t>农业部公告第235号</w:t>
      </w:r>
      <w:r>
        <w:rPr>
          <w:rFonts w:hint="eastAsia" w:ascii="Times New Roman" w:hAnsi="Times New Roman" w:eastAsia="仿宋_GB2312" w:cs="仿宋"/>
          <w:highlight w:val="none"/>
          <w:lang w:eastAsia="zh-CN"/>
        </w:rPr>
        <w:t>）</w:t>
      </w:r>
      <w:r>
        <w:rPr>
          <w:rFonts w:hint="eastAsia" w:ascii="Times New Roman" w:hAnsi="Times New Roman" w:eastAsia="仿宋_GB2312" w:cs="仿宋"/>
          <w:highlight w:val="none"/>
        </w:rPr>
        <w:t>中规定，氯霉素为禁止使用的药物，在动物性食品中不得检出。长期食用检出氯霉素的食品可能引起肠道菌群失调，导致消化机能紊乱。人体过量摄入氯霉素可能引起人肝脏和骨髓造血机能的损害，导致再生障碍性贫血和血小板减少、肝损伤等健康危害。</w:t>
      </w:r>
    </w:p>
    <w:p>
      <w:pPr>
        <w:keepNext w:val="0"/>
        <w:keepLines w:val="0"/>
        <w:pageBreakBefore w:val="0"/>
        <w:widowControl w:val="0"/>
        <w:kinsoku/>
        <w:wordWrap/>
        <w:overflowPunct/>
        <w:topLinePunct w:val="0"/>
        <w:autoSpaceDE/>
        <w:autoSpaceDN/>
        <w:bidi w:val="0"/>
        <w:adjustRightInd/>
        <w:spacing w:line="600" w:lineRule="exact"/>
        <w:ind w:firstLine="632" w:firstLineChars="200"/>
        <w:jc w:val="both"/>
        <w:textAlignment w:val="auto"/>
        <w:rPr>
          <w:rFonts w:hint="default" w:ascii="Times New Roman" w:hAnsi="Times New Roman" w:eastAsia="黑体" w:cs="Times New Roman"/>
          <w:highlight w:val="none"/>
        </w:rPr>
      </w:pPr>
      <w:r>
        <w:rPr>
          <w:rFonts w:hint="eastAsia" w:ascii="Times New Roman" w:hAnsi="Times New Roman" w:eastAsia="黑体" w:cs="Times New Roman"/>
          <w:highlight w:val="none"/>
          <w:lang w:val="en-US" w:eastAsia="zh-CN"/>
        </w:rPr>
        <w:t>四</w:t>
      </w:r>
      <w:r>
        <w:rPr>
          <w:rFonts w:hint="default" w:ascii="Times New Roman" w:hAnsi="Times New Roman" w:eastAsia="黑体" w:cs="Times New Roman"/>
          <w:highlight w:val="none"/>
        </w:rPr>
        <w:t>、</w:t>
      </w:r>
      <w:r>
        <w:rPr>
          <w:rFonts w:hint="eastAsia" w:ascii="黑体" w:hAnsi="黑体" w:eastAsia="黑体"/>
          <w:lang w:eastAsia="zh-CN"/>
        </w:rPr>
        <w:t>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Times New Roman"/>
          <w:highlight w:val="none"/>
        </w:rPr>
      </w:pPr>
      <w:r>
        <w:rPr>
          <w:rFonts w:hint="eastAsia" w:ascii="Times New Roman" w:hAnsi="Times New Roman" w:eastAsia="仿宋_GB2312"/>
          <w:highlight w:val="none"/>
        </w:rPr>
        <w:t>镉是一种环境污染物，若长期或过多摄入镉含量超标的食品，会蓄积在体内，损害肾小管和肾小球，使肾脏发生慢性中毒。《食品安全国家标准 食品中污染物限量》</w:t>
      </w:r>
      <w:r>
        <w:rPr>
          <w:rFonts w:hint="eastAsia" w:ascii="Times New Roman" w:hAnsi="Times New Roman" w:eastAsia="仿宋_GB2312"/>
          <w:highlight w:val="none"/>
          <w:lang w:eastAsia="zh-CN"/>
        </w:rPr>
        <w:t>（</w:t>
      </w:r>
      <w:r>
        <w:rPr>
          <w:rFonts w:hint="eastAsia" w:ascii="Times New Roman" w:hAnsi="Times New Roman" w:eastAsia="仿宋_GB2312"/>
          <w:highlight w:val="none"/>
        </w:rPr>
        <w:t>GB 2762—2017</w:t>
      </w:r>
      <w:r>
        <w:rPr>
          <w:rFonts w:hint="eastAsia" w:ascii="Times New Roman" w:hAnsi="Times New Roman" w:eastAsia="仿宋_GB2312"/>
          <w:highlight w:val="none"/>
          <w:lang w:eastAsia="zh-CN"/>
        </w:rPr>
        <w:t>）</w:t>
      </w:r>
      <w:r>
        <w:rPr>
          <w:rFonts w:hint="eastAsia" w:ascii="Times New Roman" w:hAnsi="Times New Roman" w:eastAsia="仿宋_GB2312"/>
          <w:highlight w:val="none"/>
        </w:rPr>
        <w:t>中规定，镉在鲜、冻水产动物的甲壳类中限量为0.5 mg/kg。镉超标的原因，可能是水产品养殖过程中对环境中镉元素的富集</w:t>
      </w:r>
      <w:r>
        <w:rPr>
          <w:rFonts w:hint="eastAsia" w:ascii="Times New Roman" w:hAnsi="Times New Roman" w:eastAsia="仿宋_GB2312" w:cs="Times New Roman"/>
          <w:highlight w:val="none"/>
        </w:rPr>
        <w:t>。</w:t>
      </w:r>
    </w:p>
    <w:p>
      <w:pPr>
        <w:keepNext w:val="0"/>
        <w:keepLines w:val="0"/>
        <w:pageBreakBefore w:val="0"/>
        <w:widowControl w:val="0"/>
        <w:kinsoku/>
        <w:wordWrap/>
        <w:overflowPunct/>
        <w:topLinePunct w:val="0"/>
        <w:autoSpaceDE/>
        <w:autoSpaceDN/>
        <w:bidi w:val="0"/>
        <w:adjustRightInd/>
        <w:spacing w:line="600" w:lineRule="exact"/>
        <w:ind w:firstLine="632" w:firstLineChars="200"/>
        <w:jc w:val="both"/>
        <w:textAlignment w:val="auto"/>
        <w:rPr>
          <w:rFonts w:hint="default" w:ascii="Times New Roman" w:hAnsi="Times New Roman" w:eastAsia="黑体" w:cs="Times New Roman"/>
          <w:highlight w:val="none"/>
        </w:rPr>
      </w:pPr>
      <w:r>
        <w:rPr>
          <w:rFonts w:hint="eastAsia" w:ascii="Times New Roman" w:hAnsi="Times New Roman" w:eastAsia="黑体" w:cs="Times New Roman"/>
          <w:highlight w:val="none"/>
          <w:lang w:val="en-US" w:eastAsia="zh-CN"/>
        </w:rPr>
        <w:t>五</w:t>
      </w:r>
      <w:r>
        <w:rPr>
          <w:rFonts w:hint="default" w:ascii="Times New Roman" w:hAnsi="Times New Roman" w:eastAsia="黑体" w:cs="Times New Roman"/>
          <w:highlight w:val="none"/>
        </w:rPr>
        <w:t>、</w:t>
      </w:r>
      <w:r>
        <w:rPr>
          <w:rFonts w:hint="eastAsia" w:ascii="黑体" w:hAnsi="黑体" w:eastAsia="黑体"/>
        </w:rPr>
        <w:t>二氧化硫残留量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highlight w:val="none"/>
        </w:rPr>
      </w:pPr>
      <w:r>
        <w:rPr>
          <w:rFonts w:hint="eastAsia" w:ascii="Times New Roman" w:hAnsi="Times New Roman" w:eastAsia="仿宋_GB2312" w:cs="Times New Roman"/>
          <w:highlight w:val="none"/>
        </w:rPr>
        <w:t>二氧化硫</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rPr>
        <w:t>以及焦亚硫酸钾、亚硫酸钠等添加剂</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rPr>
        <w:t>对食品有漂白、防腐和抗氧化作用，是食品加工中常用的漂白剂和防腐剂，使用后均产生二氧化硫残留。摄入少量二氧化硫，可在人体内经酶转化后由尿液排出体外，一般不会对人体健康造成不良影响，但如果长期过量摄入二氧化硫，可能会对健康不利。《食品安全国家标准 食品添加剂使用标准》</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rPr>
        <w:t>GB 2760—2014</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rPr>
        <w:t>中规定，米粉制品中不得使用二氧化硫残留量。造成二氧化硫不符合标准的原因，可能是个别生产者使用劣质原料以降低成本，其后为了提高产品色泽超量使用二氧化硫；也有可能是使用时不计量或计量不准确所致</w:t>
      </w:r>
      <w:r>
        <w:rPr>
          <w:rFonts w:hint="eastAsia" w:ascii="Times New Roman" w:hAnsi="Times New Roman" w:eastAsia="仿宋_GB2312" w:cs="Times New Roman"/>
          <w:color w:val="auto"/>
          <w:highlight w:val="none"/>
        </w:rPr>
        <w:t>。</w:t>
      </w:r>
    </w:p>
    <w:p>
      <w:pPr>
        <w:keepNext w:val="0"/>
        <w:keepLines w:val="0"/>
        <w:pageBreakBefore w:val="0"/>
        <w:widowControl w:val="0"/>
        <w:kinsoku/>
        <w:wordWrap/>
        <w:overflowPunct/>
        <w:topLinePunct w:val="0"/>
        <w:autoSpaceDE/>
        <w:autoSpaceDN/>
        <w:bidi w:val="0"/>
        <w:adjustRightInd/>
        <w:spacing w:line="600" w:lineRule="exact"/>
        <w:ind w:firstLine="632" w:firstLineChars="200"/>
        <w:jc w:val="both"/>
        <w:textAlignment w:val="auto"/>
        <w:rPr>
          <w:rFonts w:hint="default" w:ascii="Times New Roman" w:hAnsi="Times New Roman" w:eastAsia="黑体" w:cs="Times New Roman"/>
          <w:color w:val="auto"/>
          <w:highlight w:val="none"/>
        </w:rPr>
      </w:pPr>
      <w:r>
        <w:rPr>
          <w:rFonts w:hint="eastAsia" w:ascii="Times New Roman" w:hAnsi="Times New Roman" w:eastAsia="黑体" w:cs="Times New Roman"/>
          <w:color w:val="auto"/>
          <w:highlight w:val="none"/>
          <w:lang w:eastAsia="zh-CN"/>
        </w:rPr>
        <w:t>六</w:t>
      </w:r>
      <w:r>
        <w:rPr>
          <w:rFonts w:hint="default" w:ascii="Times New Roman" w:hAnsi="Times New Roman" w:eastAsia="黑体" w:cs="Times New Roman"/>
          <w:color w:val="auto"/>
          <w:highlight w:val="none"/>
        </w:rPr>
        <w:t>、</w:t>
      </w:r>
      <w:r>
        <w:rPr>
          <w:rFonts w:hint="eastAsia" w:eastAsia="黑体"/>
          <w:color w:val="auto"/>
          <w:sz w:val="32"/>
          <w:szCs w:val="32"/>
          <w:highlight w:val="none"/>
          <w:lang w:eastAsia="zh-CN"/>
        </w:rPr>
        <w:t>亚硝酸盐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Times New Roman"/>
          <w:color w:val="0000FF"/>
          <w:highlight w:val="none"/>
        </w:rPr>
      </w:pPr>
      <w:r>
        <w:rPr>
          <w:rFonts w:hint="eastAsia" w:ascii="Times New Roman" w:hAnsi="Times New Roman" w:eastAsia="仿宋_GB2312" w:cs="Times New Roman"/>
          <w:color w:val="auto"/>
          <w:highlight w:val="none"/>
        </w:rPr>
        <w:t>亚硝酸盐在食品加工的过程中不仅能够将其整个发色作用科学合理地发挥出来，而且还尽可能地避免了肉毒杆菌在食品中的生长和繁殖。但如果食品中亚硝酸盐的含量较高时，可能会导致人体组织缺氧的现象发生；且人体摄入亚硝盐酸后，可反应形成强致癌物亚硝胺化合物，诱发癌变，过量的亚硝酸盐可发生中毒。《食品安全国家标准 食品添加剂使用标准》</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rPr>
        <w:t>GB 2760—2014</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rPr>
        <w:t>中规定，</w:t>
      </w:r>
      <w:r>
        <w:rPr>
          <w:rFonts w:hint="eastAsia" w:ascii="Times New Roman" w:hAnsi="Times New Roman" w:eastAsia="仿宋_GB2312" w:cs="Times New Roman"/>
          <w:color w:val="auto"/>
          <w:highlight w:val="none"/>
          <w:lang w:eastAsia="zh-CN"/>
        </w:rPr>
        <w:t>腌腊肉</w:t>
      </w:r>
      <w:r>
        <w:rPr>
          <w:rFonts w:hint="eastAsia" w:ascii="Times New Roman" w:hAnsi="Times New Roman" w:eastAsia="仿宋_GB2312" w:cs="Times New Roman"/>
          <w:color w:val="auto"/>
          <w:highlight w:val="none"/>
        </w:rPr>
        <w:t>制品中亚硝酸盐</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rPr>
        <w:t>以亚硝酸钠计</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rPr>
        <w:t>的最大使用量应不超过30mg/kg。腌腊肉制品中亚硝酸盐超标的原因，可能是个别企业为改善产品的感官性状和增加产品保质期，在生产加工过程中超限量使用，或者未准确计量。</w:t>
      </w:r>
    </w:p>
    <w:p>
      <w:pPr>
        <w:keepNext w:val="0"/>
        <w:keepLines w:val="0"/>
        <w:pageBreakBefore w:val="0"/>
        <w:widowControl w:val="0"/>
        <w:kinsoku/>
        <w:wordWrap/>
        <w:overflowPunct/>
        <w:topLinePunct w:val="0"/>
        <w:autoSpaceDE/>
        <w:autoSpaceDN/>
        <w:bidi w:val="0"/>
        <w:adjustRightInd/>
        <w:spacing w:line="600" w:lineRule="exact"/>
        <w:ind w:firstLine="632" w:firstLineChars="200"/>
        <w:jc w:val="both"/>
        <w:textAlignment w:val="auto"/>
        <w:rPr>
          <w:rFonts w:hint="default" w:ascii="Times New Roman" w:hAnsi="Times New Roman" w:eastAsia="黑体" w:cs="Times New Roman"/>
          <w:color w:val="auto"/>
          <w:highlight w:val="none"/>
        </w:rPr>
      </w:pPr>
      <w:r>
        <w:rPr>
          <w:rFonts w:hint="eastAsia" w:ascii="Times New Roman" w:hAnsi="Times New Roman" w:eastAsia="黑体" w:cs="Times New Roman"/>
          <w:color w:val="auto"/>
          <w:highlight w:val="none"/>
          <w:lang w:eastAsia="zh-CN"/>
        </w:rPr>
        <w:t>七</w:t>
      </w:r>
      <w:r>
        <w:rPr>
          <w:rFonts w:hint="default" w:ascii="Times New Roman" w:hAnsi="Times New Roman" w:eastAsia="黑体" w:cs="Times New Roman"/>
          <w:color w:val="auto"/>
          <w:highlight w:val="none"/>
        </w:rPr>
        <w:t>、</w:t>
      </w:r>
      <w:r>
        <w:rPr>
          <w:rFonts w:hint="eastAsia" w:ascii="黑体" w:hAnsi="黑体" w:eastAsia="黑体"/>
          <w:lang w:eastAsia="zh-CN"/>
        </w:rPr>
        <w:t>山梨酸及其钾盐（以山梨酸计）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r>
        <w:rPr>
          <w:rFonts w:hint="eastAsia" w:ascii="Times New Roman" w:hAnsi="Times New Roman" w:eastAsia="仿宋_GB2312" w:cs="Times New Roman"/>
          <w:color w:val="auto"/>
          <w:highlight w:val="none"/>
        </w:rPr>
        <w:t>山梨酸及其钾盐是食品防腐保鲜剂，具有广泛的抑菌效果和防霉性能。《食品安全国家标准 食品添加剂使用标准》</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rPr>
        <w:t>GB 2760—2014</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rPr>
        <w:t>中规定，山梨酸及其钾盐</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rPr>
        <w:t>以山梨酸计</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rPr>
        <w:t>在熟肉制品中最大使用量为0.075 g/kg。该项目不合格原因可能是，企业为增加产品保质期或者为弥补产品生产中卫生条件不佳而超限量使用，或者未准确计量。山梨酸及其钾盐是一种相对无毒的食品添加剂，在生物体内可被代谢为二氧化碳和水排出体外。但如果长期食用山梨酸及其钾盐超标的食品，可能会对人体的骨骼生长、肾脏、肝脏健康造成一定影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dobeHeitiStd-Regular">
    <w:altName w:val="宋体"/>
    <w:panose1 w:val="00000000000000000000"/>
    <w:charset w:val="86"/>
    <w:family w:val="auto"/>
    <w:pitch w:val="default"/>
    <w:sig w:usb0="00000000" w:usb1="00000000" w:usb2="00000000" w:usb3="00000000" w:csb0="00040000" w:csb1="00000000"/>
  </w:font>
  <w:font w:name="E-BZ+ZFKCI1-1">
    <w:altName w:val="宋体"/>
    <w:panose1 w:val="00000000000000000000"/>
    <w:charset w:val="86"/>
    <w:family w:val="auto"/>
    <w:pitch w:val="default"/>
    <w:sig w:usb0="00000000" w:usb1="0000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E-BZ+ZFKCI1-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FZHTK--GBK1-0">
    <w:altName w:val="宋体"/>
    <w:panose1 w:val="00000000000000000000"/>
    <w:charset w:val="86"/>
    <w:family w:val="auto"/>
    <w:pitch w:val="default"/>
    <w:sig w:usb0="00000000" w:usb1="00000000" w:usb2="00000000" w:usb3="00000000" w:csb0="00040000" w:csb1="00000000"/>
  </w:font>
  <w:font w:name="FZKTJW--GB1-0">
    <w:altName w:val="宋体"/>
    <w:panose1 w:val="00000000000000000000"/>
    <w:charset w:val="86"/>
    <w:family w:val="auto"/>
    <w:pitch w:val="default"/>
    <w:sig w:usb0="00000000" w:usb1="00000000" w:usb2="00000000" w:usb3="00000000" w:csb0="00040000" w:csb1="00000000"/>
  </w:font>
  <w:font w:name="FZHTJW--GB1-0">
    <w:altName w:val="宋体"/>
    <w:panose1 w:val="00000000000000000000"/>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DLF-32771-0-294221330+ZLRCrb-43">
    <w:altName w:val="宋体"/>
    <w:panose1 w:val="00000000000000000000"/>
    <w:charset w:val="86"/>
    <w:family w:val="auto"/>
    <w:pitch w:val="default"/>
    <w:sig w:usb0="00000000" w:usb1="00000000" w:usb2="00000000" w:usb3="00000000" w:csb0="00040000" w:csb1="00000000"/>
  </w:font>
  <w:font w:name="AdobeHeitiStd-Regular">
    <w:altName w:val="Segoe Print"/>
    <w:panose1 w:val="00000000000000000000"/>
    <w:charset w:val="00"/>
    <w:family w:val="auto"/>
    <w:pitch w:val="default"/>
    <w:sig w:usb0="00000000" w:usb1="00000000" w:usb2="00000000" w:usb3="00000000" w:csb0="00000000" w:csb1="00000000"/>
  </w:font>
  <w:font w:name="FZHTJW--GB1-0">
    <w:altName w:val="Segoe Print"/>
    <w:panose1 w:val="00000000000000000000"/>
    <w:charset w:val="00"/>
    <w:family w:val="auto"/>
    <w:pitch w:val="default"/>
    <w:sig w:usb0="00000000" w:usb1="00000000" w:usb2="00000000" w:usb3="00000000" w:csb0="00000000" w:csb1="00000000"/>
  </w:font>
  <w:font w:name="DY1+ZHBGhf-1">
    <w:altName w:val="宋体"/>
    <w:panose1 w:val="00000000000000000000"/>
    <w:charset w:val="86"/>
    <w:family w:val="auto"/>
    <w:pitch w:val="default"/>
    <w:sig w:usb0="00000000" w:usb1="00000000" w:usb2="00000000" w:usb3="00000000" w:csb0="00040000" w:csb1="00000000"/>
  </w:font>
  <w:font w:name="DY297+ZHBGii-646">
    <w:altName w:val="宋体"/>
    <w:panose1 w:val="00000000000000000000"/>
    <w:charset w:val="86"/>
    <w:family w:val="auto"/>
    <w:pitch w:val="default"/>
    <w:sig w:usb0="00000000" w:usb1="00000000" w:usb2="00000000" w:usb3="00000000" w:csb0="00040000" w:csb1="00000000"/>
  </w:font>
  <w:font w:name="DY7+ZHBGhg-8">
    <w:altName w:val="宋体"/>
    <w:panose1 w:val="00000000000000000000"/>
    <w:charset w:val="86"/>
    <w:family w:val="auto"/>
    <w:pitch w:val="default"/>
    <w:sig w:usb0="00000000" w:usb1="00000000" w:usb2="00000000" w:usb3="00000000" w:csb0="00040000" w:csb1="00000000"/>
  </w:font>
  <w:font w:name="DY3+ZHBGhf-3">
    <w:altName w:val="宋体"/>
    <w:panose1 w:val="00000000000000000000"/>
    <w:charset w:val="86"/>
    <w:family w:val="auto"/>
    <w:pitch w:val="default"/>
    <w:sig w:usb0="00000000" w:usb1="00000000" w:usb2="00000000" w:usb3="00000000" w:csb0="00040000" w:csb1="00000000"/>
  </w:font>
  <w:font w:name="B9+楷体">
    <w:altName w:val="宋体"/>
    <w:panose1 w:val="00000000000000000000"/>
    <w:charset w:val="86"/>
    <w:family w:val="auto"/>
    <w:pitch w:val="default"/>
    <w:sig w:usb0="00000000" w:usb1="00000000" w:usb2="00000000" w:usb3="00000000" w:csb0="00040000" w:csb1="00000000"/>
  </w:font>
  <w:font w:name="B5+CAJSymbolA">
    <w:altName w:val="宋体"/>
    <w:panose1 w:val="00000000000000000000"/>
    <w:charset w:val="86"/>
    <w:family w:val="auto"/>
    <w:pitch w:val="default"/>
    <w:sig w:usb0="00000000" w:usb1="00000000" w:usb2="00000000" w:usb3="00000000" w:csb0="00040000" w:csb1="00000000"/>
  </w:font>
  <w:font w:name="E-HZ+ZECJcD-2">
    <w:altName w:val="宋体"/>
    <w:panose1 w:val="00000000000000000000"/>
    <w:charset w:val="86"/>
    <w:family w:val="auto"/>
    <w:pitch w:val="default"/>
    <w:sig w:usb0="00000000" w:usb1="00000000" w:usb2="00000000" w:usb3="00000000" w:csb0="00040000" w:csb1="00000000"/>
  </w:font>
  <w:font w:name="zuoyeFont_mathFont">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方正大标宋简体">
    <w:altName w:val="Arial Unicode MS"/>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D361E"/>
    <w:rsid w:val="26153BC5"/>
    <w:rsid w:val="281D361E"/>
    <w:rsid w:val="5D0570A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2020-04-24T01:17:00Z</dcterms:created>
  <dc:creator>罗钰珊</dc:creator>
  <cp:lastModifiedBy>罗钰珊</cp:lastModifiedBy>
  <dcterms:modified xsi:type="dcterms:W3CDTF">2020-04-24T01:18:29Z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