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54C" w:rsidRDefault="00AD654C" w:rsidP="00AD654C">
      <w:pPr>
        <w:snapToGrid w:val="0"/>
        <w:spacing w:line="560" w:lineRule="exact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附件3</w:t>
      </w:r>
    </w:p>
    <w:p w:rsidR="00AD654C" w:rsidRDefault="00AD654C" w:rsidP="00AD654C">
      <w:pPr>
        <w:snapToGrid w:val="0"/>
        <w:spacing w:line="560" w:lineRule="exact"/>
        <w:jc w:val="center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关于部分检验项目的说明</w:t>
      </w:r>
    </w:p>
    <w:p w:rsidR="00AD654C" w:rsidRDefault="00AD654C" w:rsidP="00AD654C">
      <w:pPr>
        <w:pStyle w:val="NewNewNewNewNewNewNewNewNewNewNewNew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28"/>
          <w:shd w:val="clear" w:color="auto" w:fill="FFFFFF"/>
        </w:rPr>
        <w:t xml:space="preserve">    </w:t>
      </w:r>
    </w:p>
    <w:p w:rsidR="00AD654C" w:rsidRDefault="00AD654C" w:rsidP="00AD654C">
      <w:pPr>
        <w:pStyle w:val="NewNewNewNewNewNewNewNewNewNewNewNew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一、铝的残留量</w:t>
      </w:r>
    </w:p>
    <w:p w:rsidR="00AD654C" w:rsidRDefault="00AD654C" w:rsidP="00AD654C">
      <w:pPr>
        <w:pStyle w:val="NewNewNewNewNewNewNewNewNewNewNewNew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《食品安全国家标准 食品添加剂使用标准》（GB 2760-2014）中规定，硫酸铝钾、硫酸铝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铵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作为膨松剂、稳定剂可应用于油炸面制品，其添加量“按生产需要适量添加”，而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终产品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中的铝残留限量不得超过100mg/kg。铝残留量超标的原因可能是个别企业为改善产品口感，在生产加工过程中超限量使用含铝添加剂。</w:t>
      </w:r>
    </w:p>
    <w:p w:rsidR="00AD654C" w:rsidRDefault="00AD654C" w:rsidP="00AD654C">
      <w:pPr>
        <w:pStyle w:val="NewNewNewNewNewNewNewNewNewNewNewNew"/>
        <w:snapToGrid w:val="0"/>
        <w:spacing w:line="60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二、糖精钠</w:t>
      </w:r>
    </w:p>
    <w:p w:rsidR="00AD654C" w:rsidRDefault="00AD654C" w:rsidP="00AD654C">
      <w:pPr>
        <w:pStyle w:val="NewNewNewNewNewNewNewNewNewNewNewNew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糖精钠是一种常见食品添加剂。《食品安全国家标准 食品添加剂使用标准》（GB 2760-2014）中规定，糖精钠（以糖精计）在餐饮食品中不得使用。食用较多的糖精钠，会影响肠胃消化酶的正常分泌，降低小肠的吸收能力，使食欲减退。糖精钠不合格原因可能是企业为增加产品甜味，超范围使用甜味剂。</w:t>
      </w:r>
    </w:p>
    <w:p w:rsidR="00AD654C" w:rsidRDefault="00AD654C" w:rsidP="00AD654C">
      <w:pPr>
        <w:pStyle w:val="2"/>
        <w:spacing w:after="0" w:line="580" w:lineRule="exact"/>
        <w:ind w:leftChars="0" w:left="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三、总汞</w:t>
      </w:r>
    </w:p>
    <w:p w:rsidR="00AD654C" w:rsidRDefault="00AD654C" w:rsidP="00AD654C">
      <w:pPr>
        <w:pStyle w:val="2"/>
        <w:spacing w:after="0" w:line="580" w:lineRule="exact"/>
        <w:ind w:leftChars="0" w:left="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总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汞属于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重金属污染物指标，主要通过环境污染带入食品原料。蔬菜制品中汞超标的原因可能是生产企业对原料质量把关不严，或生产加工环境不符合要求，由生产设备迁移入产品等导致。</w:t>
      </w:r>
    </w:p>
    <w:p w:rsidR="00AD654C" w:rsidRDefault="00AD654C" w:rsidP="00AD654C">
      <w:pPr>
        <w:pStyle w:val="NewNewNewNewNewNewNewNewNewNewNewNew"/>
        <w:snapToGrid w:val="0"/>
        <w:spacing w:line="60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四、富马酸二甲酯</w:t>
      </w:r>
    </w:p>
    <w:p w:rsidR="00AD654C" w:rsidRDefault="00AD654C" w:rsidP="00AD654C">
      <w:pPr>
        <w:pStyle w:val="NewNewNewNewNewNewNewNewNewNewNewNew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富马酸二甲酯，别名马来酸二甲酯，是具有抗菌和杀虫作用的防腐剂。《食品中可能违法添加的非食用物质名单（第二批）》的通知（食品整治办[2009]5号）中将富马酸二甲酯列为非食用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物质，不得在糕点中使用。富马酸二甲酯会对人体肠道、内脏产生腐蚀性损害和引起过敏。糕点中检出富马酸二甲酯的原因可能是企业为了使产品不易霉变、延长保质期，降低生产成本而违规添加。</w:t>
      </w:r>
    </w:p>
    <w:p w:rsidR="00AD654C" w:rsidRDefault="00AD654C" w:rsidP="00AD654C">
      <w:pPr>
        <w:pStyle w:val="NewNewNewNewNewNewNewNewNewNewNewNew"/>
        <w:snapToGrid w:val="0"/>
        <w:spacing w:line="60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</w:t>
      </w:r>
      <w:proofErr w:type="gramStart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恩诺沙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星（以</w:t>
      </w:r>
      <w:proofErr w:type="gramStart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恩诺沙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星与环丙沙星之和计）</w:t>
      </w:r>
    </w:p>
    <w:p w:rsidR="00AD654C" w:rsidRDefault="00AD654C" w:rsidP="00AD654C">
      <w:pPr>
        <w:pStyle w:val="NewNewNewNewNewNewNewNewNewNewNewNew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恩诺沙星属于氟喹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诺酮类药物，是一类人工合成的广谱抗菌药，用于治疗动物的皮肤感染、呼吸道感染等，是动物专属用药。《食品安全国家标准 食品中兽药最大残留限量》（GB 31650-2019）中规定，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恩诺沙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星在鱼（皮+肉）中最高残留限量值为100μg/kg。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恩诺沙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星超标的原因，可能是养殖户在养殖过程中违规使用相关兽药。长期摄入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恩诺沙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星超标的食品，可能会引起头晕、头痛、睡眠不良、胃肠道刺激或不适等症状。</w:t>
      </w:r>
    </w:p>
    <w:p w:rsidR="00AD654C" w:rsidRDefault="00AD654C" w:rsidP="00AD654C">
      <w:pPr>
        <w:pStyle w:val="NewNewNewNewNewNewNewNewNewNewNewNew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六、呋喃</w:t>
      </w:r>
      <w:proofErr w:type="gramStart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唑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酮代谢物</w:t>
      </w:r>
    </w:p>
    <w:p w:rsidR="00AD654C" w:rsidRDefault="00AD654C" w:rsidP="00AD654C">
      <w:pPr>
        <w:pStyle w:val="NewNewNewNewNewNewNewNewNewNewNewNew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呋喃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唑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酮是属于硝基呋喃类广谱抗生素，曾广泛应用于畜禽及水产养殖业。硝基呋喃类原型药在生物体内代谢迅速，和蛋白质结合相当稳定，常利用对其代谢物的检测来反应硝基呋喃类药物的残留状况。《动物性食品中兽药最高残留限量》（农业部公告第235号）中规定，呋喃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唑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酮为禁止使用的药物，在动物性食品中不得检出。</w:t>
      </w:r>
    </w:p>
    <w:p w:rsidR="00AD654C" w:rsidRDefault="00AD654C" w:rsidP="00AD654C">
      <w:pPr>
        <w:pStyle w:val="NewNewNewNewNewNewNewNewNewNewNewNew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七、磺胺类</w:t>
      </w:r>
    </w:p>
    <w:p w:rsidR="00AD654C" w:rsidRDefault="00AD654C" w:rsidP="00AD654C">
      <w:pPr>
        <w:pStyle w:val="NewNewNewNewNewNewNewNewNewNewNewNew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磺胺类药物是一种人工合成的抗菌谱较广、性质稳定、使用简便的抗菌药，对大多数革兰氏阳性菌和阴性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菌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都有较强的抑制作用。《食品安全国家标准 食品中兽药最大残留限量》（GB 31650-2019）中规定，磺胺类在所有食品动物（产蛋期禁用）的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肌肉中最高残留限量值为100μg/kg。磺胺类超标的原因可能是养殖户在养殖过程中违规使用相关兽药，摄入磺胺类（总量）超标的食品，可能引起皮疹、药热等过敏反应。</w:t>
      </w:r>
    </w:p>
    <w:p w:rsidR="00AD654C" w:rsidRDefault="00AD654C" w:rsidP="00AD654C">
      <w:pPr>
        <w:pStyle w:val="NewNewNewNewNewNewNewNewNewNewNewNew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八、金刚烷胺</w:t>
      </w:r>
    </w:p>
    <w:p w:rsidR="00AD654C" w:rsidRDefault="00AD654C" w:rsidP="00AD654C">
      <w:pPr>
        <w:pStyle w:val="NewNewNewNewNewNewNewNewNewNewNewNew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金刚烷胺又名三环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癸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胺、三环葵胺，最早用于抑制流感病毒的抗病毒药物。《兽药地方标准 废止目录》（农业部公告第560号）中规定，金刚烷胺为禁用兽药，在动物性食品中不得检出。检出金刚烷胺的原因，可能是养殖户在饲料中违规添加，导致其在动物体内蓄积。金刚烷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胺通过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食物链进入人体内蓄积，可能使人体对其产生耐药性。</w:t>
      </w:r>
    </w:p>
    <w:p w:rsidR="00AD654C" w:rsidRDefault="00AD654C" w:rsidP="00AD654C">
      <w:pPr>
        <w:pStyle w:val="NewNewNewNewNewNewNewNewNewNewNewNew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九、镉（以Cd计）</w:t>
      </w:r>
    </w:p>
    <w:p w:rsidR="00AD654C" w:rsidRDefault="00AD654C" w:rsidP="00AD654C">
      <w:pPr>
        <w:pStyle w:val="NewNewNewNewNewNewNewNewNewNewNewNew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镉（以Cd计）是最常见的重金属元素污染物之一。《食品安全国家标准 食品中污染物限量》（GB 2762-2017）中规定，镉（以Cd计）在鲜、冻水产动物的甲壳类中限量为0.5mg/kg。水产品中镉（以Cd计）超标可能是水产品养殖过程中对环境中镉元素的富集。</w:t>
      </w:r>
    </w:p>
    <w:p w:rsidR="00AD654C" w:rsidRDefault="00AD654C" w:rsidP="00AD654C">
      <w:pPr>
        <w:spacing w:line="58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kern w:val="0"/>
          <w:sz w:val="32"/>
          <w:szCs w:val="21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21"/>
        </w:rPr>
        <w:t>十、4－氯苯氧乙酸钠</w:t>
      </w:r>
    </w:p>
    <w:p w:rsidR="00AD654C" w:rsidRDefault="00AD654C" w:rsidP="00AD654C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21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21"/>
        </w:rPr>
        <w:t>4－氯苯氧乙酸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21"/>
        </w:rPr>
        <w:t>钠又称防落素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21"/>
        </w:rPr>
        <w:t>，是一种内吸、广谱、高效、多功能植物生长调节剂，由植物的根、茎、叶、花和果吸收，主要用于防治落花、落果，抑制豆类生根等，并且可调节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21"/>
        </w:rPr>
        <w:t>植物株内激素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21"/>
        </w:rPr>
        <w:t>的平衡，刺激子房膨大，补充植物体内生长素不足。在豆芽生产中，4－氯苯氧乙酸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21"/>
        </w:rPr>
        <w:t>钠可以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21"/>
        </w:rPr>
        <w:t>促进豆芽下胚轴粗大，减少根部萌发，加速细胞分裂，可提高豆芽产量和质量，所生豆芽肥嫩、粗壮、爽口。原食药监总局，原农业部，原卫计委2015年第11</w:t>
      </w:r>
      <w:r>
        <w:rPr>
          <w:rFonts w:ascii="仿宋_GB2312" w:eastAsia="仿宋_GB2312" w:hAnsi="仿宋_GB2312" w:cs="仿宋_GB2312" w:hint="eastAsia"/>
          <w:kern w:val="0"/>
          <w:sz w:val="32"/>
          <w:szCs w:val="21"/>
        </w:rPr>
        <w:lastRenderedPageBreak/>
        <w:t>号公告规定，豆芽生产经营中禁止使用4－氯苯氧乙酸钠。</w:t>
      </w:r>
    </w:p>
    <w:p w:rsidR="00AD654C" w:rsidRDefault="00AD654C" w:rsidP="00AD654C">
      <w:pPr>
        <w:pStyle w:val="NewNewNewNewNewNewNewNewNewNewNewNew"/>
        <w:snapToGrid w:val="0"/>
        <w:spacing w:line="60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十一、氟</w:t>
      </w:r>
      <w:proofErr w:type="gramStart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苯尼考</w:t>
      </w:r>
      <w:proofErr w:type="gramEnd"/>
    </w:p>
    <w:p w:rsidR="00AD654C" w:rsidRDefault="00AD654C" w:rsidP="00AD654C">
      <w:pPr>
        <w:pStyle w:val="NewNewNewNewNewNewNewNewNewNewNewNew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氟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苯尼考又称氟甲砜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霉素，是农业部批准使用的动物专用抗菌药，主要用于敏感细菌所致的猪、鸡、鱼的细菌性疾病。《食品安全国家标准 食品中兽药最大残留限量》（GB 31650-2019）中规定，氟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苯尼考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在产蛋期家禽中禁用。鸭蛋中检出氟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苯尼考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的原因，可能是养殖户在产蛋鸭养殖过程中违规使用相关兽药，长期食用氟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苯尼考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残留超标的食品，对人体健康有一定影响。</w:t>
      </w:r>
    </w:p>
    <w:p w:rsidR="00AD654C" w:rsidRDefault="00AD654C" w:rsidP="00AD654C">
      <w:pPr>
        <w:pStyle w:val="NewNewNewNewNewNewNewNewNewNewNewNew"/>
        <w:snapToGrid w:val="0"/>
        <w:spacing w:line="60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十二、土霉素</w:t>
      </w:r>
    </w:p>
    <w:p w:rsidR="00AD654C" w:rsidRDefault="00AD654C" w:rsidP="00AD654C">
      <w:pPr>
        <w:pStyle w:val="NewNewNewNewNewNewNewNewNewNewNewNew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土霉素属于四环素类，是由链霉菌产生的一种广谱抗生素，因其具有促进生长和治疗疾病的作用，被广泛应用于饲料添加剂，是防治患病禽畜的常用药物。土霉素在饲料中滥用会使动物组织中土霉素残留超标，长期食用土霉素超标的动物食品会危害人体健康。</w:t>
      </w:r>
    </w:p>
    <w:p w:rsidR="00AD654C" w:rsidRDefault="00AD654C" w:rsidP="00AD654C">
      <w:pPr>
        <w:pStyle w:val="NewNewNewNewNewNewNewNewNewNewNewNew"/>
        <w:snapToGrid w:val="0"/>
        <w:spacing w:line="60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十三、克伦特罗</w:t>
      </w:r>
    </w:p>
    <w:p w:rsidR="00864E40" w:rsidRPr="00AD654C" w:rsidRDefault="00AD654C" w:rsidP="00AD654C">
      <w:pPr>
        <w:pStyle w:val="NewNewNewNewNewNewNewNewNewNewNewNew"/>
        <w:snapToGrid w:val="0"/>
        <w:spacing w:line="600" w:lineRule="exact"/>
        <w:ind w:firstLineChars="200" w:firstLine="640"/>
      </w:pPr>
      <w:r>
        <w:rPr>
          <w:rFonts w:ascii="仿宋_GB2312" w:eastAsia="仿宋_GB2312" w:hAnsi="仿宋_GB2312" w:cs="仿宋_GB2312" w:hint="eastAsia"/>
          <w:sz w:val="32"/>
          <w:szCs w:val="32"/>
        </w:rPr>
        <w:t>克伦特罗属于β-肾上腺素受体激动剂，作为饲料添加剂用于畜牧生产，对动物有明显的促进生长、提高瘦肉率及减少脂肪的效果。《食品中可能违法添加的非食用物质和易滥用的食品添加剂名单（第四批）》（整顿办函〔2010〕50号）中规定，β-兴奋剂类药物（盐酸克伦特罗（瘦肉精）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莱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克多巴胺等）为食品中违法添加的非食用物质，在动物性食品中不得检出。长期食用检出克伦特罗的食品可能会引起中毒，诱发心律失常，出现心悸、头晕、乏力等症状，对人体健康造成伤害。</w:t>
      </w:r>
      <w:bookmarkStart w:id="0" w:name="_GoBack"/>
      <w:bookmarkEnd w:id="0"/>
    </w:p>
    <w:sectPr w:rsidR="00864E40" w:rsidRPr="00AD654C">
      <w:pgSz w:w="11906" w:h="16838"/>
      <w:pgMar w:top="1440" w:right="1474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D0F" w:rsidRDefault="00E62D0F" w:rsidP="00AD654C">
      <w:r>
        <w:separator/>
      </w:r>
    </w:p>
  </w:endnote>
  <w:endnote w:type="continuationSeparator" w:id="0">
    <w:p w:rsidR="00E62D0F" w:rsidRDefault="00E62D0F" w:rsidP="00AD6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D0F" w:rsidRDefault="00E62D0F" w:rsidP="00AD654C">
      <w:r>
        <w:separator/>
      </w:r>
    </w:p>
  </w:footnote>
  <w:footnote w:type="continuationSeparator" w:id="0">
    <w:p w:rsidR="00E62D0F" w:rsidRDefault="00E62D0F" w:rsidP="00AD65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F25"/>
    <w:rsid w:val="00662211"/>
    <w:rsid w:val="006B7F25"/>
    <w:rsid w:val="00864E40"/>
    <w:rsid w:val="00AD654C"/>
    <w:rsid w:val="00E6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AD654C"/>
    <w:pPr>
      <w:widowControl w:val="0"/>
      <w:jc w:val="both"/>
    </w:pPr>
    <w:rPr>
      <w:rFonts w:ascii="Times New Roman" w:eastAsia="宋体" w:hAnsi="Times New Roman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5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5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5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54C"/>
    <w:rPr>
      <w:sz w:val="18"/>
      <w:szCs w:val="18"/>
    </w:rPr>
  </w:style>
  <w:style w:type="paragraph" w:customStyle="1" w:styleId="NewNewNewNewNewNewNewNewNewNewNewNew">
    <w:name w:val="正文 New New New New New New New New New New New New"/>
    <w:rsid w:val="00AD654C"/>
    <w:pPr>
      <w:widowControl w:val="0"/>
      <w:jc w:val="both"/>
    </w:pPr>
    <w:rPr>
      <w:rFonts w:ascii="Calibri" w:eastAsia="宋体" w:hAnsi="Calibri" w:cs="黑体"/>
      <w:szCs w:val="24"/>
    </w:rPr>
  </w:style>
  <w:style w:type="paragraph" w:styleId="a5">
    <w:name w:val="Body Text Indent"/>
    <w:basedOn w:val="a"/>
    <w:link w:val="Char1"/>
    <w:uiPriority w:val="99"/>
    <w:semiHidden/>
    <w:unhideWhenUsed/>
    <w:rsid w:val="00AD654C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AD654C"/>
    <w:rPr>
      <w:rFonts w:ascii="Times New Roman" w:eastAsia="宋体" w:hAnsi="Times New Roman" w:cs="黑体"/>
      <w:szCs w:val="24"/>
    </w:rPr>
  </w:style>
  <w:style w:type="paragraph" w:styleId="2">
    <w:name w:val="Body Text First Indent 2"/>
    <w:basedOn w:val="a5"/>
    <w:link w:val="2Char"/>
    <w:rsid w:val="00AD654C"/>
    <w:pPr>
      <w:ind w:firstLineChars="200" w:firstLine="420"/>
    </w:pPr>
    <w:rPr>
      <w:rFonts w:hAnsi="Calibri"/>
      <w:kern w:val="0"/>
      <w:szCs w:val="20"/>
    </w:rPr>
  </w:style>
  <w:style w:type="character" w:customStyle="1" w:styleId="2Char">
    <w:name w:val="正文首行缩进 2 Char"/>
    <w:basedOn w:val="Char1"/>
    <w:link w:val="2"/>
    <w:rsid w:val="00AD654C"/>
    <w:rPr>
      <w:rFonts w:ascii="Times New Roman" w:eastAsia="宋体" w:hAnsi="Calibri" w:cs="黑体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AD654C"/>
    <w:pPr>
      <w:widowControl w:val="0"/>
      <w:jc w:val="both"/>
    </w:pPr>
    <w:rPr>
      <w:rFonts w:ascii="Times New Roman" w:eastAsia="宋体" w:hAnsi="Times New Roman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5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5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5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54C"/>
    <w:rPr>
      <w:sz w:val="18"/>
      <w:szCs w:val="18"/>
    </w:rPr>
  </w:style>
  <w:style w:type="paragraph" w:customStyle="1" w:styleId="NewNewNewNewNewNewNewNewNewNewNewNew">
    <w:name w:val="正文 New New New New New New New New New New New New"/>
    <w:rsid w:val="00AD654C"/>
    <w:pPr>
      <w:widowControl w:val="0"/>
      <w:jc w:val="both"/>
    </w:pPr>
    <w:rPr>
      <w:rFonts w:ascii="Calibri" w:eastAsia="宋体" w:hAnsi="Calibri" w:cs="黑体"/>
      <w:szCs w:val="24"/>
    </w:rPr>
  </w:style>
  <w:style w:type="paragraph" w:styleId="a5">
    <w:name w:val="Body Text Indent"/>
    <w:basedOn w:val="a"/>
    <w:link w:val="Char1"/>
    <w:uiPriority w:val="99"/>
    <w:semiHidden/>
    <w:unhideWhenUsed/>
    <w:rsid w:val="00AD654C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AD654C"/>
    <w:rPr>
      <w:rFonts w:ascii="Times New Roman" w:eastAsia="宋体" w:hAnsi="Times New Roman" w:cs="黑体"/>
      <w:szCs w:val="24"/>
    </w:rPr>
  </w:style>
  <w:style w:type="paragraph" w:styleId="2">
    <w:name w:val="Body Text First Indent 2"/>
    <w:basedOn w:val="a5"/>
    <w:link w:val="2Char"/>
    <w:rsid w:val="00AD654C"/>
    <w:pPr>
      <w:ind w:firstLineChars="200" w:firstLine="420"/>
    </w:pPr>
    <w:rPr>
      <w:rFonts w:hAnsi="Calibri"/>
      <w:kern w:val="0"/>
      <w:szCs w:val="20"/>
    </w:rPr>
  </w:style>
  <w:style w:type="character" w:customStyle="1" w:styleId="2Char">
    <w:name w:val="正文首行缩进 2 Char"/>
    <w:basedOn w:val="Char1"/>
    <w:link w:val="2"/>
    <w:rsid w:val="00AD654C"/>
    <w:rPr>
      <w:rFonts w:ascii="Times New Roman" w:eastAsia="宋体" w:hAnsi="Calibri" w:cs="黑体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陈守强</dc:creator>
  <cp:keywords/>
  <dc:description/>
  <cp:lastModifiedBy>陈守强</cp:lastModifiedBy>
  <cp:revision>2</cp:revision>
  <dcterms:created xsi:type="dcterms:W3CDTF">2020-04-22T09:05:00Z</dcterms:created>
  <dcterms:modified xsi:type="dcterms:W3CDTF">2020-04-22T09:06:00Z</dcterms:modified>
</cp:coreProperties>
</file>