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94" w:lineRule="exact"/>
        <w:rPr>
          <w:rFonts w:ascii="黑体" w:hAns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  <w:bookmarkEnd w:id="0"/>
    </w:p>
    <w:p>
      <w:pPr>
        <w:spacing w:line="594" w:lineRule="exact"/>
        <w:jc w:val="center"/>
        <w:rPr>
          <w:rFonts w:ascii="黑体" w:hAnsi="黑体" w:eastAsia="黑体"/>
          <w:spacing w:val="-12"/>
          <w:sz w:val="32"/>
          <w:szCs w:val="32"/>
        </w:rPr>
      </w:pP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菌落总数是指示性微生物指标，反映食品的卫生状况。《食品安全国家标准 熟肉制品》（GB 2726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2016）中规定，熟肉制品（除发酵肉制品外）一个样品中菌落总数的5次检测结果均不得超过10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CFU/g。熟肉制品中菌落总数超标的原因，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可能是生产企业所使用的原辅料初始菌落数较高；也可能是生产加工过程中卫生条件控制不严格；还可能与产品包装密封不严、储运条件控制不当等有关。</w:t>
      </w: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二</w:t>
      </w:r>
      <w:r>
        <w:rPr>
          <w:rFonts w:ascii="黑体" w:hAnsi="黑体" w:eastAsia="黑体"/>
          <w:spacing w:val="-12"/>
          <w:sz w:val="32"/>
          <w:szCs w:val="32"/>
        </w:rPr>
        <w:t>、诺氟沙星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诺氟沙星是一种广谱抗菌药。《发布在食品动物中停止使用洛美沙星、培氟沙星、氧氟沙星、诺氟沙星4种兽药的决定》（农业部公告 第2292号）中规定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在食品动物中停止使用洛美沙星、培氟沙星、氧氟沙星和诺氟沙星4种兽药（蜂蜜中不得检出）。蜂蜜中检出诺氟沙星的原因，可能是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蜜蜂养殖户在养殖过程中违规使用相关兽药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三</w:t>
      </w:r>
      <w:r>
        <w:rPr>
          <w:rFonts w:ascii="黑体" w:hAnsi="黑体" w:eastAsia="黑体" w:cs="Times New Roman"/>
          <w:spacing w:val="-12"/>
          <w:sz w:val="32"/>
          <w:szCs w:val="32"/>
        </w:rPr>
        <w:t>、氟苯尼考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氟苯尼考又称氟甲砜霉素，是农业部批准使用的动物专用抗菌药，主要用于敏感细菌所致的猪、鸡、鱼的细菌性疾病。《动物性食品中兽药最高残留限量》（农业部公告 第235号）中规定，氟苯尼考在产蛋鸡中禁用（鸡蛋中不得检出）。鸡蛋中检出氟苯尼考的原因，可能是养殖户在养殖过程中违规使用相关兽药。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四</w:t>
      </w:r>
      <w:r>
        <w:rPr>
          <w:rFonts w:ascii="黑体" w:hAnsi="黑体" w:eastAsia="黑体" w:cs="Times New Roman"/>
          <w:spacing w:val="-12"/>
          <w:sz w:val="32"/>
          <w:szCs w:val="32"/>
        </w:rPr>
        <w:t>、恩诺沙星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 第235号）中规定，恩诺沙星（以恩诺沙星和环丙沙星之和计）在牛、羊、猪、兔、禽和其他动物的肌肉中最高残留限量为100μg/kg。水产品中恩诺沙星超标的原因，可能是养殖户在养殖过程中违规使用相关兽药。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五</w:t>
      </w:r>
      <w:r>
        <w:rPr>
          <w:rFonts w:ascii="黑体" w:hAnsi="黑体" w:eastAsia="黑体" w:cs="Times New Roman"/>
          <w:spacing w:val="-12"/>
          <w:sz w:val="32"/>
          <w:szCs w:val="32"/>
        </w:rPr>
        <w:t>、灭蝇胺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灭蝇胺又名环丙氨嗪，为一种新型高效、低毒、含氮杂环类杀虫剂，是目前双翅目昆虫病虫害防治效果较好的生态农药。《食品安全国家标准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2019）中规定，豇豆中灭蝇胺的最大残留限量为0.5mg/kg。豇豆中灭蝇胺超标的原因，可能是菜农对使用农药的安全间隔期不了解，从而违规使用或滥用农药。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六</w:t>
      </w:r>
      <w:r>
        <w:rPr>
          <w:rFonts w:ascii="黑体" w:hAnsi="黑体" w:eastAsia="黑体" w:cs="Times New Roman"/>
          <w:spacing w:val="-12"/>
          <w:sz w:val="32"/>
          <w:szCs w:val="32"/>
        </w:rPr>
        <w:t>、诱惑红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诱惑红是一种允许使用的人工合成食用色素，属于水溶性合成色素。该色素稳定性优良，广泛应用于糖果包衣、冰淇淋、雪糕、糖果、糕点、饮料等食品的着色。《食品安全国家标准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水果类罐头食品中不得使用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诱惑红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水果类罐头食品中检出诱惑红的原因，可能是生产企业为了改善水果类罐头的</w:t>
      </w:r>
      <w:r>
        <w:rPr>
          <w:rFonts w:ascii="Times New Roman" w:hAnsi="Times New Roman" w:eastAsia="仿宋_GB2312" w:cs="Times New Roman"/>
          <w:sz w:val="32"/>
          <w:szCs w:val="32"/>
        </w:rPr>
        <w:t>色泽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，从而</w:t>
      </w:r>
      <w:r>
        <w:rPr>
          <w:rFonts w:ascii="Times New Roman" w:hAnsi="Times New Roman" w:eastAsia="仿宋_GB2312" w:cs="Times New Roman"/>
          <w:sz w:val="32"/>
          <w:szCs w:val="32"/>
        </w:rPr>
        <w:t>违规添加诱惑红。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七</w:t>
      </w:r>
      <w:r>
        <w:rPr>
          <w:rFonts w:ascii="黑体" w:hAnsi="黑体" w:eastAsia="黑体" w:cs="Times New Roman"/>
          <w:spacing w:val="-12"/>
          <w:sz w:val="32"/>
          <w:szCs w:val="32"/>
        </w:rPr>
        <w:t>、</w:t>
      </w:r>
      <w:r>
        <w:rPr>
          <w:rFonts w:hint="eastAsia" w:ascii="黑体" w:hAnsi="黑体" w:eastAsia="黑体" w:cs="Times New Roman"/>
          <w:spacing w:val="-12"/>
          <w:sz w:val="32"/>
          <w:szCs w:val="32"/>
        </w:rPr>
        <w:t>甜蜜素（以环己基氨基磺酸计）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甜蜜素（环己基氨基磺酸钠）是食品生产中常用的甜味剂。《食品安全国家标准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2014）中规定，白酒中不得使用甜蜜素。白酒中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</w:rPr>
        <w:t>甜蜜素的原因，可能是生产企业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改善成品白酒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口感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，从</w:t>
      </w:r>
      <w:r>
        <w:rPr>
          <w:rFonts w:ascii="Times New Roman" w:hAnsi="Times New Roman" w:eastAsia="仿宋_GB2312" w:cs="Times New Roman"/>
          <w:sz w:val="32"/>
          <w:szCs w:val="32"/>
        </w:rPr>
        <w:t>违规添加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</w:t>
      </w:r>
      <w:r>
        <w:rPr>
          <w:rFonts w:ascii="Times New Roman" w:hAnsi="Times New Roman" w:eastAsia="仿宋_GB2312" w:cs="Times New Roman"/>
          <w:sz w:val="32"/>
          <w:szCs w:val="32"/>
        </w:rPr>
        <w:t>；也可能是白酒、配制酒生产过程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中造成</w:t>
      </w:r>
      <w:r>
        <w:rPr>
          <w:rFonts w:ascii="Times New Roman" w:hAnsi="Times New Roman" w:eastAsia="仿宋_GB2312" w:cs="Times New Roman"/>
          <w:sz w:val="32"/>
          <w:szCs w:val="32"/>
        </w:rPr>
        <w:t>交叉污染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八</w:t>
      </w:r>
      <w:r>
        <w:rPr>
          <w:rFonts w:ascii="黑体" w:hAnsi="黑体" w:eastAsia="黑体" w:cs="Times New Roman"/>
          <w:spacing w:val="-12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界限指标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界限指标是区别饮用天然矿泉水与其他饮用水的主要品质指标。《食品安全国家标准 饮用天然矿泉水》（GB 8537—2018）中规定，界限指标-偏硅酸、界限指标-锶和界限指标-硒最小限量分别为25.0mg/L 、0.20mg/L和0.01mg/L，实际检测的界限指标含量应达到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要求，也应符合产品标签标示要求（产品标示含量范围分别为27.8mg/L～34.22mg/L、0.392mg/L～0.462mg/L和0.005mg/L～0.1mg/L）。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该批次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饮用天然矿泉水中界限指标含量既不符合食品安全国家标准规定，也不符合产品标签标示要求。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的原因，可能是饮用天然矿泉水在生产加工过程中处理不当，导致终产品中界限指标不达标；也可能是水源界限指标含量不达标，企业出厂检验不严格。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</w:t>
      </w:r>
      <w:r>
        <w:rPr>
          <w:rFonts w:ascii="黑体" w:hAnsi="黑体" w:eastAsia="黑体" w:cs="Times New Roman"/>
          <w:sz w:val="32"/>
          <w:szCs w:val="32"/>
        </w:rPr>
        <w:t>、酒精度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酒精度又叫酒度，是指在20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时，100毫升酒中含有乙醇（酒精）的毫升数，即体积（容量）的百分数。《露酒》（GB/T 27588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2011）中规定，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酒精度实测值与产品标签标示要求允许差为</w:t>
      </w:r>
      <w:r>
        <w:rPr>
          <w:rFonts w:ascii="Times New Roman" w:hAnsi="Times New Roman" w:eastAsia="仿宋_GB2312" w:cs="Times New Roman"/>
          <w:sz w:val="32"/>
          <w:szCs w:val="32"/>
        </w:rPr>
        <w:t>±1.0%vol，其含量应符合相关要求。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酒精度未达到产品标签标示要求的原因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可能是包装不严密造成酒精挥发；还可能是企业用低度酒冒充高度酒。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</w:t>
      </w:r>
      <w:r>
        <w:rPr>
          <w:rFonts w:ascii="黑体" w:hAnsi="黑体" w:eastAsia="黑体" w:cs="Times New Roman"/>
          <w:sz w:val="32"/>
          <w:szCs w:val="32"/>
        </w:rPr>
        <w:t>总钠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总钠是人体中一种重要的无机元素。《食品安全国家标准 婴幼儿罐装辅助食品》（GB 10770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2010）中规定，婴幼儿罐装辅助食品中总钠含量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最大值为200mg/100g，且《食品安全国家标准 预包装特殊膳食用食品标签》（GB 13432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2013）中规定，营养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素含量不得低于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</w:rPr>
        <w:t>标签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</w:t>
      </w:r>
      <w:r>
        <w:rPr>
          <w:rFonts w:ascii="Times New Roman" w:hAnsi="Times New Roman" w:eastAsia="仿宋_GB2312" w:cs="Times New Roman"/>
          <w:sz w:val="32"/>
          <w:szCs w:val="32"/>
        </w:rPr>
        <w:t>示值的80%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，其实际检测含量符合食品安全国家标准要求，但未达到产品标签标示要求。</w:t>
      </w:r>
      <w:r>
        <w:rPr>
          <w:rFonts w:ascii="Times New Roman" w:hAnsi="Times New Roman" w:eastAsia="仿宋_GB2312" w:cs="Times New Roman"/>
          <w:sz w:val="32"/>
          <w:szCs w:val="32"/>
        </w:rPr>
        <w:t>特殊膳食食品中总钠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不达标的原因，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生产企业对</w:t>
      </w:r>
      <w:r>
        <w:rPr>
          <w:rFonts w:ascii="Times New Roman" w:hAnsi="Times New Roman" w:eastAsia="仿宋_GB2312" w:cs="Times New Roman"/>
          <w:sz w:val="32"/>
          <w:szCs w:val="32"/>
        </w:rPr>
        <w:t>原辅料质量控制不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严格；也可能是</w:t>
      </w:r>
      <w:r>
        <w:rPr>
          <w:rFonts w:ascii="Times New Roman" w:hAnsi="Times New Roman" w:eastAsia="仿宋_GB2312" w:cs="Times New Roman"/>
          <w:sz w:val="32"/>
          <w:szCs w:val="32"/>
        </w:rPr>
        <w:t>生产加工过程中搅拌不均匀或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企业未按标签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</w:t>
      </w:r>
      <w:r>
        <w:rPr>
          <w:rFonts w:ascii="Times New Roman" w:hAnsi="Times New Roman" w:eastAsia="仿宋_GB2312" w:cs="Times New Roman"/>
          <w:sz w:val="32"/>
          <w:szCs w:val="32"/>
        </w:rPr>
        <w:t>示值的要求添加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该营养素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3"/>
    <w:rsid w:val="0000231D"/>
    <w:rsid w:val="0000397C"/>
    <w:rsid w:val="000221A7"/>
    <w:rsid w:val="00044D2E"/>
    <w:rsid w:val="000506C6"/>
    <w:rsid w:val="00057C9D"/>
    <w:rsid w:val="0006147E"/>
    <w:rsid w:val="0007233C"/>
    <w:rsid w:val="00073F8A"/>
    <w:rsid w:val="000800AE"/>
    <w:rsid w:val="00082CA4"/>
    <w:rsid w:val="0008412D"/>
    <w:rsid w:val="00087A1C"/>
    <w:rsid w:val="00097E5A"/>
    <w:rsid w:val="000A1CA7"/>
    <w:rsid w:val="000C15AC"/>
    <w:rsid w:val="000C5E78"/>
    <w:rsid w:val="000D352B"/>
    <w:rsid w:val="000D7DB8"/>
    <w:rsid w:val="000E50D5"/>
    <w:rsid w:val="000F33A5"/>
    <w:rsid w:val="000F4B86"/>
    <w:rsid w:val="000F61A2"/>
    <w:rsid w:val="00102897"/>
    <w:rsid w:val="00113712"/>
    <w:rsid w:val="00120CFE"/>
    <w:rsid w:val="001245EF"/>
    <w:rsid w:val="00124BDE"/>
    <w:rsid w:val="00131F1B"/>
    <w:rsid w:val="00143CEB"/>
    <w:rsid w:val="001469CF"/>
    <w:rsid w:val="00150D3C"/>
    <w:rsid w:val="0015289F"/>
    <w:rsid w:val="00156C2C"/>
    <w:rsid w:val="00165889"/>
    <w:rsid w:val="0016724E"/>
    <w:rsid w:val="001901F9"/>
    <w:rsid w:val="001A4EB4"/>
    <w:rsid w:val="001A6ADF"/>
    <w:rsid w:val="001B3757"/>
    <w:rsid w:val="001C4310"/>
    <w:rsid w:val="001D33FD"/>
    <w:rsid w:val="001E7C5C"/>
    <w:rsid w:val="00226B10"/>
    <w:rsid w:val="002372CC"/>
    <w:rsid w:val="00260FFE"/>
    <w:rsid w:val="00261C11"/>
    <w:rsid w:val="0029364F"/>
    <w:rsid w:val="00296D09"/>
    <w:rsid w:val="002A7BE6"/>
    <w:rsid w:val="002B6F1A"/>
    <w:rsid w:val="002C1FFE"/>
    <w:rsid w:val="002C33B0"/>
    <w:rsid w:val="002C4B53"/>
    <w:rsid w:val="002D2547"/>
    <w:rsid w:val="002E73DF"/>
    <w:rsid w:val="002F1A53"/>
    <w:rsid w:val="002F4A5C"/>
    <w:rsid w:val="00300325"/>
    <w:rsid w:val="003022CD"/>
    <w:rsid w:val="00306096"/>
    <w:rsid w:val="00320046"/>
    <w:rsid w:val="0034206F"/>
    <w:rsid w:val="003437FE"/>
    <w:rsid w:val="0034436D"/>
    <w:rsid w:val="003455E6"/>
    <w:rsid w:val="00357F27"/>
    <w:rsid w:val="00362896"/>
    <w:rsid w:val="003703FD"/>
    <w:rsid w:val="00372061"/>
    <w:rsid w:val="00382595"/>
    <w:rsid w:val="00383988"/>
    <w:rsid w:val="0038633A"/>
    <w:rsid w:val="00391181"/>
    <w:rsid w:val="003A243B"/>
    <w:rsid w:val="003B0B34"/>
    <w:rsid w:val="003B2524"/>
    <w:rsid w:val="003D473C"/>
    <w:rsid w:val="003E4E18"/>
    <w:rsid w:val="003F7276"/>
    <w:rsid w:val="00400B86"/>
    <w:rsid w:val="004064CF"/>
    <w:rsid w:val="00407670"/>
    <w:rsid w:val="00412DAF"/>
    <w:rsid w:val="0041433F"/>
    <w:rsid w:val="0041724F"/>
    <w:rsid w:val="00417336"/>
    <w:rsid w:val="004364F8"/>
    <w:rsid w:val="0043783B"/>
    <w:rsid w:val="004405E2"/>
    <w:rsid w:val="004478FC"/>
    <w:rsid w:val="0045394C"/>
    <w:rsid w:val="00453BBA"/>
    <w:rsid w:val="00463D40"/>
    <w:rsid w:val="004642B1"/>
    <w:rsid w:val="00471090"/>
    <w:rsid w:val="00485881"/>
    <w:rsid w:val="0049418F"/>
    <w:rsid w:val="00494BF9"/>
    <w:rsid w:val="004A654B"/>
    <w:rsid w:val="004A71AB"/>
    <w:rsid w:val="004A73D7"/>
    <w:rsid w:val="004C2EFF"/>
    <w:rsid w:val="004C6392"/>
    <w:rsid w:val="004D2A8A"/>
    <w:rsid w:val="004D734A"/>
    <w:rsid w:val="004E3A22"/>
    <w:rsid w:val="004E3C44"/>
    <w:rsid w:val="004E7183"/>
    <w:rsid w:val="004F3D58"/>
    <w:rsid w:val="00520B43"/>
    <w:rsid w:val="00523582"/>
    <w:rsid w:val="00526FCB"/>
    <w:rsid w:val="00530CEC"/>
    <w:rsid w:val="005317AB"/>
    <w:rsid w:val="00534A48"/>
    <w:rsid w:val="00540E76"/>
    <w:rsid w:val="00541FD0"/>
    <w:rsid w:val="00546FD2"/>
    <w:rsid w:val="005474CB"/>
    <w:rsid w:val="0055475A"/>
    <w:rsid w:val="00554E49"/>
    <w:rsid w:val="0057056D"/>
    <w:rsid w:val="0057524F"/>
    <w:rsid w:val="005771A5"/>
    <w:rsid w:val="00580A09"/>
    <w:rsid w:val="0058530C"/>
    <w:rsid w:val="005918CF"/>
    <w:rsid w:val="00592469"/>
    <w:rsid w:val="00593DD9"/>
    <w:rsid w:val="005B4129"/>
    <w:rsid w:val="005B58B4"/>
    <w:rsid w:val="005B64D0"/>
    <w:rsid w:val="005C1007"/>
    <w:rsid w:val="005D7D45"/>
    <w:rsid w:val="005E4BD0"/>
    <w:rsid w:val="005E6EB2"/>
    <w:rsid w:val="005F459B"/>
    <w:rsid w:val="00602EF2"/>
    <w:rsid w:val="0060623E"/>
    <w:rsid w:val="00606413"/>
    <w:rsid w:val="00606589"/>
    <w:rsid w:val="00613BF8"/>
    <w:rsid w:val="006256E1"/>
    <w:rsid w:val="006379B4"/>
    <w:rsid w:val="006477DB"/>
    <w:rsid w:val="00654FF5"/>
    <w:rsid w:val="006611DA"/>
    <w:rsid w:val="0066250D"/>
    <w:rsid w:val="00662754"/>
    <w:rsid w:val="006679AA"/>
    <w:rsid w:val="00674ABF"/>
    <w:rsid w:val="006807AC"/>
    <w:rsid w:val="00687316"/>
    <w:rsid w:val="006A5576"/>
    <w:rsid w:val="006C3D93"/>
    <w:rsid w:val="006F32DE"/>
    <w:rsid w:val="006F490A"/>
    <w:rsid w:val="006F7339"/>
    <w:rsid w:val="00700879"/>
    <w:rsid w:val="00703864"/>
    <w:rsid w:val="007158BD"/>
    <w:rsid w:val="00724AE7"/>
    <w:rsid w:val="007304AC"/>
    <w:rsid w:val="00742115"/>
    <w:rsid w:val="0074288F"/>
    <w:rsid w:val="00743662"/>
    <w:rsid w:val="00743A76"/>
    <w:rsid w:val="007505B0"/>
    <w:rsid w:val="00752908"/>
    <w:rsid w:val="007715BB"/>
    <w:rsid w:val="0077575E"/>
    <w:rsid w:val="0077710D"/>
    <w:rsid w:val="007826F9"/>
    <w:rsid w:val="00783A82"/>
    <w:rsid w:val="00790785"/>
    <w:rsid w:val="00795910"/>
    <w:rsid w:val="007E4548"/>
    <w:rsid w:val="007E6B41"/>
    <w:rsid w:val="007F415D"/>
    <w:rsid w:val="00800516"/>
    <w:rsid w:val="00804CA1"/>
    <w:rsid w:val="008117B8"/>
    <w:rsid w:val="008165F3"/>
    <w:rsid w:val="00821CE5"/>
    <w:rsid w:val="00827305"/>
    <w:rsid w:val="00844135"/>
    <w:rsid w:val="00855D39"/>
    <w:rsid w:val="008753EA"/>
    <w:rsid w:val="00880F04"/>
    <w:rsid w:val="00882843"/>
    <w:rsid w:val="00893B31"/>
    <w:rsid w:val="00893DD8"/>
    <w:rsid w:val="00895177"/>
    <w:rsid w:val="008A53B1"/>
    <w:rsid w:val="008D236C"/>
    <w:rsid w:val="008D7ECA"/>
    <w:rsid w:val="008F1F83"/>
    <w:rsid w:val="009171D7"/>
    <w:rsid w:val="009479E7"/>
    <w:rsid w:val="00964054"/>
    <w:rsid w:val="00964314"/>
    <w:rsid w:val="009756BD"/>
    <w:rsid w:val="00985C0B"/>
    <w:rsid w:val="009909F3"/>
    <w:rsid w:val="009A0DC6"/>
    <w:rsid w:val="009A6574"/>
    <w:rsid w:val="009B17D9"/>
    <w:rsid w:val="009B1CE0"/>
    <w:rsid w:val="009C2713"/>
    <w:rsid w:val="009C78F5"/>
    <w:rsid w:val="009E0C03"/>
    <w:rsid w:val="009E252B"/>
    <w:rsid w:val="009F3FF4"/>
    <w:rsid w:val="009F4B8A"/>
    <w:rsid w:val="009F7A51"/>
    <w:rsid w:val="00A00833"/>
    <w:rsid w:val="00A03527"/>
    <w:rsid w:val="00A05808"/>
    <w:rsid w:val="00A10962"/>
    <w:rsid w:val="00A1575B"/>
    <w:rsid w:val="00A23CDD"/>
    <w:rsid w:val="00A318CE"/>
    <w:rsid w:val="00A339B7"/>
    <w:rsid w:val="00A370EE"/>
    <w:rsid w:val="00A43251"/>
    <w:rsid w:val="00A444AF"/>
    <w:rsid w:val="00A63D56"/>
    <w:rsid w:val="00A90FD3"/>
    <w:rsid w:val="00A91306"/>
    <w:rsid w:val="00AA29E0"/>
    <w:rsid w:val="00AA697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28B0"/>
    <w:rsid w:val="00AF09AE"/>
    <w:rsid w:val="00B00F0B"/>
    <w:rsid w:val="00B042F7"/>
    <w:rsid w:val="00B147BF"/>
    <w:rsid w:val="00B210E2"/>
    <w:rsid w:val="00B2607E"/>
    <w:rsid w:val="00B2770C"/>
    <w:rsid w:val="00B412B6"/>
    <w:rsid w:val="00B500F9"/>
    <w:rsid w:val="00B50D80"/>
    <w:rsid w:val="00B527E2"/>
    <w:rsid w:val="00B60BFA"/>
    <w:rsid w:val="00B60E7E"/>
    <w:rsid w:val="00B64047"/>
    <w:rsid w:val="00B65A57"/>
    <w:rsid w:val="00B7205D"/>
    <w:rsid w:val="00B805D0"/>
    <w:rsid w:val="00B81E79"/>
    <w:rsid w:val="00B87BDE"/>
    <w:rsid w:val="00BA54E8"/>
    <w:rsid w:val="00BC143C"/>
    <w:rsid w:val="00BC5966"/>
    <w:rsid w:val="00BC5A14"/>
    <w:rsid w:val="00BC6C29"/>
    <w:rsid w:val="00BE115B"/>
    <w:rsid w:val="00BF3BE6"/>
    <w:rsid w:val="00C24969"/>
    <w:rsid w:val="00C32795"/>
    <w:rsid w:val="00C3300F"/>
    <w:rsid w:val="00C37DF8"/>
    <w:rsid w:val="00C538B0"/>
    <w:rsid w:val="00C57661"/>
    <w:rsid w:val="00C601F0"/>
    <w:rsid w:val="00C866ED"/>
    <w:rsid w:val="00C903D2"/>
    <w:rsid w:val="00CA2437"/>
    <w:rsid w:val="00CC4441"/>
    <w:rsid w:val="00CC5731"/>
    <w:rsid w:val="00CD571D"/>
    <w:rsid w:val="00CE0330"/>
    <w:rsid w:val="00CE13D2"/>
    <w:rsid w:val="00CE227F"/>
    <w:rsid w:val="00CE7DAB"/>
    <w:rsid w:val="00CF0D96"/>
    <w:rsid w:val="00D11774"/>
    <w:rsid w:val="00D16C55"/>
    <w:rsid w:val="00D2271C"/>
    <w:rsid w:val="00D413F8"/>
    <w:rsid w:val="00D457D8"/>
    <w:rsid w:val="00D60EB7"/>
    <w:rsid w:val="00D61881"/>
    <w:rsid w:val="00D74FAD"/>
    <w:rsid w:val="00D762A4"/>
    <w:rsid w:val="00D948CC"/>
    <w:rsid w:val="00D9771E"/>
    <w:rsid w:val="00D97A82"/>
    <w:rsid w:val="00DA0ECE"/>
    <w:rsid w:val="00DB0017"/>
    <w:rsid w:val="00DC1630"/>
    <w:rsid w:val="00DC44ED"/>
    <w:rsid w:val="00DC6F34"/>
    <w:rsid w:val="00DD6236"/>
    <w:rsid w:val="00DD7850"/>
    <w:rsid w:val="00DE3E08"/>
    <w:rsid w:val="00DE52CB"/>
    <w:rsid w:val="00DF017C"/>
    <w:rsid w:val="00E12503"/>
    <w:rsid w:val="00E177BC"/>
    <w:rsid w:val="00E202AF"/>
    <w:rsid w:val="00E23940"/>
    <w:rsid w:val="00E266F9"/>
    <w:rsid w:val="00E45F03"/>
    <w:rsid w:val="00E46996"/>
    <w:rsid w:val="00E5769E"/>
    <w:rsid w:val="00E610CF"/>
    <w:rsid w:val="00E6449A"/>
    <w:rsid w:val="00E764E7"/>
    <w:rsid w:val="00E77D85"/>
    <w:rsid w:val="00E822B4"/>
    <w:rsid w:val="00E86B5A"/>
    <w:rsid w:val="00E96354"/>
    <w:rsid w:val="00EB0390"/>
    <w:rsid w:val="00EB5D9A"/>
    <w:rsid w:val="00EE0D19"/>
    <w:rsid w:val="00EF2FC7"/>
    <w:rsid w:val="00EF73EB"/>
    <w:rsid w:val="00F04BE5"/>
    <w:rsid w:val="00F06518"/>
    <w:rsid w:val="00F17545"/>
    <w:rsid w:val="00F23181"/>
    <w:rsid w:val="00F372B7"/>
    <w:rsid w:val="00F51F91"/>
    <w:rsid w:val="00F56DA2"/>
    <w:rsid w:val="00F64B8F"/>
    <w:rsid w:val="00F675A5"/>
    <w:rsid w:val="00F7649F"/>
    <w:rsid w:val="00F83867"/>
    <w:rsid w:val="00FB32AD"/>
    <w:rsid w:val="00FB4D20"/>
    <w:rsid w:val="00FC246E"/>
    <w:rsid w:val="00FD5191"/>
    <w:rsid w:val="00FE1AF9"/>
    <w:rsid w:val="00FF4420"/>
    <w:rsid w:val="011B4C08"/>
    <w:rsid w:val="011E34CD"/>
    <w:rsid w:val="01595964"/>
    <w:rsid w:val="01B830C6"/>
    <w:rsid w:val="025465A1"/>
    <w:rsid w:val="03534868"/>
    <w:rsid w:val="04046F85"/>
    <w:rsid w:val="04F630C9"/>
    <w:rsid w:val="05726918"/>
    <w:rsid w:val="05E16DF9"/>
    <w:rsid w:val="077F2AAE"/>
    <w:rsid w:val="08813F27"/>
    <w:rsid w:val="08C72576"/>
    <w:rsid w:val="094E3663"/>
    <w:rsid w:val="095A5F94"/>
    <w:rsid w:val="09F30FEE"/>
    <w:rsid w:val="0AA0268A"/>
    <w:rsid w:val="0B402AC3"/>
    <w:rsid w:val="0BBC24E1"/>
    <w:rsid w:val="0C984DD1"/>
    <w:rsid w:val="0CF52E16"/>
    <w:rsid w:val="0DA1441C"/>
    <w:rsid w:val="0DC34248"/>
    <w:rsid w:val="0E4B7A5E"/>
    <w:rsid w:val="0F1504A4"/>
    <w:rsid w:val="0F5650E8"/>
    <w:rsid w:val="0F846BD5"/>
    <w:rsid w:val="106E7849"/>
    <w:rsid w:val="10CE4DD5"/>
    <w:rsid w:val="111B02F8"/>
    <w:rsid w:val="11B44B30"/>
    <w:rsid w:val="11D6251D"/>
    <w:rsid w:val="12B22FF0"/>
    <w:rsid w:val="130A0D5E"/>
    <w:rsid w:val="13776655"/>
    <w:rsid w:val="1409062F"/>
    <w:rsid w:val="141F1364"/>
    <w:rsid w:val="14982BCC"/>
    <w:rsid w:val="14E6537B"/>
    <w:rsid w:val="155F1FBC"/>
    <w:rsid w:val="1562380C"/>
    <w:rsid w:val="15695060"/>
    <w:rsid w:val="157D1B98"/>
    <w:rsid w:val="18062A80"/>
    <w:rsid w:val="18150B2D"/>
    <w:rsid w:val="181757E3"/>
    <w:rsid w:val="18EA620F"/>
    <w:rsid w:val="18F75AF6"/>
    <w:rsid w:val="192516AB"/>
    <w:rsid w:val="1A486935"/>
    <w:rsid w:val="1A6C44B2"/>
    <w:rsid w:val="1B0B2958"/>
    <w:rsid w:val="1B163E86"/>
    <w:rsid w:val="1B257007"/>
    <w:rsid w:val="1B8F5A99"/>
    <w:rsid w:val="1C105E54"/>
    <w:rsid w:val="1C537DE2"/>
    <w:rsid w:val="1CFF64EC"/>
    <w:rsid w:val="1DC41A5D"/>
    <w:rsid w:val="1DE17B98"/>
    <w:rsid w:val="1EAD7DE2"/>
    <w:rsid w:val="1EE2795F"/>
    <w:rsid w:val="1F014273"/>
    <w:rsid w:val="1F3E3B91"/>
    <w:rsid w:val="1FF5260E"/>
    <w:rsid w:val="200060C8"/>
    <w:rsid w:val="20044607"/>
    <w:rsid w:val="209B0748"/>
    <w:rsid w:val="21096865"/>
    <w:rsid w:val="22374CCC"/>
    <w:rsid w:val="22497A61"/>
    <w:rsid w:val="24E70B10"/>
    <w:rsid w:val="25651FE5"/>
    <w:rsid w:val="26095916"/>
    <w:rsid w:val="264D262A"/>
    <w:rsid w:val="283A1239"/>
    <w:rsid w:val="288643F2"/>
    <w:rsid w:val="28867587"/>
    <w:rsid w:val="28C52944"/>
    <w:rsid w:val="297839E1"/>
    <w:rsid w:val="2A522201"/>
    <w:rsid w:val="2AA859FB"/>
    <w:rsid w:val="2B461144"/>
    <w:rsid w:val="2CE028C5"/>
    <w:rsid w:val="2DDD3235"/>
    <w:rsid w:val="2F83206D"/>
    <w:rsid w:val="2FEA1FB1"/>
    <w:rsid w:val="30005BF5"/>
    <w:rsid w:val="30297C86"/>
    <w:rsid w:val="30C8332A"/>
    <w:rsid w:val="316A1A88"/>
    <w:rsid w:val="326F6543"/>
    <w:rsid w:val="335607BE"/>
    <w:rsid w:val="339571CA"/>
    <w:rsid w:val="34036494"/>
    <w:rsid w:val="35E855B1"/>
    <w:rsid w:val="35F9591B"/>
    <w:rsid w:val="3611094A"/>
    <w:rsid w:val="37296792"/>
    <w:rsid w:val="37E0585C"/>
    <w:rsid w:val="38FC2242"/>
    <w:rsid w:val="39854A0F"/>
    <w:rsid w:val="39EE0357"/>
    <w:rsid w:val="3AFB0E91"/>
    <w:rsid w:val="3B587D6D"/>
    <w:rsid w:val="3BD65184"/>
    <w:rsid w:val="3C3450A2"/>
    <w:rsid w:val="3C756868"/>
    <w:rsid w:val="3DC106E5"/>
    <w:rsid w:val="3E6D4170"/>
    <w:rsid w:val="3EC51F80"/>
    <w:rsid w:val="3EF271A7"/>
    <w:rsid w:val="3F7E25E3"/>
    <w:rsid w:val="3F9E2BF5"/>
    <w:rsid w:val="3FFE6E7F"/>
    <w:rsid w:val="41796A9A"/>
    <w:rsid w:val="41A001D5"/>
    <w:rsid w:val="42BD7529"/>
    <w:rsid w:val="43942D60"/>
    <w:rsid w:val="43A7492C"/>
    <w:rsid w:val="44915036"/>
    <w:rsid w:val="462D467A"/>
    <w:rsid w:val="465A6A41"/>
    <w:rsid w:val="46664D5C"/>
    <w:rsid w:val="473B14AE"/>
    <w:rsid w:val="478A04AB"/>
    <w:rsid w:val="47F825F1"/>
    <w:rsid w:val="48EC2AF4"/>
    <w:rsid w:val="491330B0"/>
    <w:rsid w:val="495B4F94"/>
    <w:rsid w:val="49E4334E"/>
    <w:rsid w:val="4A413F05"/>
    <w:rsid w:val="4A897A08"/>
    <w:rsid w:val="4B041795"/>
    <w:rsid w:val="4BBD54B1"/>
    <w:rsid w:val="4C425609"/>
    <w:rsid w:val="4C6605C4"/>
    <w:rsid w:val="4EE63109"/>
    <w:rsid w:val="4F2C634C"/>
    <w:rsid w:val="4F4367A4"/>
    <w:rsid w:val="505F3BFC"/>
    <w:rsid w:val="50D04E5B"/>
    <w:rsid w:val="51585B39"/>
    <w:rsid w:val="51791E56"/>
    <w:rsid w:val="51D310D9"/>
    <w:rsid w:val="51E12D51"/>
    <w:rsid w:val="5237433C"/>
    <w:rsid w:val="52EA417D"/>
    <w:rsid w:val="52F7190B"/>
    <w:rsid w:val="52FB414E"/>
    <w:rsid w:val="53E60AC5"/>
    <w:rsid w:val="54BF758A"/>
    <w:rsid w:val="54DE207A"/>
    <w:rsid w:val="559C449F"/>
    <w:rsid w:val="55D200BA"/>
    <w:rsid w:val="55E76057"/>
    <w:rsid w:val="58122010"/>
    <w:rsid w:val="59183929"/>
    <w:rsid w:val="5BCC6019"/>
    <w:rsid w:val="5C3D7F81"/>
    <w:rsid w:val="5C765FAB"/>
    <w:rsid w:val="5C9334ED"/>
    <w:rsid w:val="5CB07CD8"/>
    <w:rsid w:val="5D2E08C2"/>
    <w:rsid w:val="5D8A2F65"/>
    <w:rsid w:val="5FCB71AC"/>
    <w:rsid w:val="5FDA5061"/>
    <w:rsid w:val="6012121A"/>
    <w:rsid w:val="6026392F"/>
    <w:rsid w:val="60B97F20"/>
    <w:rsid w:val="60D344A5"/>
    <w:rsid w:val="612E2048"/>
    <w:rsid w:val="61377C00"/>
    <w:rsid w:val="61BE695E"/>
    <w:rsid w:val="61E11027"/>
    <w:rsid w:val="62033E26"/>
    <w:rsid w:val="63101556"/>
    <w:rsid w:val="63145596"/>
    <w:rsid w:val="63305BC5"/>
    <w:rsid w:val="64370C68"/>
    <w:rsid w:val="64CB0372"/>
    <w:rsid w:val="65EC014A"/>
    <w:rsid w:val="669748B3"/>
    <w:rsid w:val="676E494F"/>
    <w:rsid w:val="67944B8F"/>
    <w:rsid w:val="6894190F"/>
    <w:rsid w:val="690D4E87"/>
    <w:rsid w:val="696658CA"/>
    <w:rsid w:val="6A755CB5"/>
    <w:rsid w:val="6AD36D9A"/>
    <w:rsid w:val="6B026AB3"/>
    <w:rsid w:val="6B356576"/>
    <w:rsid w:val="6B6412D0"/>
    <w:rsid w:val="6BA673F5"/>
    <w:rsid w:val="6BAB53D2"/>
    <w:rsid w:val="6BB37C74"/>
    <w:rsid w:val="6BD35DB0"/>
    <w:rsid w:val="6EEA50BA"/>
    <w:rsid w:val="6F531C53"/>
    <w:rsid w:val="70A81255"/>
    <w:rsid w:val="70C03532"/>
    <w:rsid w:val="717D0A1B"/>
    <w:rsid w:val="71AC2F20"/>
    <w:rsid w:val="734D2371"/>
    <w:rsid w:val="7371634F"/>
    <w:rsid w:val="73D80F05"/>
    <w:rsid w:val="74007CB8"/>
    <w:rsid w:val="74517D21"/>
    <w:rsid w:val="746B0707"/>
    <w:rsid w:val="7530491A"/>
    <w:rsid w:val="75666018"/>
    <w:rsid w:val="75B87A49"/>
    <w:rsid w:val="769C7D0E"/>
    <w:rsid w:val="78560210"/>
    <w:rsid w:val="787567CF"/>
    <w:rsid w:val="78B25573"/>
    <w:rsid w:val="792A4F07"/>
    <w:rsid w:val="798270D3"/>
    <w:rsid w:val="79AD4283"/>
    <w:rsid w:val="7A885AE7"/>
    <w:rsid w:val="7AE70DAD"/>
    <w:rsid w:val="7D0B553F"/>
    <w:rsid w:val="7E5C5B7D"/>
    <w:rsid w:val="7F907643"/>
    <w:rsid w:val="7FBB77B7"/>
    <w:rsid w:val="7FD35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4"/>
    <w:semiHidden/>
    <w:qFormat/>
    <w:uiPriority w:val="99"/>
  </w:style>
  <w:style w:type="character" w:customStyle="1" w:styleId="19">
    <w:name w:val="批注主题 字符"/>
    <w:basedOn w:val="18"/>
    <w:link w:val="3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2BCF7-F9DB-4493-8FC3-280EE4BDC8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334</Words>
  <Characters>1904</Characters>
  <Lines>15</Lines>
  <Paragraphs>4</Paragraphs>
  <TotalTime>221</TotalTime>
  <ScaleCrop>false</ScaleCrop>
  <LinksUpToDate>false</LinksUpToDate>
  <CharactersWithSpaces>2234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张慧文</cp:lastModifiedBy>
  <cp:lastPrinted>2016-09-01T02:58:00Z</cp:lastPrinted>
  <dcterms:modified xsi:type="dcterms:W3CDTF">2020-05-15T06:32:58Z</dcterms:modified>
  <dc:title>附件1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