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 w:hAnsi="仿宋"/>
          <w:color w:val="auto"/>
          <w:highlight w:val="none"/>
          <w:lang w:val="en-US"/>
        </w:rPr>
      </w:pPr>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12</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关于部分检验项目的说明</w:t>
      </w:r>
      <w:bookmarkStart w:id="0" w:name="_GoBack"/>
      <w:bookmarkEnd w:id="0"/>
    </w:p>
    <w:p>
      <w:pPr>
        <w:widowControl/>
        <w:shd w:val="clear" w:color="auto" w:fill="FFFFFF"/>
        <w:snapToGrid w:val="0"/>
        <w:spacing w:line="590" w:lineRule="exact"/>
        <w:rPr>
          <w:rFonts w:hint="eastAsia" w:ascii="仿宋" w:hAnsi="仿宋"/>
        </w:rPr>
      </w:pPr>
      <w:r>
        <w:rPr>
          <w:rFonts w:hint="eastAsia" w:ascii="仿宋" w:hAnsi="仿宋"/>
        </w:rPr>
        <w:t xml:space="preserve">    </w:t>
      </w:r>
    </w:p>
    <w:p>
      <w:pPr>
        <w:widowControl/>
        <w:shd w:val="clear" w:color="auto" w:fill="FFFFFF"/>
        <w:snapToGrid w:val="0"/>
        <w:spacing w:line="590" w:lineRule="exact"/>
        <w:ind w:firstLine="624" w:firstLineChars="200"/>
        <w:rPr>
          <w:rFonts w:hint="eastAsia" w:ascii="黑体" w:hAnsi="黑体" w:eastAsia="黑体"/>
        </w:rPr>
      </w:pPr>
      <w:r>
        <w:rPr>
          <w:rFonts w:hint="eastAsia" w:ascii="黑体" w:hAnsi="黑体" w:eastAsia="黑体"/>
          <w:lang w:eastAsia="zh-CN"/>
        </w:rPr>
        <w:t>一</w:t>
      </w:r>
      <w:r>
        <w:rPr>
          <w:rFonts w:hint="eastAsia" w:ascii="黑体" w:hAnsi="黑体" w:eastAsia="黑体"/>
        </w:rPr>
        <w:t>、</w:t>
      </w:r>
      <w:r>
        <w:rPr>
          <w:rFonts w:hint="eastAsia" w:ascii="黑体" w:hAnsi="黑体" w:eastAsia="黑体"/>
          <w:lang w:eastAsia="zh-CN"/>
        </w:rPr>
        <w:t>孔雀石绿</w:t>
      </w:r>
    </w:p>
    <w:p>
      <w:pPr>
        <w:widowControl/>
        <w:shd w:val="clear" w:color="auto" w:fill="FFFFFF"/>
        <w:snapToGrid w:val="0"/>
        <w:spacing w:line="590" w:lineRule="exact"/>
        <w:ind w:firstLine="624" w:firstLineChars="200"/>
        <w:rPr>
          <w:rFonts w:hint="eastAsia" w:ascii="Times New Roman" w:hAnsi="Times New Roman" w:eastAsia="仿宋_GB2312"/>
          <w:lang w:eastAsia="zh-CN"/>
        </w:rPr>
      </w:pPr>
      <w:r>
        <w:rPr>
          <w:rFonts w:hint="eastAsia" w:ascii="Times New Roman" w:hAnsi="Times New Roman" w:eastAsia="仿宋_GB2312"/>
        </w:rPr>
        <w:t>孔雀石绿别名碱性绿、盐基块绿、孔雀绿，是一种三苯甲烷结构的染料，因其外观颜色呈孔雀绿而得名。自被证实具有抗菌杀虫等药效以来，许多国家曾广泛将其用作驱虫剂、杀菌剂和防腐剂，以杀灭水产动物体外的寄生虫、原生动物和鱼卵中的霉菌等。孔雀石绿可在鱼体内长时间残留，通过食物链可能对人体产生致畸、致癌和致突变等危害</w:t>
      </w:r>
      <w:r>
        <w:rPr>
          <w:rFonts w:hint="eastAsia" w:ascii="Times New Roman" w:hAnsi="Times New Roman" w:eastAsia="仿宋_GB2312"/>
          <w:lang w:eastAsia="zh-CN"/>
        </w:rPr>
        <w:t>。</w:t>
      </w:r>
    </w:p>
    <w:p>
      <w:pPr>
        <w:widowControl/>
        <w:shd w:val="clear" w:color="auto" w:fill="FFFFFF"/>
        <w:snapToGrid w:val="0"/>
        <w:spacing w:line="590" w:lineRule="exact"/>
        <w:ind w:firstLine="624" w:firstLineChars="200"/>
        <w:rPr>
          <w:rFonts w:hint="eastAsia" w:ascii="黑体" w:hAnsi="黑体" w:eastAsia="黑体"/>
        </w:rPr>
      </w:pPr>
      <w:r>
        <w:rPr>
          <w:rFonts w:hint="eastAsia" w:ascii="黑体" w:hAnsi="黑体" w:eastAsia="黑体"/>
          <w:lang w:eastAsia="zh-CN"/>
        </w:rPr>
        <w:t>二</w:t>
      </w:r>
      <w:r>
        <w:rPr>
          <w:rFonts w:hint="eastAsia" w:ascii="黑体" w:hAnsi="黑体" w:eastAsia="黑体"/>
        </w:rPr>
        <w:t>、恩诺沙星</w:t>
      </w:r>
      <w:r>
        <w:rPr>
          <w:rFonts w:hint="eastAsia" w:ascii="黑体" w:hAnsi="黑体" w:eastAsia="黑体"/>
          <w:lang w:eastAsia="zh-CN"/>
        </w:rPr>
        <w:t>（</w:t>
      </w:r>
      <w:r>
        <w:rPr>
          <w:rFonts w:hint="eastAsia" w:ascii="黑体" w:hAnsi="黑体" w:eastAsia="黑体"/>
        </w:rPr>
        <w:t>以恩诺沙星与环丙沙星之和计</w:t>
      </w:r>
      <w:r>
        <w:rPr>
          <w:rFonts w:hint="eastAsia" w:ascii="黑体" w:hAnsi="黑体" w:eastAsia="黑体"/>
          <w:lang w:eastAsia="zh-CN"/>
        </w:rPr>
        <w:t>）</w:t>
      </w:r>
    </w:p>
    <w:p>
      <w:pPr>
        <w:widowControl/>
        <w:shd w:val="clear" w:color="auto" w:fill="FFFFFF"/>
        <w:snapToGrid w:val="0"/>
        <w:spacing w:line="590" w:lineRule="exact"/>
        <w:ind w:firstLine="624" w:firstLineChars="200"/>
        <w:rPr>
          <w:rFonts w:hint="eastAsia" w:ascii="Times New Roman" w:hAnsi="Times New Roman" w:eastAsia="仿宋_GB2312"/>
          <w:lang w:eastAsia="zh-CN"/>
        </w:rPr>
      </w:pPr>
      <w:r>
        <w:rPr>
          <w:rFonts w:hint="eastAsia" w:ascii="Times New Roman" w:hAnsi="Times New Roman" w:eastAsia="仿宋_GB2312"/>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牛、禽和其他动物的肌肉中的最高残留限量为100μg/kg）。长期摄入检出恩诺沙星的动物性食品，可能会引起轻度胃肠道刺激或不适、头痛、头晕、睡眠不良等症状，过多摄入还可能引起肝损害</w:t>
      </w:r>
      <w:r>
        <w:rPr>
          <w:rFonts w:hint="eastAsia" w:ascii="Times New Roman" w:hAnsi="Times New Roman" w:eastAsia="仿宋_GB2312"/>
          <w:lang w:eastAsia="zh-CN"/>
        </w:rPr>
        <w:t>。</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eastAsia="zh-CN"/>
        </w:rPr>
        <w:t>三</w:t>
      </w:r>
      <w:r>
        <w:rPr>
          <w:rFonts w:hint="default" w:ascii="Times New Roman" w:hAnsi="Times New Roman" w:eastAsia="黑体" w:cs="Times New Roman"/>
          <w:highlight w:val="none"/>
        </w:rPr>
        <w:t>、</w:t>
      </w:r>
      <w:r>
        <w:rPr>
          <w:rFonts w:hint="eastAsia" w:eastAsia="黑体" w:cs="黑体"/>
          <w:kern w:val="0"/>
          <w:sz w:val="32"/>
          <w:szCs w:val="32"/>
        </w:rPr>
        <w:t>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
          <w:highlight w:val="none"/>
        </w:rPr>
      </w:pPr>
      <w:r>
        <w:rPr>
          <w:rFonts w:hint="eastAsia" w:ascii="Times New Roman" w:hAnsi="Times New Roman" w:eastAsia="仿宋_GB2312" w:cs="仿宋"/>
          <w:highlight w:val="none"/>
        </w:rPr>
        <w:t>镉是一种毒性很强的重金属，其化合物也大多属毒性物质，镉是水产制品中最常见的污染重金属元素之一。水产制品中镉不合格可能是水产品养殖过程中对环境中镉元素的富集。镉对人体的危害主要是慢性蓄积性，长期大量摄入镉含量超标的食品可能导致肾和骨骼损伤等。</w:t>
      </w:r>
    </w:p>
    <w:p>
      <w:pPr>
        <w:spacing w:line="600" w:lineRule="exact"/>
        <w:ind w:firstLine="624"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四</w:t>
      </w:r>
      <w:r>
        <w:rPr>
          <w:rFonts w:hint="default" w:ascii="Times New Roman" w:hAnsi="Times New Roman" w:eastAsia="黑体" w:cs="Times New Roman"/>
          <w:color w:val="auto"/>
          <w:highlight w:val="none"/>
        </w:rPr>
        <w:t>、</w:t>
      </w:r>
      <w:r>
        <w:rPr>
          <w:rFonts w:hint="eastAsia" w:ascii="黑体" w:hAnsi="黑体" w:eastAsia="黑体"/>
          <w:lang w:eastAsia="zh-CN"/>
        </w:rPr>
        <w:t>菌落总数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菌落总数测定是用来判定食品被细菌污染的程度及卫生质量，它反映食品在生产过程中是否符合卫生要求，以便对被检样品做出适当的卫生学评价。菌落总数的多少在一定程度上标志着食品卫生质量的优劣。菌落总数是指示性微生物，主要反映了产品的卫生学状况及受致病菌污染的可能性。</w:t>
      </w:r>
    </w:p>
    <w:p>
      <w:pPr>
        <w:spacing w:line="600" w:lineRule="exact"/>
        <w:ind w:firstLine="624"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五</w:t>
      </w:r>
      <w:r>
        <w:rPr>
          <w:rFonts w:hint="default" w:ascii="Times New Roman" w:hAnsi="Times New Roman" w:eastAsia="黑体" w:cs="Times New Roman"/>
          <w:color w:val="auto"/>
          <w:highlight w:val="none"/>
        </w:rPr>
        <w:t>、</w:t>
      </w:r>
      <w:r>
        <w:rPr>
          <w:rFonts w:hint="eastAsia" w:ascii="黑体" w:hAnsi="黑体" w:eastAsia="黑体"/>
          <w:lang w:eastAsia="zh-CN"/>
        </w:rPr>
        <w:t>酒精度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酒精度又叫酒度，是指在20℃时，100毫升白酒中含有乙醇（酒精）的毫升数，即体积（容量）的百分数。酒精度是白酒的一个理化指标，产品明示执行标准规定，酒精度实测值与标签标示值允许差为±1.0%vol。白酒中酒精度不达标会影响白酒的品质，主要原因有：生产企业检验能力不足，造成检验结果偏差；或是包装不严密造成酒精挥发，导致酒精度降低以致不合格；或是为企业为降低成本，用低度酒冒充高度酒。</w:t>
      </w:r>
    </w:p>
    <w:p>
      <w:pPr>
        <w:spacing w:line="600" w:lineRule="exact"/>
        <w:ind w:firstLine="624"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六</w:t>
      </w:r>
      <w:r>
        <w:rPr>
          <w:rFonts w:hint="default" w:ascii="Times New Roman" w:hAnsi="Times New Roman" w:eastAsia="黑体" w:cs="Times New Roman"/>
          <w:color w:val="auto"/>
          <w:highlight w:val="none"/>
        </w:rPr>
        <w:t>、</w:t>
      </w:r>
      <w:r>
        <w:rPr>
          <w:rFonts w:hint="eastAsia" w:ascii="黑体" w:hAnsi="黑体" w:eastAsia="黑体"/>
          <w:lang w:eastAsia="zh-CN"/>
        </w:rPr>
        <w:t>霉菌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仿宋_GB2312" w:cs="Times New Roman"/>
          <w:color w:val="auto"/>
          <w:highlight w:val="none"/>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16D48"/>
    <w:rsid w:val="07116D48"/>
    <w:rsid w:val="26153BC5"/>
    <w:rsid w:val="5D057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2020-05-21T09:32:00Z</dcterms:created>
  <dc:creator>罗钰珊</dc:creator>
  <cp:lastModifiedBy>罗钰珊</cp:lastModifiedBy>
  <dcterms:modified xsi:type="dcterms:W3CDTF">2020-05-21T09:34:10Z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