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方正小标宋简体" w:eastAsia="方正小标宋简体"/>
          <w:spacing w:val="-12"/>
          <w:sz w:val="44"/>
          <w:szCs w:val="44"/>
        </w:rPr>
      </w:pPr>
      <w:r>
        <w:rPr>
          <w:rFonts w:hint="eastAsia" w:ascii="方正小标宋简体" w:eastAsia="方正小标宋简体"/>
          <w:spacing w:val="-12"/>
          <w:sz w:val="44"/>
          <w:szCs w:val="44"/>
        </w:rPr>
        <w:t>部分不合格项目的小知识</w:t>
      </w:r>
    </w:p>
    <w:p>
      <w:pPr>
        <w:keepNext w:val="0"/>
        <w:keepLines w:val="0"/>
        <w:pageBreakBefore w:val="0"/>
        <w:widowControl w:val="0"/>
        <w:kinsoku/>
        <w:wordWrap/>
        <w:overflowPunct/>
        <w:topLinePunct w:val="0"/>
        <w:autoSpaceDE/>
        <w:autoSpaceDN/>
        <w:bidi w:val="0"/>
        <w:adjustRightInd/>
        <w:snapToGrid/>
        <w:spacing w:line="400" w:lineRule="exact"/>
        <w:ind w:firstLine="592" w:firstLineChars="200"/>
        <w:jc w:val="center"/>
        <w:textAlignment w:val="auto"/>
        <w:rPr>
          <w:rFonts w:hint="eastAsia" w:ascii="仿宋" w:hAnsi="仿宋" w:eastAsia="仿宋" w:cs="仿宋"/>
          <w:spacing w:val="-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过氧化值（以脂肪计）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过氧化值主要反映食品中油脂是否氧化变质。随着油脂氧化，过氧化值会逐步升高。</w:t>
      </w:r>
      <w:r>
        <w:rPr>
          <w:rFonts w:hint="eastAsia" w:ascii="仿宋_GB2312" w:hAnsi="宋体" w:eastAsia="仿宋_GB2312"/>
          <w:color w:val="000000"/>
          <w:sz w:val="32"/>
          <w:szCs w:val="32"/>
          <w:lang w:eastAsia="zh-CN"/>
        </w:rPr>
        <w:t>食品</w:t>
      </w:r>
      <w:r>
        <w:rPr>
          <w:rFonts w:hint="eastAsia" w:ascii="仿宋_GB2312" w:hAnsi="宋体" w:eastAsia="仿宋_GB2312"/>
          <w:color w:val="000000"/>
          <w:sz w:val="32"/>
          <w:szCs w:val="32"/>
        </w:rPr>
        <w:t>中过氧化值超标的原因，可能是产品在储</w:t>
      </w:r>
      <w:r>
        <w:rPr>
          <w:rFonts w:hint="eastAsia" w:ascii="仿宋_GB2312" w:hAnsi="宋体" w:eastAsia="仿宋_GB2312"/>
          <w:color w:val="000000"/>
          <w:sz w:val="32"/>
          <w:szCs w:val="32"/>
          <w:lang w:eastAsia="zh-CN"/>
        </w:rPr>
        <w:t>运</w:t>
      </w:r>
      <w:r>
        <w:rPr>
          <w:rFonts w:hint="eastAsia" w:ascii="仿宋_GB2312" w:hAnsi="宋体" w:eastAsia="仿宋_GB2312"/>
          <w:color w:val="000000"/>
          <w:sz w:val="32"/>
          <w:szCs w:val="32"/>
        </w:rPr>
        <w:t>过程中环境条件控制不当</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也可能是原料储存不当，未采取有效的抗氧化措施，导致原料中的脂肪氧化，使得终产品油脂氧化。</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二、铝的残留量（干样品，以Al计）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rPr>
      </w:pPr>
      <w:r>
        <w:rPr>
          <w:rFonts w:hint="eastAsia" w:ascii="仿宋_GB2312" w:hAnsi="宋体" w:eastAsia="仿宋_GB2312"/>
          <w:color w:val="000000"/>
          <w:sz w:val="32"/>
          <w:szCs w:val="32"/>
        </w:rPr>
        <w:t>硫酸铝钾（又名钾明矾）、硫酸铝铵（又名铵明矾）是食品加工中常用的膨松剂和稳定剂，使用后产生铝残留。铝残留量超标的原因可能是，个别企业为改善产品卖相和口感，在生产加工过程中超限量使用含铝添加剂，或者其使用的复配添加剂中铝含量过高。</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、大肠菌群</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大肠菌群是国内外通用的食品污染常用指示菌之一。造成</w:t>
      </w:r>
      <w:r>
        <w:rPr>
          <w:rFonts w:hint="eastAsia" w:ascii="Times New Roman" w:hAnsi="Times New Roman" w:eastAsia="仿宋_GB2312"/>
          <w:sz w:val="32"/>
          <w:szCs w:val="32"/>
          <w:lang w:eastAsia="zh-CN"/>
        </w:rPr>
        <w:t>复用餐饮具</w:t>
      </w:r>
      <w:r>
        <w:rPr>
          <w:rFonts w:ascii="Times New Roman" w:hAnsi="Times New Roman" w:eastAsia="仿宋_GB2312"/>
          <w:sz w:val="32"/>
          <w:szCs w:val="32"/>
        </w:rPr>
        <w:t>大肠菌群</w:t>
      </w:r>
      <w:r>
        <w:rPr>
          <w:rFonts w:hint="eastAsia" w:ascii="Times New Roman" w:hAnsi="Times New Roman" w:eastAsia="仿宋_GB2312"/>
          <w:sz w:val="32"/>
          <w:szCs w:val="32"/>
          <w:lang w:eastAsia="zh-CN"/>
        </w:rPr>
        <w:t>不合格</w:t>
      </w:r>
      <w:r>
        <w:rPr>
          <w:rFonts w:ascii="Times New Roman" w:hAnsi="Times New Roman" w:eastAsia="仿宋_GB2312"/>
          <w:sz w:val="32"/>
          <w:szCs w:val="32"/>
        </w:rPr>
        <w:t>的原因，可能是</w:t>
      </w:r>
      <w:r>
        <w:rPr>
          <w:rFonts w:hint="eastAsia" w:ascii="Times New Roman" w:hAnsi="Times New Roman" w:eastAsia="仿宋_GB2312"/>
          <w:sz w:val="32"/>
          <w:szCs w:val="32"/>
          <w:lang w:val="en-US" w:eastAsia="zh-CN"/>
        </w:rPr>
        <w:t>清洗、消毒不彻底，或存放过程中受到污染等</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、腐霉利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腐霉利是一种低毒内吸性杀菌剂，具有保护和治疗双重作用。腐霉利超标的主要原因可能是种植过程中为控制病虫害超量使用或不遵循安全间隔期规定。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400" w:lineRule="exact"/>
        <w:ind w:firstLine="640" w:firstLineChars="200"/>
        <w:textAlignment w:val="auto"/>
        <w:rPr>
          <w:rFonts w:ascii="Times New Roman" w:hAnsi="Times New Roman" w:eastAsia="仿宋_GB2312"/>
          <w:kern w:val="2"/>
          <w:sz w:val="32"/>
          <w:szCs w:val="32"/>
        </w:rPr>
      </w:pPr>
      <w:r>
        <w:rPr>
          <w:rFonts w:hint="eastAsia" w:ascii="黑体" w:hAnsi="黑体" w:eastAsia="黑体"/>
          <w:sz w:val="32"/>
          <w:szCs w:val="32"/>
          <w:lang w:val="en-US" w:eastAsia="zh-CN"/>
        </w:rPr>
        <w:t>五</w:t>
      </w:r>
      <w:r>
        <w:rPr>
          <w:rFonts w:ascii="Times New Roman" w:hAnsi="黑体" w:eastAsia="黑体"/>
          <w:spacing w:val="-12"/>
          <w:sz w:val="32"/>
          <w:szCs w:val="32"/>
        </w:rPr>
        <w:t>、呋喃</w:t>
      </w:r>
      <w:r>
        <w:rPr>
          <w:rFonts w:hint="eastAsia" w:ascii="Times New Roman" w:hAnsi="黑体" w:eastAsia="黑体"/>
          <w:spacing w:val="-12"/>
          <w:sz w:val="32"/>
          <w:szCs w:val="32"/>
          <w:lang w:eastAsia="zh-CN"/>
        </w:rPr>
        <w:t>西林</w:t>
      </w:r>
      <w:r>
        <w:rPr>
          <w:rFonts w:ascii="Times New Roman" w:hAnsi="黑体" w:eastAsia="黑体"/>
          <w:spacing w:val="-12"/>
          <w:sz w:val="32"/>
          <w:szCs w:val="32"/>
        </w:rPr>
        <w:t>代谢物</w:t>
      </w:r>
      <w:r>
        <w:rPr>
          <w:rFonts w:hint="eastAsia" w:ascii="Times New Roman" w:hAnsi="黑体" w:eastAsia="黑体"/>
          <w:spacing w:val="-12"/>
          <w:sz w:val="32"/>
          <w:szCs w:val="32"/>
          <w:lang w:eastAsia="zh-CN"/>
        </w:rPr>
        <w:t>、</w:t>
      </w:r>
      <w:r>
        <w:rPr>
          <w:rFonts w:ascii="Times New Roman" w:hAnsi="黑体" w:eastAsia="黑体"/>
          <w:spacing w:val="-12"/>
          <w:sz w:val="32"/>
          <w:szCs w:val="32"/>
        </w:rPr>
        <w:t>呋喃唑酮代谢物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呋喃西林、</w:t>
      </w:r>
      <w:r>
        <w:rPr>
          <w:rFonts w:ascii="Times New Roman" w:hAnsi="Times New Roman" w:eastAsia="仿宋_GB2312" w:cs="Times New Roman"/>
          <w:sz w:val="32"/>
          <w:szCs w:val="32"/>
        </w:rPr>
        <w:t>呋喃唑酮</w:t>
      </w:r>
      <w:r>
        <w:rPr>
          <w:rFonts w:hint="eastAsia" w:ascii="仿宋_GB2312" w:hAnsi="宋体" w:eastAsia="仿宋_GB2312"/>
          <w:color w:val="000000"/>
          <w:sz w:val="32"/>
          <w:szCs w:val="32"/>
          <w:lang w:eastAsia="zh-CN"/>
        </w:rPr>
        <w:t>是硝基呋喃类广谱抗生素，曾广泛应用于畜禽及水产养殖业。硝基呋喃类原型药在生物体内代谢迅速，其代谢物因与蛋白质结合而相当稳定，故常利用对其代谢物的检测来反映硝基呋喃类药物的残留状况。呋喃西林、呋喃唑酮为禁止使用的药物，在动物性食品中不得检出。</w:t>
      </w:r>
    </w:p>
    <w:p>
      <w:pPr>
        <w:keepNext w:val="0"/>
        <w:keepLines w:val="0"/>
        <w:pageBreakBefore w:val="0"/>
        <w:kinsoku/>
        <w:wordWrap/>
        <w:overflowPunct/>
        <w:topLinePunct w:val="0"/>
        <w:autoSpaceDE/>
        <w:autoSpaceDN/>
        <w:bidi w:val="0"/>
        <w:adjustRightInd/>
        <w:snapToGrid/>
        <w:spacing w:line="400" w:lineRule="exact"/>
        <w:ind w:firstLine="592" w:firstLineChars="200"/>
        <w:textAlignment w:val="auto"/>
        <w:rPr>
          <w:rFonts w:ascii="Times New Roman" w:hAnsi="Times New Roman" w:eastAsia="黑体" w:cs="Times New Roman"/>
          <w:spacing w:val="-12"/>
          <w:sz w:val="32"/>
          <w:szCs w:val="32"/>
        </w:rPr>
      </w:pPr>
      <w:r>
        <w:rPr>
          <w:rFonts w:hint="eastAsia" w:ascii="Times New Roman" w:hAnsi="黑体" w:eastAsia="黑体" w:cs="Times New Roman"/>
          <w:spacing w:val="-12"/>
          <w:sz w:val="32"/>
          <w:szCs w:val="32"/>
          <w:lang w:val="en-US" w:eastAsia="zh-CN"/>
        </w:rPr>
        <w:t>六</w:t>
      </w:r>
      <w:r>
        <w:rPr>
          <w:rFonts w:ascii="Times New Roman" w:hAnsi="黑体" w:eastAsia="黑体" w:cs="Times New Roman"/>
          <w:spacing w:val="-12"/>
          <w:sz w:val="32"/>
          <w:szCs w:val="32"/>
        </w:rPr>
        <w:t>、灭蝇胺</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灭蝇胺又名环丙氨嗪，为一种新型高效、低毒、含氮杂环类杀虫剂，</w:t>
      </w:r>
      <w:bookmarkStart w:id="0" w:name="_GoBack"/>
      <w:bookmarkEnd w:id="0"/>
      <w:r>
        <w:rPr>
          <w:rFonts w:hint="eastAsia" w:ascii="Times New Roman" w:hAnsi="Times New Roman" w:eastAsia="仿宋_GB2312" w:cs="Times New Roman"/>
          <w:sz w:val="32"/>
          <w:szCs w:val="32"/>
          <w:lang w:eastAsia="zh-CN"/>
        </w:rPr>
        <w:t>主要用于豇豆生长过程中美洲斑潜蝇、豆荚螟等害虫防治，</w:t>
      </w:r>
      <w:r>
        <w:rPr>
          <w:rFonts w:hint="eastAsia" w:ascii="Times New Roman" w:hAnsi="Times New Roman" w:eastAsia="仿宋_GB2312" w:cs="Times New Roman"/>
          <w:sz w:val="32"/>
          <w:szCs w:val="32"/>
          <w:lang w:val="en-US" w:eastAsia="zh-CN"/>
        </w:rPr>
        <w:t>超标的原因可能是</w:t>
      </w:r>
      <w:r>
        <w:rPr>
          <w:rFonts w:hint="eastAsia" w:ascii="Times New Roman" w:hAnsi="Times New Roman" w:eastAsia="仿宋_GB2312" w:cs="Times New Roman"/>
          <w:sz w:val="32"/>
          <w:szCs w:val="32"/>
          <w:lang w:eastAsia="zh-CN"/>
        </w:rPr>
        <w:t>种植者为保证豇豆种植收成和卖相违规使用。</w:t>
      </w:r>
    </w:p>
    <w:p>
      <w:pPr>
        <w:pStyle w:val="4"/>
        <w:keepNext w:val="0"/>
        <w:keepLines w:val="0"/>
        <w:pageBreakBefore w:val="0"/>
        <w:widowControl/>
        <w:kinsoku/>
        <w:wordWrap/>
        <w:overflowPunct/>
        <w:topLinePunct w:val="0"/>
        <w:autoSpaceDE/>
        <w:autoSpaceDN/>
        <w:bidi w:val="0"/>
        <w:adjustRightInd/>
        <w:snapToGrid/>
        <w:spacing w:beforeAutospacing="0" w:afterAutospacing="0" w:line="400" w:lineRule="exact"/>
        <w:ind w:firstLine="592" w:firstLineChars="200"/>
        <w:textAlignment w:val="auto"/>
        <w:rPr>
          <w:rFonts w:hint="eastAsia" w:ascii="Times New Roman" w:hAnsi="Times New Roman" w:eastAsia="黑体"/>
          <w:spacing w:val="-12"/>
          <w:sz w:val="32"/>
          <w:szCs w:val="32"/>
          <w:lang w:eastAsia="zh-CN"/>
        </w:rPr>
      </w:pPr>
      <w:r>
        <w:rPr>
          <w:rFonts w:hint="eastAsia" w:ascii="Times New Roman" w:hAnsi="黑体" w:eastAsia="黑体"/>
          <w:spacing w:val="-12"/>
          <w:sz w:val="32"/>
          <w:szCs w:val="32"/>
          <w:lang w:val="en-US" w:eastAsia="zh-CN"/>
        </w:rPr>
        <w:t>七</w:t>
      </w:r>
      <w:r>
        <w:rPr>
          <w:rFonts w:ascii="Times New Roman" w:hAnsi="黑体" w:eastAsia="黑体"/>
          <w:spacing w:val="-12"/>
          <w:sz w:val="32"/>
          <w:szCs w:val="32"/>
        </w:rPr>
        <w:t>、</w:t>
      </w:r>
      <w:r>
        <w:rPr>
          <w:rFonts w:hint="eastAsia" w:ascii="Times New Roman" w:hAnsi="Times New Roman" w:eastAsia="黑体"/>
          <w:spacing w:val="-12"/>
          <w:sz w:val="32"/>
          <w:szCs w:val="32"/>
          <w:lang w:eastAsia="zh-CN"/>
        </w:rPr>
        <w:t>克伦特罗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克伦特罗属于β-肾上腺素受体激动剂，对动物有明显的促进生长、提高瘦肉率及减少脂肪的效果。《食品中可能违法添加的非食用物质和易滥用的食品添加剂名单（第四批）》（整顿办函〔2010〕50号）中规定，β-兴奋剂类药物（盐酸克伦特罗（瘦肉精）、莱克多巴胺等）为食品中违法添加的非食用物质，在动物性食品中不得检出。克伦特罗项目不合格的主要原因可能是不法养殖户为增加动物的瘦肉量、迎合消费需求及获得更大的经济效益而违法使用。</w:t>
      </w:r>
    </w:p>
    <w:p>
      <w:pPr>
        <w:pStyle w:val="2"/>
        <w:keepNext w:val="0"/>
        <w:keepLines w:val="0"/>
        <w:pageBreakBefore w:val="0"/>
        <w:kinsoku/>
        <w:wordWrap/>
        <w:overflowPunct/>
        <w:topLinePunct w:val="0"/>
        <w:autoSpaceDE/>
        <w:autoSpaceDN/>
        <w:bidi w:val="0"/>
        <w:snapToGrid/>
        <w:spacing w:after="0" w:line="400" w:lineRule="exact"/>
        <w:ind w:left="0" w:leftChars="0" w:firstLine="640" w:firstLineChars="200"/>
        <w:textAlignment w:val="auto"/>
        <w:rPr>
          <w:rFonts w:ascii="黑体" w:hAnsi="黑体" w:eastAsia="黑体"/>
          <w:kern w:val="2"/>
          <w:sz w:val="32"/>
          <w:szCs w:val="32"/>
        </w:rPr>
      </w:pPr>
      <w:r>
        <w:rPr>
          <w:rFonts w:hint="eastAsia" w:ascii="黑体" w:hAnsi="黑体" w:eastAsia="黑体"/>
          <w:kern w:val="2"/>
          <w:sz w:val="32"/>
          <w:szCs w:val="32"/>
          <w:lang w:val="en-US" w:eastAsia="zh-CN"/>
        </w:rPr>
        <w:t>八、</w:t>
      </w:r>
      <w:r>
        <w:rPr>
          <w:rFonts w:hint="eastAsia" w:ascii="黑体" w:hAnsi="黑体" w:eastAsia="黑体"/>
          <w:kern w:val="2"/>
          <w:sz w:val="32"/>
          <w:szCs w:val="32"/>
        </w:rPr>
        <w:t>防腐剂混合使用时各自用量占其最大使用量的比例之和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防腐剂是常见的食品添加剂，能抑制微生物的生长繁殖，防止食品腐败变质从而延长保质期。《食品安全国家标准食品添加剂使用标准》（GB 2760-2014）中不仅规定了我国在食品中允许添加的某一添加剂的种类、使用量或残留量，而且规定了同一功能的防腐剂在混合使用时，各自用量占其最大使用量的比例之和不应超过1。糕点中防腐剂混合使用时各自用量占其最大使用量的比例之和超标的原因，可能是生产厂商对国家标准不了解或了解得不够透彻，随意添加多种防腐剂所致。</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九、甲胺磷</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640" w:firstLineChars="200"/>
        <w:textAlignment w:val="auto"/>
        <w:rPr>
          <w:rFonts w:hint="eastAsia"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甲胺磷是一种有机磷杀虫剂，2008年起已禁止使用，但由于有良好的防治病虫害效果，种植者仍有违规使用。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firstLine="640"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sz w:val="32"/>
          <w:szCs w:val="32"/>
          <w:lang w:val="en-US" w:eastAsia="zh-CN"/>
        </w:rPr>
        <w:t>十</w:t>
      </w:r>
      <w:r>
        <w:rPr>
          <w:rFonts w:hint="eastAsia" w:ascii="黑体" w:hAnsi="黑体" w:eastAsia="黑体" w:cs="黑体"/>
          <w:color w:val="auto"/>
          <w:sz w:val="32"/>
          <w:szCs w:val="32"/>
          <w:lang w:val="en-US" w:eastAsia="zh-CN"/>
        </w:rPr>
        <w:t>、克百威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克百威是一种氨基甲酸酯类杀虫、杀螨、杀线虫剂，并有一定的杀卵作用。克百威超标的主要原因可能是种植过程中为控制病虫害而违规使用。</w:t>
      </w:r>
    </w:p>
    <w:p>
      <w:pPr>
        <w:keepNext w:val="0"/>
        <w:keepLines w:val="0"/>
        <w:pageBreakBefore w:val="0"/>
        <w:kinsoku/>
        <w:wordWrap/>
        <w:overflowPunct/>
        <w:topLinePunct w:val="0"/>
        <w:autoSpaceDE/>
        <w:autoSpaceDN/>
        <w:bidi w:val="0"/>
        <w:adjustRightInd/>
        <w:snapToGrid/>
        <w:spacing w:line="400"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、亚硝酸盐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亚硝酸盐，是一类无机化合物的总称，以亚硝酸钠最为常见，是自然界中普遍存在的含氮无机化合物。亚硝酸盐是一种护色剂、防腐剂，一般用于发色作用，使肉制品呈现诱人的鲜红色，提高产品的商品性，此外还有抗氧化和防腐等功效。原卫生部、原国家食品药品监督管理总局2012年第10号公告规定，禁止餐饮服务单位采购、贮存、使用食品添加剂亚硝酸盐（亚硝酸钠、亚硝酸钾）。</w:t>
      </w:r>
    </w:p>
    <w:p>
      <w:pPr>
        <w:keepNext w:val="0"/>
        <w:keepLines w:val="0"/>
        <w:pageBreakBefore w:val="0"/>
        <w:kinsoku/>
        <w:wordWrap/>
        <w:overflowPunct/>
        <w:topLinePunct w:val="0"/>
        <w:autoSpaceDE/>
        <w:autoSpaceDN/>
        <w:bidi w:val="0"/>
        <w:snapToGrid/>
        <w:spacing w:line="400" w:lineRule="exact"/>
        <w:ind w:firstLine="592" w:firstLineChars="200"/>
        <w:textAlignment w:val="auto"/>
        <w:rPr>
          <w:rFonts w:ascii="Times New Roman" w:hAnsi="Times New Roman" w:eastAsia="黑体"/>
          <w:spacing w:val="-12"/>
          <w:sz w:val="32"/>
          <w:szCs w:val="32"/>
        </w:rPr>
      </w:pPr>
      <w:r>
        <w:rPr>
          <w:rFonts w:hint="eastAsia" w:ascii="Times New Roman" w:hAnsi="Times New Roman" w:eastAsia="黑体"/>
          <w:spacing w:val="-12"/>
          <w:sz w:val="32"/>
          <w:szCs w:val="32"/>
          <w:lang w:eastAsia="zh-CN"/>
        </w:rPr>
        <w:t>十二</w:t>
      </w:r>
      <w:r>
        <w:rPr>
          <w:rFonts w:hint="eastAsia" w:ascii="Times New Roman" w:hAnsi="Times New Roman" w:eastAsia="黑体"/>
          <w:spacing w:val="-12"/>
          <w:sz w:val="32"/>
          <w:szCs w:val="32"/>
        </w:rPr>
        <w:t>、</w:t>
      </w:r>
      <w:r>
        <w:rPr>
          <w:rFonts w:hint="eastAsia" w:ascii="黑体" w:hAnsi="黑体" w:eastAsia="黑体"/>
          <w:spacing w:val="-12"/>
          <w:sz w:val="32"/>
          <w:szCs w:val="32"/>
        </w:rPr>
        <w:t>氨基酸态氮</w:t>
      </w:r>
    </w:p>
    <w:p>
      <w:pPr>
        <w:pStyle w:val="4"/>
        <w:keepNext w:val="0"/>
        <w:keepLines w:val="0"/>
        <w:pageBreakBefore w:val="0"/>
        <w:widowControl/>
        <w:kinsoku/>
        <w:wordWrap/>
        <w:overflowPunct/>
        <w:topLinePunct w:val="0"/>
        <w:autoSpaceDE/>
        <w:autoSpaceDN/>
        <w:bidi w:val="0"/>
        <w:adjustRightInd w:val="0"/>
        <w:snapToGrid/>
        <w:spacing w:before="0" w:beforeAutospacing="0" w:afterAutospacing="0" w:line="400" w:lineRule="exact"/>
        <w:ind w:firstLine="640" w:firstLineChars="200"/>
        <w:jc w:val="both"/>
        <w:textAlignment w:val="auto"/>
        <w:rPr>
          <w:rFonts w:hint="eastAsia" w:ascii="仿宋_GB2312" w:hAnsi="宋体" w:eastAsia="仿宋_GB2312" w:cs="Times New Roman"/>
          <w:color w:val="000000"/>
          <w:kern w:val="2"/>
          <w:sz w:val="32"/>
          <w:szCs w:val="32"/>
          <w:lang w:val="en-US" w:eastAsia="zh-CN" w:bidi="ar-SA"/>
        </w:rPr>
      </w:pPr>
      <w:r>
        <w:rPr>
          <w:rFonts w:hint="eastAsia" w:ascii="仿宋_GB2312" w:hAnsi="宋体" w:eastAsia="仿宋_GB2312" w:cs="Times New Roman"/>
          <w:color w:val="000000"/>
          <w:kern w:val="2"/>
          <w:sz w:val="32"/>
          <w:szCs w:val="32"/>
          <w:lang w:val="en-US" w:eastAsia="zh-CN" w:bidi="ar-SA"/>
        </w:rPr>
        <w:t>氨基酸态氮是酱油的特征性品质指标之一。该指标不达标的原因可能是产品生产工艺不符合标准要求，未达到要求发酵的时间；或者是产品配方缺陷的问题；也可能是酿造酱油产品本身等级较低，企业为增加销量违规标注高等级的问题。氨基酸态氮不合格，主要会影响酱油产品的风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outlineLvl w:val="0"/>
        <w:rPr>
          <w:rFonts w:hint="eastAsia" w:ascii="仿宋_GB2312" w:hAnsi="宋体" w:eastAsia="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Arial" w:hAnsi="Arial" w:cs="Arial"/>
          <w:b w:val="0"/>
          <w:i w:val="0"/>
          <w:caps w:val="0"/>
          <w:color w:val="191919"/>
          <w:spacing w:val="0"/>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8120E"/>
    <w:multiLevelType w:val="singleLevel"/>
    <w:tmpl w:val="BF3812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A776A"/>
    <w:rsid w:val="00266986"/>
    <w:rsid w:val="020145AD"/>
    <w:rsid w:val="02461A32"/>
    <w:rsid w:val="049C10E0"/>
    <w:rsid w:val="091E1E8C"/>
    <w:rsid w:val="096176A1"/>
    <w:rsid w:val="098C4AD6"/>
    <w:rsid w:val="09AD3D2D"/>
    <w:rsid w:val="0A8A135D"/>
    <w:rsid w:val="0AAB3302"/>
    <w:rsid w:val="0C1A7DE6"/>
    <w:rsid w:val="0C6647C1"/>
    <w:rsid w:val="0D080EEF"/>
    <w:rsid w:val="0D922677"/>
    <w:rsid w:val="0DAB56CF"/>
    <w:rsid w:val="109C1D15"/>
    <w:rsid w:val="10AE03F8"/>
    <w:rsid w:val="11540BC8"/>
    <w:rsid w:val="15D35D91"/>
    <w:rsid w:val="16293424"/>
    <w:rsid w:val="162B0826"/>
    <w:rsid w:val="16A5094C"/>
    <w:rsid w:val="16F16139"/>
    <w:rsid w:val="17844181"/>
    <w:rsid w:val="17D16A01"/>
    <w:rsid w:val="1CE20905"/>
    <w:rsid w:val="1DC60705"/>
    <w:rsid w:val="1E653698"/>
    <w:rsid w:val="21267DEF"/>
    <w:rsid w:val="214E7B36"/>
    <w:rsid w:val="229F0FF2"/>
    <w:rsid w:val="241F67F7"/>
    <w:rsid w:val="24DF7C17"/>
    <w:rsid w:val="27441CC2"/>
    <w:rsid w:val="27DE4DFA"/>
    <w:rsid w:val="29527064"/>
    <w:rsid w:val="29CB062A"/>
    <w:rsid w:val="2C6161EE"/>
    <w:rsid w:val="2D873E73"/>
    <w:rsid w:val="2DC9409F"/>
    <w:rsid w:val="2DD038F3"/>
    <w:rsid w:val="2E047006"/>
    <w:rsid w:val="2EF84E53"/>
    <w:rsid w:val="30B03B2F"/>
    <w:rsid w:val="31012FC9"/>
    <w:rsid w:val="311B2AB5"/>
    <w:rsid w:val="32CB30AC"/>
    <w:rsid w:val="33C43AEB"/>
    <w:rsid w:val="36800BB6"/>
    <w:rsid w:val="36EE6574"/>
    <w:rsid w:val="37184F83"/>
    <w:rsid w:val="3A6536C7"/>
    <w:rsid w:val="3ABC1FE1"/>
    <w:rsid w:val="3B551BC6"/>
    <w:rsid w:val="3B7452EB"/>
    <w:rsid w:val="3E0B4B63"/>
    <w:rsid w:val="3EA42C16"/>
    <w:rsid w:val="3FF47B42"/>
    <w:rsid w:val="41036A61"/>
    <w:rsid w:val="41E80A47"/>
    <w:rsid w:val="426A6186"/>
    <w:rsid w:val="43CF2673"/>
    <w:rsid w:val="44AB7D16"/>
    <w:rsid w:val="456D64FF"/>
    <w:rsid w:val="45801D20"/>
    <w:rsid w:val="47476A52"/>
    <w:rsid w:val="48117E1B"/>
    <w:rsid w:val="48D605A0"/>
    <w:rsid w:val="492B5D59"/>
    <w:rsid w:val="4B2702ED"/>
    <w:rsid w:val="4C403DD2"/>
    <w:rsid w:val="4EE13927"/>
    <w:rsid w:val="4F080B75"/>
    <w:rsid w:val="4F2C65C3"/>
    <w:rsid w:val="5017563D"/>
    <w:rsid w:val="50CC49CA"/>
    <w:rsid w:val="513F6002"/>
    <w:rsid w:val="54592DD1"/>
    <w:rsid w:val="54662E91"/>
    <w:rsid w:val="54DA4CA8"/>
    <w:rsid w:val="5552448B"/>
    <w:rsid w:val="55D67DAA"/>
    <w:rsid w:val="560E5994"/>
    <w:rsid w:val="56666818"/>
    <w:rsid w:val="58BA776A"/>
    <w:rsid w:val="59F50B97"/>
    <w:rsid w:val="5A515E52"/>
    <w:rsid w:val="5BAE373B"/>
    <w:rsid w:val="5BC33DA8"/>
    <w:rsid w:val="5C4821F4"/>
    <w:rsid w:val="5DAD2E62"/>
    <w:rsid w:val="60A26DA1"/>
    <w:rsid w:val="61117A29"/>
    <w:rsid w:val="612175D9"/>
    <w:rsid w:val="61DB1E35"/>
    <w:rsid w:val="61EE24B5"/>
    <w:rsid w:val="645F28A9"/>
    <w:rsid w:val="65031979"/>
    <w:rsid w:val="656B0542"/>
    <w:rsid w:val="662B3639"/>
    <w:rsid w:val="66B21B51"/>
    <w:rsid w:val="697C5C95"/>
    <w:rsid w:val="6B5457C1"/>
    <w:rsid w:val="6EB63099"/>
    <w:rsid w:val="6EF70921"/>
    <w:rsid w:val="723C570C"/>
    <w:rsid w:val="72F102A1"/>
    <w:rsid w:val="73832442"/>
    <w:rsid w:val="74895696"/>
    <w:rsid w:val="76536427"/>
    <w:rsid w:val="77F013EB"/>
    <w:rsid w:val="78676F6E"/>
    <w:rsid w:val="79A839EE"/>
    <w:rsid w:val="79D028D0"/>
    <w:rsid w:val="7A6E225E"/>
    <w:rsid w:val="7AFB4DF9"/>
    <w:rsid w:val="7D2526E5"/>
    <w:rsid w:val="7E717605"/>
    <w:rsid w:val="7FB9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hAnsi="Calibri"/>
      <w:kern w:val="0"/>
      <w:szCs w:val="20"/>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2019-10-22T08:11:00Z</dcterms:created>
  <dc:creator>406-yt</dc:creator>
  <cp:lastModifiedBy>千里之外</cp:lastModifiedBy>
  <cp:lastPrinted>2019-12-25T06:39:00Z</cp:lastPrinted>
  <dcterms:modified xsi:type="dcterms:W3CDTF">2020-05-30T02:26:03Z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