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pacing w:line="560" w:lineRule="exact"/>
        <w:jc w:val="center"/>
        <w:textAlignment w:val="auto"/>
        <w:outlineLvl w:val="9"/>
        <w:rPr>
          <w:rFonts w:ascii="Times New Roman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pacing w:line="560" w:lineRule="exact"/>
        <w:jc w:val="center"/>
        <w:textAlignment w:val="auto"/>
        <w:outlineLvl w:val="9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不予食品生产许可决定书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   ）低风险食品未许字〔   〕第   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u w:val="single"/>
        </w:rPr>
      </w:pPr>
      <w:r>
        <w:rPr>
          <w:rFonts w:hint="eastAsia" w:ascii="仿宋_GB2312" w:hAnsi="仿宋_GB2312" w:eastAsia="仿宋_GB2312" w:cs="仿宋_GB2312"/>
          <w:u w:val="single"/>
        </w:rPr>
        <w:t xml:space="preserve">   申请人名称    </w:t>
      </w:r>
      <w:r>
        <w:rPr>
          <w:rFonts w:hint="eastAsia" w:ascii="仿宋_GB2312" w:hAnsi="仿宋_GB2312" w:eastAsia="仿宋_GB2312" w:cs="仿宋_GB231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u w:val="single"/>
        </w:rPr>
      </w:pPr>
      <w:r>
        <w:rPr>
          <w:rFonts w:hint="eastAsia" w:ascii="仿宋_GB2312" w:hAnsi="仿宋_GB2312" w:eastAsia="仿宋_GB2312" w:cs="仿宋_GB2312"/>
        </w:rPr>
        <w:t>你（单位）于</w:t>
      </w:r>
      <w:r>
        <w:rPr>
          <w:rFonts w:hint="eastAsia" w:ascii="仿宋_GB2312" w:hAnsi="仿宋_GB2312" w:eastAsia="仿宋_GB2312" w:cs="仿宋_GB231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eastAsia="仿宋_GB2312" w:cs="仿宋_GB231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</w:rPr>
        <w:t>日向本机关提出的低风险食品生产许可申请，食品类别为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</w:rPr>
        <w:t>，经审查，不符合法定条件。现决定对</w:t>
      </w:r>
      <w:r>
        <w:rPr>
          <w:rFonts w:hint="eastAsia" w:ascii="仿宋_GB2312" w:hAnsi="仿宋_GB2312" w:eastAsia="仿宋_GB2312" w:cs="仿宋_GB2312"/>
          <w:u w:val="single"/>
        </w:rPr>
        <w:t xml:space="preserve">      （食品类别）      </w:t>
      </w:r>
      <w:r>
        <w:rPr>
          <w:rFonts w:hint="eastAsia" w:ascii="仿宋_GB2312" w:hAnsi="仿宋_GB2312" w:eastAsia="仿宋_GB2312" w:cs="仿宋_GB2312"/>
        </w:rPr>
        <w:t>不予行政许可。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理由: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如不服从本决定，你（单位）可以按照《中华人民共和国行政复议法》第九条的规定提起行政复议，或按照《中华人民共和国行政诉讼法》第三十八条、第三十九条的规定提起行政诉讼。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left="5120" w:hanging="5120" w:hangingChars="1600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left="5120" w:hanging="5120" w:hangingChars="1600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firstLine="5760" w:firstLineChars="180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许可专用章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本决定书作出之日起按规定送达。许可受理工作尚未实施全程电子化的，本决定书一式两份，一份送达申请人，一份存档；许可受理工作实施全程电子化的，加盖电子印章后通过信息化系统直接反馈申请人。（本备注正式使用时不显示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73009"/>
    <w:rsid w:val="0AB7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2020-06-03T08:14:00Z</dcterms:created>
  <dc:creator>王云光</dc:creator>
  <cp:lastModifiedBy>王云光</cp:lastModifiedBy>
  <dcterms:modified xsi:type="dcterms:W3CDTF">2020-06-03T08:14:57Z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