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C0C0C"/>
          <w:sz w:val="32"/>
          <w:szCs w:val="32"/>
        </w:rPr>
        <w:t>附件</w:t>
      </w:r>
    </w:p>
    <w:p>
      <w:pPr>
        <w:tabs>
          <w:tab w:val="center" w:pos="6718"/>
          <w:tab w:val="right" w:pos="13436"/>
        </w:tabs>
        <w:adjustRightInd w:val="0"/>
        <w:snapToGrid w:val="0"/>
        <w:spacing w:line="600" w:lineRule="exact"/>
        <w:jc w:val="center"/>
        <w:rPr>
          <w:rFonts w:hint="default" w:ascii="Times New Roman" w:hAnsi="Times New Roman" w:eastAsia="宋体" w:cs="Times New Roman"/>
          <w:b/>
          <w:bCs/>
          <w:color w:val="0C0C0C"/>
          <w:sz w:val="30"/>
          <w:szCs w:val="32"/>
          <w:lang w:eastAsia="zh-CN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b w:val="0"/>
          <w:bCs w:val="0"/>
          <w:color w:val="0C0C0C"/>
          <w:sz w:val="44"/>
          <w:szCs w:val="44"/>
          <w:lang w:eastAsia="zh-CN"/>
        </w:rPr>
        <w:t>广州市</w:t>
      </w:r>
      <w:r>
        <w:rPr>
          <w:rFonts w:hint="eastAsia" w:ascii="方正小标宋简体" w:hAnsi="方正小标宋_GBK" w:eastAsia="方正小标宋简体" w:cs="方正小标宋_GBK"/>
          <w:b w:val="0"/>
          <w:bCs w:val="0"/>
          <w:color w:val="0C0C0C"/>
          <w:sz w:val="44"/>
          <w:szCs w:val="44"/>
          <w:lang w:val="en-US" w:eastAsia="zh-CN"/>
        </w:rPr>
        <w:t>2020年食品安全重点工作安排</w:t>
      </w:r>
      <w:r>
        <w:rPr>
          <w:rFonts w:hint="eastAsia" w:ascii="方正小标宋简体" w:hAnsi="方正小标宋_GBK" w:eastAsia="方正小标宋简体" w:cs="方正小标宋_GBK"/>
          <w:b w:val="0"/>
          <w:bCs w:val="0"/>
          <w:color w:val="0C0C0C"/>
          <w:sz w:val="44"/>
          <w:szCs w:val="44"/>
        </w:rPr>
        <w:t>任务分工表</w:t>
      </w:r>
      <w:bookmarkEnd w:id="0"/>
    </w:p>
    <w:tbl>
      <w:tblPr>
        <w:tblStyle w:val="4"/>
        <w:tblW w:w="13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6922"/>
        <w:gridCol w:w="4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tblHeader/>
          <w:jc w:val="center"/>
        </w:trPr>
        <w:tc>
          <w:tcPr>
            <w:tcW w:w="2096" w:type="dxa"/>
            <w:vAlign w:val="center"/>
          </w:tcPr>
          <w:p>
            <w:pPr>
              <w:tabs>
                <w:tab w:val="center" w:pos="6718"/>
                <w:tab w:val="right" w:pos="13436"/>
              </w:tabs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C0C0C"/>
                <w:sz w:val="28"/>
                <w:szCs w:val="28"/>
              </w:rPr>
              <w:t>一级标题</w:t>
            </w:r>
          </w:p>
        </w:tc>
        <w:tc>
          <w:tcPr>
            <w:tcW w:w="6922" w:type="dxa"/>
            <w:vAlign w:val="center"/>
          </w:tcPr>
          <w:p>
            <w:pPr>
              <w:tabs>
                <w:tab w:val="center" w:pos="6718"/>
                <w:tab w:val="right" w:pos="13436"/>
              </w:tabs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C0C0C"/>
                <w:sz w:val="28"/>
                <w:szCs w:val="28"/>
              </w:rPr>
              <w:t>主要内容</w:t>
            </w:r>
          </w:p>
        </w:tc>
        <w:tc>
          <w:tcPr>
            <w:tcW w:w="4418" w:type="dxa"/>
            <w:vAlign w:val="center"/>
          </w:tcPr>
          <w:p>
            <w:pPr>
              <w:tabs>
                <w:tab w:val="center" w:pos="6718"/>
                <w:tab w:val="right" w:pos="13436"/>
              </w:tabs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C0C0C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  <w:jc w:val="center"/>
        </w:trPr>
        <w:tc>
          <w:tcPr>
            <w:tcW w:w="2096" w:type="dxa"/>
            <w:vMerge w:val="restart"/>
            <w:vAlign w:val="center"/>
          </w:tcPr>
          <w:p>
            <w:pPr>
              <w:pStyle w:val="8"/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C0C0C"/>
                <w:sz w:val="28"/>
                <w:szCs w:val="28"/>
                <w:lang w:val="en-US" w:eastAsia="zh-CN"/>
              </w:rPr>
              <w:t>一、认真落实新冠肺炎疫情防控工作。</w:t>
            </w:r>
          </w:p>
        </w:tc>
        <w:tc>
          <w:tcPr>
            <w:tcW w:w="692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C0C0C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C0C0C"/>
                <w:sz w:val="28"/>
                <w:szCs w:val="28"/>
                <w:lang w:eastAsia="zh-CN"/>
              </w:rPr>
              <w:t>落实疫情防控责任，切实加大疫情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C0C0C"/>
                <w:sz w:val="28"/>
                <w:szCs w:val="28"/>
              </w:rPr>
              <w:t>防控期间监管力度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C0C0C"/>
                <w:sz w:val="28"/>
                <w:szCs w:val="28"/>
                <w:lang w:eastAsia="zh-CN"/>
              </w:rPr>
              <w:t>，督促落实防控措施。</w:t>
            </w:r>
          </w:p>
        </w:tc>
        <w:tc>
          <w:tcPr>
            <w:tcW w:w="441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市商务局、市卫生健康委、市市场监管局、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C0C0C"/>
                <w:sz w:val="28"/>
                <w:szCs w:val="28"/>
                <w:lang w:eastAsia="zh-CN"/>
              </w:rPr>
              <w:t>市林业园林局、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各区政府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C0C0C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C0C0C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C0C0C"/>
                <w:sz w:val="28"/>
                <w:szCs w:val="28"/>
                <w:lang w:eastAsia="zh-CN"/>
              </w:rPr>
              <w:t>加强禽畜饲养、屠宰、运输和经营监管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C0C0C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441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C0C0C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C0C0C"/>
                <w:sz w:val="28"/>
                <w:szCs w:val="28"/>
                <w:lang w:eastAsia="zh-CN"/>
              </w:rPr>
              <w:t>市农业农村局、市卫生健康委、市市场监管局、市城市管理综合执法局、各区政府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C0C0C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C0C0C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C0C0C"/>
                <w:kern w:val="0"/>
                <w:sz w:val="28"/>
                <w:szCs w:val="28"/>
              </w:rPr>
              <w:t>加大食品生产经营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C0C0C"/>
                <w:kern w:val="0"/>
                <w:sz w:val="28"/>
                <w:szCs w:val="28"/>
                <w:lang w:eastAsia="zh-CN"/>
              </w:rPr>
              <w:t>执法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C0C0C"/>
                <w:kern w:val="0"/>
                <w:sz w:val="28"/>
                <w:szCs w:val="28"/>
              </w:rPr>
              <w:t>力度，依法从严、从重、从快查处食品安全违法违规行为，坚决防止出现食品安全风险与疫情防控风险叠加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C0C0C"/>
                <w:sz w:val="28"/>
                <w:szCs w:val="28"/>
              </w:rPr>
              <w:t>。</w:t>
            </w:r>
          </w:p>
        </w:tc>
        <w:tc>
          <w:tcPr>
            <w:tcW w:w="441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C0C0C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C0C0C"/>
                <w:kern w:val="0"/>
                <w:sz w:val="28"/>
                <w:szCs w:val="28"/>
                <w:lang w:val="en-US" w:eastAsia="zh-CN"/>
              </w:rPr>
              <w:t>市市场监管局、各区政府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2096" w:type="dxa"/>
            <w:vAlign w:val="center"/>
          </w:tcPr>
          <w:p>
            <w:pPr>
              <w:pStyle w:val="8"/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C0C0C"/>
                <w:sz w:val="28"/>
                <w:szCs w:val="28"/>
                <w:lang w:eastAsia="zh-CN"/>
              </w:rPr>
              <w:t>二、</w:t>
            </w:r>
            <w:r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  <w:t>加快推进国家食品安全示范城市创建工作</w:t>
            </w:r>
          </w:p>
        </w:tc>
        <w:tc>
          <w:tcPr>
            <w:tcW w:w="692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持续推进国家食品安全示范城市和国家农产品质量安全县创建工作，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争取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高标准通过省级和国家级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评价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验收，</w:t>
            </w: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8"/>
                <w:szCs w:val="28"/>
              </w:rPr>
              <w:t>以“双安双创”示范引领，推动提升全市食品安全治理水平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。</w:t>
            </w:r>
          </w:p>
        </w:tc>
        <w:tc>
          <w:tcPr>
            <w:tcW w:w="441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市食安委各成员单位、各区政府按职责分工负责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jc w:val="center"/>
        </w:trPr>
        <w:tc>
          <w:tcPr>
            <w:tcW w:w="209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三、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</w:rPr>
              <w:t>深入实施产地环境净化行动</w:t>
            </w: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加强农用地土壤保护工作，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  <w:t>大力实施《广州市土壤污染防治行动计划工作方案》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  <w:t>开展农业农村污染治理攻坚，继续开展涉镉等重金属重点行业企业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排查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  <w:t>整治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市生态环境局、各区政府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  <w:t>加强耕地土壤环境类别划分和重金属污染区耕地风险管控与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安全利用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  <w:t>，加大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  <w:t>产品种植养殖环境污染治理力度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推进畜禽养殖废弃物资源化利用。</w:t>
            </w:r>
          </w:p>
        </w:tc>
        <w:tc>
          <w:tcPr>
            <w:tcW w:w="441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市农业农村局、各区政府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C0C0C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  <w:t>、深入推进农药兽药使用减量行动</w:t>
            </w: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color w:val="0C0C0C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大力实施化肥农药减量增效行动、水产养殖用药减量行动、兽药抗菌药治理行动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4418" w:type="dxa"/>
            <w:vMerge w:val="restart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市农业农村局、各区政府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209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C0C0C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 w:cs="黑体"/>
                <w:snapToGrid/>
                <w:color w:val="0C0C0C"/>
                <w:sz w:val="28"/>
                <w:szCs w:val="28"/>
              </w:rPr>
              <w:t>加强食用农产品源头监管</w:t>
            </w: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大力加强“菜篮子”“米袋子”建设，推动农业标准化生产，加强各级农</w:t>
            </w:r>
            <w:r>
              <w:rPr>
                <w:rFonts w:hint="eastAsia" w:ascii="仿宋_GB2312" w:hAnsi="仿宋_GB2312" w:eastAsia="仿宋_GB2312" w:cs="仿宋_GB2312"/>
                <w:snapToGrid/>
                <w:color w:val="0C0C0C"/>
                <w:sz w:val="28"/>
                <w:szCs w:val="28"/>
              </w:rPr>
              <w:t>业标准化示范区建设，加强蔬菜标准园、畜禽现代规模养殖场和水产健康养殖</w:t>
            </w:r>
            <w:r>
              <w:rPr>
                <w:rFonts w:hint="eastAsia" w:ascii="仿宋_GB2312" w:hAnsi="仿宋_GB2312" w:eastAsia="仿宋_GB2312" w:cs="仿宋_GB2312"/>
                <w:snapToGrid/>
                <w:color w:val="0C0C0C"/>
                <w:sz w:val="28"/>
                <w:szCs w:val="28"/>
                <w:lang w:eastAsia="zh-CN"/>
              </w:rPr>
              <w:t>示范</w:t>
            </w:r>
            <w:r>
              <w:rPr>
                <w:rFonts w:hint="eastAsia" w:ascii="仿宋_GB2312" w:hAnsi="仿宋_GB2312" w:eastAsia="仿宋_GB2312" w:cs="仿宋_GB2312"/>
                <w:snapToGrid/>
                <w:color w:val="0C0C0C"/>
                <w:sz w:val="28"/>
                <w:szCs w:val="28"/>
              </w:rPr>
              <w:t>场建设管理</w:t>
            </w:r>
            <w:r>
              <w:rPr>
                <w:rFonts w:hint="eastAsia" w:ascii="仿宋_GB2312" w:hAnsi="仿宋_GB2312" w:eastAsia="仿宋_GB2312" w:cs="仿宋_GB2312"/>
                <w:snapToGrid/>
                <w:color w:val="0C0C0C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0C0C0C"/>
                <w:sz w:val="28"/>
                <w:szCs w:val="28"/>
                <w:u w:val="none"/>
                <w:lang w:eastAsia="zh-CN"/>
              </w:rPr>
              <w:t>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C0C0C"/>
                <w:sz w:val="28"/>
                <w:szCs w:val="28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 w:cs="仿宋_GB2312"/>
                <w:snapToGrid/>
                <w:color w:val="0C0C0C"/>
                <w:sz w:val="28"/>
                <w:szCs w:val="28"/>
              </w:rPr>
              <w:t>加快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粤港澳大湾区“菜篮子”平台建设。</w:t>
            </w:r>
            <w:r>
              <w:rPr>
                <w:rFonts w:hint="eastAsia" w:ascii="仿宋_GB2312" w:hAnsi="仿宋_GB2312" w:eastAsia="仿宋_GB2312" w:cs="仿宋_GB2312"/>
                <w:snapToGrid/>
                <w:color w:val="0C0C0C"/>
                <w:sz w:val="28"/>
                <w:szCs w:val="28"/>
              </w:rPr>
              <w:t>稳步发展绿色、有机和地理标志农产品，培育优质安全农产品品牌，提升农产品质量安全水平。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推广</w:t>
            </w:r>
            <w:r>
              <w:rPr>
                <w:rFonts w:hint="eastAsia" w:ascii="仿宋_GB2312" w:hAnsi="仿宋_GB2312" w:eastAsia="仿宋_GB2312" w:cs="仿宋_GB2312"/>
                <w:color w:val="0B0B0B"/>
                <w:sz w:val="28"/>
                <w:szCs w:val="28"/>
              </w:rPr>
              <w:t>试行</w:t>
            </w:r>
            <w:r>
              <w:rPr>
                <w:rFonts w:hint="eastAsia" w:ascii="仿宋_GB2312" w:hAnsi="仿宋_GB2312" w:eastAsia="仿宋_GB2312" w:cs="仿宋_GB2312"/>
                <w:color w:val="0B0B0B"/>
                <w:sz w:val="28"/>
                <w:szCs w:val="28"/>
                <w:lang w:eastAsia="zh-CN"/>
              </w:rPr>
              <w:t>食用</w:t>
            </w:r>
            <w:r>
              <w:rPr>
                <w:rFonts w:hint="eastAsia" w:ascii="仿宋_GB2312" w:hAnsi="仿宋_GB2312" w:eastAsia="仿宋_GB2312" w:cs="仿宋_GB2312"/>
                <w:color w:val="0B0B0B"/>
                <w:sz w:val="28"/>
                <w:szCs w:val="28"/>
              </w:rPr>
              <w:t>农产品合格证制度</w:t>
            </w:r>
            <w:r>
              <w:rPr>
                <w:rFonts w:hint="eastAsia" w:ascii="仿宋_GB2312" w:hAnsi="仿宋_GB2312" w:eastAsia="仿宋_GB2312" w:cs="仿宋_GB2312"/>
                <w:snapToGrid/>
                <w:color w:val="0C0C0C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加大监督检查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和执法监督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力度，督促落实食用农产品生产主体责任，指导农产品生产者科学合理使用投入品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0C0C0C"/>
                <w:sz w:val="28"/>
                <w:szCs w:val="28"/>
                <w:u w:val="none"/>
                <w:lang w:eastAsia="zh-CN"/>
              </w:rPr>
              <w:t>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snapToGrid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  <w:t>10.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加强食用林产品种殖监管和质量安全监测及风险评估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市林业园林局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C0C0C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  <w:t>、加强食品生产安全监管</w:t>
            </w: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  <w:t>11.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加强指导食品工业企业技术进步和技术创新。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  <w:t>12.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大力开展肉制品质量提升行动、乳制品质量提升行动。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市市场监管局、各区政府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  <w:t>13.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深入推进食品生产加工小作坊提质行动。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市市场监管局、各区政府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  <w:t>14.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继续推进大型食品生产企业实施HACCP、GMP、IS022000等先进管理体系组织生产，实现大型食品生产企业良好生产规范实施率100%。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市市场监管局、各区政府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  <w:t>15.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持续推进食品生产全过程动态监管平台建设与运用，引导中小型企业应用先进的生产管理方法全面规范生产行为。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市市场监管局、各区政府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312"/>
              </w:tabs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  <w:t>16.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强化婴幼儿辅助食品、乳制品、肉制品、湿米粉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、奶瓶、奶嘴、一次性塑料餐饮具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等重点食品生产企业区域性专项监督检查，完善婴幼儿辅助食品、肉制品、乳制品等重点食品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（含食品相关产品）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生产企业自查报告制度，督促企业落实自查，全市自查报告率达100%。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市市场监管局、各区政府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C0C0C"/>
                <w:sz w:val="28"/>
                <w:szCs w:val="28"/>
                <w:lang w:eastAsia="zh-CN"/>
              </w:rPr>
              <w:t>七</w:t>
            </w:r>
            <w:r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 w:cs="黑体"/>
                <w:snapToGrid w:val="0"/>
                <w:color w:val="0C0C0C"/>
                <w:sz w:val="28"/>
                <w:szCs w:val="28"/>
              </w:rPr>
              <w:t>加强食品经营安全监管</w:t>
            </w: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  <w:t>17.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实施“优质粮食工程”行动，提高优质安全粮油产品供给水平。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市发展改革委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  <w:t>18.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积极推进食用农产品市场监管，建立健全食用农产品产地准出和市场准入有效衔接机制。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市市场监管局、市农业农村局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  <w:t>19.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鼓励市场、超市等经营主体持续开展食用农产品“产销对接”合作。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市市场监管局、市农业农村局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  <w:t>20.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扎实推进食品销售风险分级管理工作。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C0C0C"/>
                <w:sz w:val="28"/>
                <w:szCs w:val="28"/>
                <w:lang w:eastAsia="zh-CN"/>
              </w:rPr>
              <w:t>七</w:t>
            </w:r>
            <w:r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 w:cs="黑体"/>
                <w:snapToGrid w:val="0"/>
                <w:color w:val="0C0C0C"/>
                <w:sz w:val="28"/>
                <w:szCs w:val="28"/>
              </w:rPr>
              <w:t>加强食品经营安全监管</w:t>
            </w: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  <w:t>21.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加快肉菜流通追溯系统建设，推动相关追溯系统与重要产品追溯系统对接。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  <w:t>22.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巩固和</w:t>
            </w:r>
            <w:r>
              <w:rPr>
                <w:rFonts w:hint="eastAsia" w:ascii="仿宋_GB2312" w:hAnsi="仿宋_GB2312" w:eastAsia="仿宋_GB2312" w:cs="仿宋_GB2312"/>
                <w:bCs/>
                <w:color w:val="0C0C0C"/>
                <w:sz w:val="28"/>
                <w:szCs w:val="28"/>
              </w:rPr>
              <w:t>完善食用农产品质量安全追溯体系建设，探索实施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“一品一链”食品追溯行动</w:t>
            </w:r>
            <w:r>
              <w:rPr>
                <w:rFonts w:hint="eastAsia" w:ascii="仿宋_GB2312" w:hAnsi="仿宋_GB2312" w:eastAsia="仿宋_GB2312" w:cs="仿宋_GB2312"/>
                <w:bCs/>
                <w:color w:val="0C0C0C"/>
                <w:sz w:val="28"/>
                <w:szCs w:val="28"/>
              </w:rPr>
              <w:t>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市市场监管局、市农业农村局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  <w:t>23.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加强覆盖基地、物流配送、批发等环节的农产品冷链物流体系建设。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312"/>
              </w:tabs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  <w:t>24.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深入实施进口食品“国门守护”行动，强化进口食品安全监管，切实打好非洲猪瘟口岸阻击战，严防输入型食品安全风险，严厉打击食品走私。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广州海关、黄埔海关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C0C0C"/>
                <w:sz w:val="28"/>
                <w:szCs w:val="28"/>
                <w:lang w:eastAsia="zh-CN"/>
              </w:rPr>
              <w:t>八</w:t>
            </w:r>
            <w:r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  <w:t>、大力推进餐饮服务质量安全提升行动</w:t>
            </w:r>
          </w:p>
        </w:tc>
        <w:tc>
          <w:tcPr>
            <w:tcW w:w="6922" w:type="dxa"/>
            <w:vAlign w:val="center"/>
          </w:tcPr>
          <w:p>
            <w:pPr>
              <w:tabs>
                <w:tab w:val="left" w:pos="420"/>
              </w:tabs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  <w:t>25.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继续深化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推进实施餐饮业量化分级提升工程、明厨亮灶建设工程、餐饮服务示范工程、规范有序形象提升工程、网络订餐提升工程等五大工程。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市市场监管局、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2"/>
                <w:sz w:val="28"/>
                <w:szCs w:val="28"/>
                <w:u w:val="none"/>
                <w:lang w:val="en-US" w:eastAsia="zh-CN" w:bidi="ar-SA"/>
              </w:rPr>
              <w:t>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tabs>
                <w:tab w:val="left" w:pos="420"/>
              </w:tabs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  <w:t>26.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加快推广“明厨亮灶”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，鼓励餐饮单位广泛采用互联网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  <w:t>+“明厨亮灶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”，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全市持证餐饮服务单位“明厨亮灶”覆盖率达85%以上。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val="en-US" w:eastAsia="zh-CN"/>
              </w:rPr>
              <w:t>27.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  <w:t>加强集体用餐单位、旅游景区、养老机构、工地食堂和铁路食品安全监管。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市市场监管局、市教育局、市民政局、市人社局、市住房城乡建设局、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shd w:val="clear" w:color="auto" w:fill="FFFFFF"/>
              </w:rPr>
              <w:t>市文化广电旅游局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shd w:val="clear" w:color="auto" w:fill="FFFFFF"/>
              </w:rPr>
              <w:t>中国铁路广州局集团有限公司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val="en-US" w:eastAsia="zh-CN"/>
              </w:rPr>
              <w:t>28.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  <w:t>继续开展“查餐厅”专项行动。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val="en-US" w:eastAsia="zh-CN"/>
              </w:rPr>
              <w:t>29.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  <w:t>持续推进餐厨废弃物资源化利用和无害化处理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  <w:t>市城市管理综合执法局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C0C0C"/>
                <w:sz w:val="28"/>
                <w:szCs w:val="28"/>
                <w:lang w:eastAsia="zh-CN"/>
              </w:rPr>
              <w:t>九</w:t>
            </w:r>
            <w:r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  <w:t>、推进国产婴幼儿配方乳粉提升行动</w:t>
            </w: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  <w:t>30.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在婴幼儿配方乳粉生产企业全面实施良好生产规范、危害分析和关键控制点体系，自查报告率达100%。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市市场监管局、市工业和信息化局、广州海关、黄埔海关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按职责分工负责，各区政府配合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  <w:t>31.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引导婴幼儿配方乳粉生产企业加大产品研发力度，培育优质品牌，完善质量追溯。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市市场监管局、市工业和信息化局、广州海关、黄埔海关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按职责分工负责，各区政府配合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209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C0C0C"/>
                <w:sz w:val="28"/>
                <w:szCs w:val="28"/>
                <w:lang w:eastAsia="zh-CN"/>
              </w:rPr>
              <w:t>十</w:t>
            </w:r>
            <w:r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  <w:t>、实施校园食品安全守护与营养改善行动</w:t>
            </w: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  <w:t>32.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落实学校食品安全校长（园长）负责制，学校食堂互联网+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明厨亮灶”全覆盖，实行大宗食品公开招标、集中定点采购。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市教育局、市人力资源社会保障局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  <w:t>33.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压实学校、学生集体用餐配送单位、校园周边食品经营者食品安全主体责任。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市教育局、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市人力资源社会保障局、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市市场监管局、各区政府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 w:eastAsia="zh-CN"/>
              </w:rPr>
              <w:t>34.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开展学校及校园周边食品安全专项检查，加强对学校食堂、学生集体用餐配送单位、校园周边餐饮门店及食品销售单位的监督检查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市市场监管局、市城市管理综合执法局、市教育局、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市人力资源社会保障局、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各区政府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u w:val="none"/>
                <w:lang w:val="en-US" w:eastAsia="zh-CN"/>
              </w:rPr>
              <w:t>35.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u w:val="none"/>
                <w:lang w:eastAsia="zh-CN"/>
              </w:rPr>
              <w:t>对学生开展食品安全科普教育。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u w:val="none"/>
                <w:lang w:eastAsia="zh-CN"/>
              </w:rPr>
              <w:t>市教育局、市人力资源社会保障局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u w:val="none"/>
                <w:lang w:val="en-US" w:eastAsia="zh-CN"/>
              </w:rPr>
              <w:t>36.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u w:val="none"/>
              </w:rPr>
              <w:t>指导学校开展学生营养健康活动。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u w:val="none"/>
                <w:lang w:eastAsia="zh-CN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  <w:jc w:val="center"/>
        </w:trPr>
        <w:tc>
          <w:tcPr>
            <w:tcW w:w="209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</w:rPr>
              <w:t>十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一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</w:rPr>
              <w:t>、实施农村假冒伪劣食品治理行动</w:t>
            </w: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val="en-US" w:eastAsia="zh-CN"/>
              </w:rPr>
              <w:t>37.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  <w:t>以农村地区、城乡结合部为主战场，全面清理食品生产经营主体资格，严厉打击违法违规行为。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市农业农村局、市商务局、市公安局、市市场监管局、市供销合作总社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、各区政府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val="en-US" w:eastAsia="zh-CN"/>
              </w:rPr>
              <w:t>38.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  <w:t>大力开展农村食品安全风险隐患排查整治。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市农业农村局、市商务局、市公安局、市市场监管局、市供销合作总社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、各区政府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val="en-US" w:eastAsia="zh-CN"/>
              </w:rPr>
              <w:t>39.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  <w:t>坚决取缔“黑工厂”“黑窝点”“黑作坊”。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市农业农村局、市商务局、市公安局、市市场监管局、市供销合作总社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、各区政府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</w:rPr>
              <w:t>十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二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</w:rPr>
              <w:t>、实施保健食品行业专项清理整治及生产质量管理能力提升行动</w:t>
            </w: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val="en-US" w:eastAsia="zh-CN"/>
              </w:rPr>
              <w:t>40.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  <w:t>加强保健食品生产、经营环节监管，加大监督抽检力度。推进保健食品生产企业实施生产质量管理体系，年度自查报告率达100%。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市市场监管局、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各区政府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C0C0C"/>
                <w:sz w:val="28"/>
                <w:szCs w:val="28"/>
                <w:u w:val="none"/>
                <w:lang w:val="en-US" w:eastAsia="zh-CN"/>
              </w:rPr>
              <w:t>41.</w:t>
            </w:r>
            <w:r>
              <w:rPr>
                <w:rStyle w:val="7"/>
                <w:rFonts w:hint="eastAsia" w:ascii="仿宋_GB2312" w:hAnsi="仿宋_GB2312" w:eastAsia="仿宋_GB2312" w:cs="仿宋_GB2312"/>
                <w:color w:val="0C0C0C"/>
                <w:sz w:val="28"/>
                <w:szCs w:val="28"/>
                <w:u w:val="none"/>
              </w:rPr>
              <w:t>规范标签标识管理，严格落实保健食品标签标注警示用语规定，规范企业保健食品营销行为，规范保健功能声称，加强营养标签标准的实施和监督。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市市场监管局、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各区政府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val="en-US" w:eastAsia="zh-CN"/>
              </w:rPr>
              <w:t>42.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  <w:t>持续深入开展整治“保健”市场乱象和直销市场专项整治行动，严厉打击虚假宣传、虚假广告、制售假冒伪劣产品、违规直销和传销等扰乱市场秩序、欺诈消费者等各类违法行为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  <w:t>严厉打击保健食品欺诈等违法犯罪行为。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市市场监管局、市委网信办、市工业和信息化局、市公安局、市民政局、市商务局、市文化广电旅游局、市卫生健康委、市城市管理综合执法局、各区政府按职责分工负责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</w:rPr>
              <w:t>十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三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</w:rPr>
              <w:t>、加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C0C0C"/>
                <w:kern w:val="0"/>
                <w:sz w:val="28"/>
                <w:szCs w:val="28"/>
                <w:u w:val="none"/>
              </w:rPr>
              <w:t>强食品安全风险防控</w:t>
            </w: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  <w:lang w:val="en-US" w:eastAsia="zh-CN"/>
              </w:rPr>
              <w:t>43.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</w:rPr>
              <w:t>科学制定全市食品安全风险监测计划，做好食品安全风险监测评估，加强食源性疾病监测工作。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  <w:lang w:eastAsia="zh-CN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  <w:lang w:val="en-US" w:eastAsia="zh-CN"/>
              </w:rPr>
              <w:t>44.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</w:rPr>
              <w:t>加强产地食用农产品质量安全监测和监督抽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  <w:lang w:eastAsia="zh-CN"/>
              </w:rPr>
              <w:t>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</w:rPr>
              <w:t>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</w:rPr>
              <w:t>市农业农村局、市市场监管局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  <w:lang w:eastAsia="zh-CN"/>
              </w:rPr>
              <w:t>、各区政府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  <w:lang w:val="en-US" w:eastAsia="zh-CN"/>
              </w:rPr>
              <w:t>45.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</w:rPr>
              <w:t>加强粮食流通质量监管监测工作。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  <w:lang w:eastAsia="zh-CN"/>
              </w:rPr>
              <w:t>市发展改革委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  <w:lang w:val="en-US" w:eastAsia="zh-CN"/>
              </w:rPr>
              <w:t>46.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</w:rPr>
              <w:t>加大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  <w:lang w:eastAsia="zh-CN"/>
              </w:rPr>
              <w:t>食品检验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</w:rPr>
              <w:t>检测力度，食用农产品和食品年抽检量达5批次/千人（其中食用农产品检验量不低于千人2批次）。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</w:rPr>
              <w:t>市农业农村局、市市场监管局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  <w:lang w:eastAsia="zh-CN"/>
              </w:rPr>
              <w:t>、各区政府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  <w:lang w:val="en-US" w:eastAsia="zh-CN"/>
              </w:rPr>
              <w:t>47.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</w:rPr>
              <w:t>加强对抽检不合格产品的核查处置，不合格产品核查处置率达100％。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</w:rPr>
              <w:t>市市场监管局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  <w:lang w:eastAsia="zh-CN"/>
              </w:rPr>
              <w:t>、各区政府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  <w:lang w:val="en-US" w:eastAsia="zh-CN"/>
              </w:rPr>
              <w:t>48.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</w:rPr>
              <w:t>在全市大型超市和农贸市场开展天天快检，及时公开检测结果。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</w:rPr>
              <w:t>市市场监管局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  <w:lang w:eastAsia="zh-CN"/>
              </w:rPr>
              <w:t>、各区政府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  <w:lang w:val="en-US" w:eastAsia="zh-CN"/>
              </w:rPr>
              <w:t>49.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</w:rPr>
              <w:t>大力开展食品安全风险隐患大排查大整治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  <w:lang w:eastAsia="zh-CN"/>
              </w:rPr>
              <w:t>，加强</w:t>
            </w: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</w:rPr>
              <w:t>食品安全风险交流合作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</w:rPr>
              <w:t>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</w:rPr>
              <w:t>市市场监管局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  <w:lang w:eastAsia="zh-CN"/>
              </w:rPr>
              <w:t>、各区政府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val="en-US" w:eastAsia="zh-CN"/>
              </w:rPr>
              <w:t>50.</w:t>
            </w: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</w:rPr>
              <w:t>完善</w:t>
            </w: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  <w:t>食品安全</w:t>
            </w: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</w:rPr>
              <w:t>突发事件应急响应机制。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</w:rPr>
              <w:t>市市场监管局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  <w:lang w:eastAsia="zh-CN"/>
              </w:rPr>
              <w:t>、各区政府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val="en-US" w:eastAsia="zh-CN"/>
              </w:rPr>
              <w:t>51.</w:t>
            </w: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  <w:t>加强食品安全科技研究工作，为食品安全工作提供科技支撑。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val="en-US" w:eastAsia="zh-CN"/>
              </w:rPr>
              <w:t>52.</w:t>
            </w: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  <w:t>推动食品检验检测体系建设。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napToGrid w:val="0"/>
                <w:color w:val="0C0C0C"/>
                <w:kern w:val="0"/>
                <w:sz w:val="28"/>
                <w:szCs w:val="28"/>
                <w:u w:val="none"/>
                <w:lang w:eastAsia="zh-CN"/>
              </w:rPr>
              <w:t>市市场监管局、市农业农村局、广州海关、黄埔海关、各区政府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</w:rPr>
              <w:t>十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四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</w:rPr>
              <w:t>、严厉打击违法犯罪</w:t>
            </w: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val="en-US" w:eastAsia="zh-CN"/>
              </w:rPr>
              <w:t>53.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  <w:t>围绕市民群众关心的食品安全热点、难点问题，突出重点品种、重点区域，针对食品安全问题多发易发及监管薄弱环节，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大力开展各类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  <w:t>食品安全专项整治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  <w:t>深入开展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“昆仑”“飓风”“国门利剑”行动。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市委政法委、市教育局、市公安局、市农业农村局、市市场监管局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、广州海关、黄埔海关、各区政府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val="en-US" w:eastAsia="zh-CN"/>
              </w:rPr>
              <w:t>54.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  <w:t>不断健全完善“两法衔接”，落实“处罚到人”、从业禁止、从重处罚有关规定，始终对食品安全犯罪保持高压态势。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市委政法委、市教育局、市公安局、市农业农村局、市市场监管局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eastAsia="zh-CN"/>
              </w:rPr>
              <w:t>、广州海关、黄埔海关、各区政府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</w:rPr>
              <w:t>十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五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</w:rPr>
              <w:t>、推动落实属地管理责任</w:t>
            </w: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val="en-US" w:eastAsia="zh-CN"/>
              </w:rPr>
              <w:t>55.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  <w:t>认真贯彻落实《中共广州市委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办公厅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  <w:t xml:space="preserve"> 广州市人民政府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办公厅印发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val="en-US" w:eastAsia="zh-CN"/>
              </w:rPr>
              <w:t>&lt;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  <w:t>关于深化改革加强食品安全工作的若干措施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val="en-US" w:eastAsia="zh-CN"/>
              </w:rPr>
              <w:t>&gt;的通知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  <w:t>》和《广州市党政领导干部食品安全责任清单》，强化各级食品安全委员会及其办公室的统筹协调作用，开展年度食品安全考核工作，督促地方政府把保障食品安全作为市场监管首要职责。各区、各有关部门11月底前向市委、市政府报送食品安全工作情况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市食安办、市食安委各成员单位、各区党委、政府按职责分工负责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</w:rPr>
              <w:t>十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六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</w:rPr>
              <w:t>、推动构建食品安全共建共治共享治理格局</w:t>
            </w: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val="en-US" w:eastAsia="zh-CN"/>
              </w:rPr>
              <w:t>56.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加强食品安全领域信用体系建设，建立完善食品安全领域守信联合激励和失信联合惩戒机制。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市市场监管局、市发展改革委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val="en-US" w:eastAsia="zh-CN"/>
              </w:rPr>
              <w:t>57.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加强食品安全信息公开，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kern w:val="0"/>
                <w:sz w:val="28"/>
                <w:szCs w:val="28"/>
                <w:u w:val="none"/>
              </w:rPr>
              <w:t>定期公布抽检信息，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  <w:t>加大对案件处罚信息和“黑名单”企业的曝光力度。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市市场监管局、市农业农村局、市公安局、广州海关、黄埔海关、各区政府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val="en-US" w:eastAsia="zh-CN"/>
              </w:rPr>
              <w:t>58.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指导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  <w:t>落实“谁执法谁普法”责任制，加强食品安全法治宣传教育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市司法局、市食安委各成员单位、各区政府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</w:rPr>
              <w:t>十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六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C0C0C"/>
                <w:sz w:val="28"/>
                <w:szCs w:val="28"/>
                <w:u w:val="none"/>
              </w:rPr>
              <w:t>、推动构建食品安全共建共治共享治理格局</w:t>
            </w: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val="en-US" w:eastAsia="zh-CN"/>
              </w:rPr>
              <w:t>59.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指导开展食品安全宣传教育。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市委宣传部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val="en-US" w:eastAsia="zh-CN"/>
              </w:rPr>
              <w:t>60.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加强食品安全新闻宣传，大力开展食品安全宣传等活动。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市食安委各成员单位、各区政府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0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</w:p>
        </w:tc>
        <w:tc>
          <w:tcPr>
            <w:tcW w:w="69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val="en-US" w:eastAsia="zh-CN"/>
              </w:rPr>
              <w:t>61.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  <w:t>强化科普知识宣传教育，引导理性消费，广泛动员社会力量参与，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推动社会共治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  <w:t>。</w:t>
            </w:r>
          </w:p>
        </w:tc>
        <w:tc>
          <w:tcPr>
            <w:tcW w:w="4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C0C0C"/>
                <w:sz w:val="28"/>
                <w:szCs w:val="28"/>
                <w:u w:val="none"/>
                <w:lang w:eastAsia="zh-CN"/>
              </w:rPr>
              <w:t>市食安委各成员单位、各区政府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587" w:right="1701" w:bottom="1587" w:left="1701" w:header="0" w:footer="1417" w:gutter="0"/>
          <w:pgNumType w:fmt="decimal"/>
          <w:cols w:space="720" w:num="1"/>
          <w:rtlGutter w:val="0"/>
          <w:docGrid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7241E"/>
    <w:rsid w:val="3F27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Char"/>
    <w:basedOn w:val="1"/>
    <w:link w:val="5"/>
    <w:qFormat/>
    <w:uiPriority w:val="0"/>
    <w:pPr>
      <w:widowControl/>
      <w:spacing w:after="160" w:afterLines="0" w:line="240" w:lineRule="exact"/>
      <w:jc w:val="left"/>
    </w:pPr>
  </w:style>
  <w:style w:type="character" w:styleId="7">
    <w:name w:val="Hyperlink"/>
    <w:basedOn w:val="5"/>
    <w:qFormat/>
    <w:uiPriority w:val="0"/>
    <w:rPr>
      <w:color w:val="444444"/>
      <w:u w:val="none"/>
    </w:rPr>
  </w:style>
  <w:style w:type="paragraph" w:customStyle="1" w:styleId="8">
    <w:name w:val="正文1"/>
    <w:qFormat/>
    <w:uiPriority w:val="0"/>
    <w:pPr>
      <w:widowControl w:val="0"/>
      <w:jc w:val="both"/>
    </w:pPr>
    <w:rPr>
      <w:rFonts w:hint="eastAsia"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2020-06-10T00:40:00Z</dcterms:created>
  <dc:creator>董大宾</dc:creator>
  <cp:lastModifiedBy>董大宾</cp:lastModifiedBy>
  <dcterms:modified xsi:type="dcterms:W3CDTF">2020-06-10T00:40:53Z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