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outlineLvl w:val="0"/>
        <w:rPr>
          <w:rFonts w:hint="default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snapToGrid w:val="0"/>
        <w:spacing w:line="300" w:lineRule="exact"/>
        <w:rPr>
          <w:rFonts w:ascii="黑体" w:hAnsi="黑体" w:eastAsia="黑体"/>
          <w:szCs w:val="32"/>
        </w:rPr>
      </w:pP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left="0" w:leftChars="0" w:firstLine="620" w:firstLineChars="0"/>
        <w:jc w:val="left"/>
        <w:textAlignment w:val="baseline"/>
        <w:outlineLvl w:val="9"/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  <w:t>氨基酸态氮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氨基酸态氮是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衡量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类产品好坏的重要标准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之一。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酿造酱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GB2718-2014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）中规定，氨基酸态氮的限量值</w:t>
      </w:r>
      <w:r>
        <w:rPr>
          <w:rFonts w:ascii="Times New Roman" w:hAnsi="Times New Roman" w:eastAsia="仿宋_GB2312" w:cs="Times New Roman"/>
          <w:sz w:val="32"/>
          <w:szCs w:val="32"/>
        </w:rPr>
        <w:t>不得低于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0.3g/100g（此2批次产品均使用企标，</w:t>
      </w:r>
      <w:r>
        <w:rPr>
          <w:rFonts w:ascii="Times New Roman" w:hAnsi="Times New Roman" w:eastAsia="仿宋_GB2312" w:cs="Times New Roman"/>
          <w:sz w:val="32"/>
          <w:szCs w:val="32"/>
        </w:rPr>
        <w:t>含量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亦</w:t>
      </w:r>
      <w:r>
        <w:rPr>
          <w:rFonts w:ascii="Times New Roman" w:hAnsi="Times New Roman" w:eastAsia="仿宋_GB2312" w:cs="Times New Roman"/>
          <w:sz w:val="32"/>
          <w:szCs w:val="32"/>
        </w:rPr>
        <w:t>不得低于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0.3g/100g）</w:t>
      </w:r>
      <w:r>
        <w:rPr>
          <w:rFonts w:ascii="Times New Roman" w:hAnsi="Times New Roman" w:eastAsia="仿宋_GB2312" w:cs="Times New Roman"/>
          <w:sz w:val="32"/>
          <w:szCs w:val="32"/>
        </w:rPr>
        <w:t>。氨基酸态氮含量不达标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原因包括：</w:t>
      </w:r>
      <w:r>
        <w:rPr>
          <w:rFonts w:ascii="Times New Roman" w:hAnsi="Times New Roman" w:eastAsia="仿宋_GB2312" w:cs="Times New Roman"/>
          <w:sz w:val="32"/>
          <w:szCs w:val="32"/>
        </w:rPr>
        <w:t>可能是产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品生产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过程控制不严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可能是企业在生产过程中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偷工减料或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为降低成本而故意掺假的情况。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kern w:val="0"/>
          <w:sz w:val="32"/>
          <w:szCs w:val="32"/>
          <w:lang w:val="en-US" w:eastAsia="zh-CN" w:bidi="ar-SA"/>
        </w:rPr>
        <w:t>铝的残留量（干样品，以Al计）</w:t>
      </w:r>
    </w:p>
    <w:p>
      <w:pPr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Chars="0"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在传统粉丝粉条加工过程中，添加硫酸铝钾（明矾）可以提高粉丝的韧性，减少断条损失。硫酸铝钾的添加会造成粉丝粉条中铝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残留。《食品安全国家标准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2760-2014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）中规定，粉丝粉条中铝的残留量（干样品，以Al计）不得超过200mg/kg。产生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铝的残留量不合格的原因可能是：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strike w:val="0"/>
          <w:dstrike w:val="0"/>
          <w:kern w:val="2"/>
          <w:sz w:val="32"/>
          <w:szCs w:val="32"/>
          <w:highlight w:val="none"/>
          <w:lang w:val="en-US" w:eastAsia="zh-CN" w:bidi="ar-SA"/>
        </w:rPr>
        <w:t>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商家违规过量使用；二是原料带入；三是过程控制不严。</w:t>
      </w:r>
      <w:bookmarkEnd w:id="0"/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TJ-PK7482000111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91F432"/>
    <w:multiLevelType w:val="singleLevel"/>
    <w:tmpl w:val="E091F43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60E95CE"/>
    <w:multiLevelType w:val="singleLevel"/>
    <w:tmpl w:val="460E95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A4036B4"/>
    <w:rsid w:val="0B23740C"/>
    <w:rsid w:val="0BF55D05"/>
    <w:rsid w:val="0E3E57FB"/>
    <w:rsid w:val="0E6E3364"/>
    <w:rsid w:val="125E1B94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17B58C1"/>
    <w:rsid w:val="22EE5E6A"/>
    <w:rsid w:val="24C105FB"/>
    <w:rsid w:val="28926171"/>
    <w:rsid w:val="28FE5380"/>
    <w:rsid w:val="293C4333"/>
    <w:rsid w:val="2A266F86"/>
    <w:rsid w:val="2B453547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4FD60C7C"/>
    <w:rsid w:val="521E35D3"/>
    <w:rsid w:val="52C32932"/>
    <w:rsid w:val="52D4703A"/>
    <w:rsid w:val="534230F9"/>
    <w:rsid w:val="54D163A0"/>
    <w:rsid w:val="575B13D1"/>
    <w:rsid w:val="57CB2923"/>
    <w:rsid w:val="5C9E489B"/>
    <w:rsid w:val="5E0540D0"/>
    <w:rsid w:val="5F7B3A23"/>
    <w:rsid w:val="61DD6D44"/>
    <w:rsid w:val="66325BC9"/>
    <w:rsid w:val="6BA279B0"/>
    <w:rsid w:val="6BB87E7B"/>
    <w:rsid w:val="74E00729"/>
    <w:rsid w:val="75057978"/>
    <w:rsid w:val="75202347"/>
    <w:rsid w:val="76D75FC2"/>
    <w:rsid w:val="77887501"/>
    <w:rsid w:val="77E37BF6"/>
    <w:rsid w:val="79516C02"/>
    <w:rsid w:val="7BC16283"/>
    <w:rsid w:val="7C6619F8"/>
    <w:rsid w:val="7DC149D8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魏立慧</cp:lastModifiedBy>
  <cp:lastPrinted>2016-09-01T02:58:00Z</cp:lastPrinted>
  <dcterms:modified xsi:type="dcterms:W3CDTF">2020-06-27T05:40:13Z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