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21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果糖和葡萄糖</w:t>
      </w:r>
    </w:p>
    <w:p>
      <w:pPr>
        <w:pStyle w:val="6"/>
        <w:widowControl w:val="0"/>
        <w:numPr>
          <w:numId w:val="0"/>
        </w:numPr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bookmarkStart w:id="0" w:name="OLE_LINK1"/>
      <w:r>
        <w:rPr>
          <w:rFonts w:hint="eastAsia" w:ascii="仿宋_GB2312" w:eastAsia="仿宋_GB2312"/>
          <w:bCs/>
          <w:sz w:val="32"/>
          <w:szCs w:val="32"/>
          <w:highlight w:val="none"/>
        </w:rPr>
        <w:t>果糖和葡萄糖是蜂蜜</w:t>
      </w:r>
      <w:bookmarkEnd w:id="0"/>
      <w:r>
        <w:rPr>
          <w:rFonts w:hint="eastAsia" w:ascii="仿宋_GB2312" w:eastAsia="仿宋_GB2312"/>
          <w:bCs/>
          <w:sz w:val="32"/>
          <w:szCs w:val="32"/>
          <w:highlight w:val="none"/>
        </w:rPr>
        <w:t xml:space="preserve">的主要甜味成分和重要质量特性指标。《食品安全国家标准 </w:t>
      </w:r>
      <w:r>
        <w:rPr>
          <w:rFonts w:hint="eastAsia" w:ascii="仿宋_GB2312" w:eastAsia="仿宋_GB2312"/>
          <w:bCs/>
          <w:sz w:val="32"/>
          <w:szCs w:val="32"/>
          <w:highlight w:val="none"/>
          <w:lang w:eastAsia="zh-CN"/>
        </w:rPr>
        <w:t>蜂蜜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 xml:space="preserve">》（GB 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14963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bCs/>
          <w:sz w:val="32"/>
          <w:szCs w:val="32"/>
          <w:highlight w:val="none"/>
          <w:lang w:eastAsia="zh-CN"/>
        </w:rPr>
        <w:t>规定蜂蜜中果糖和葡萄糖的含量应不低于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60g/100g。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</w:rPr>
        <w:t>恩诺沙星</w:t>
      </w:r>
    </w:p>
    <w:p>
      <w:pPr>
        <w:widowControl w:val="0"/>
        <w:wordWrap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恩诺沙星，又名恩氟奎林羧酸，属于氟喹诺酮类药物，是一种化学合成的广谱抑菌剂，用于治疗动物的皮肤感染、呼吸道感染等，是动物专属用药。《动物性食品中兽药最高残留限量》（农业部第235号公告）规定所有食品动物肌肉中恩诺沙星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highlight w:val="none"/>
        </w:rPr>
        <w:t>（以恩诺沙星与环丙沙星之和计）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应不超过100μg/kg。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磺胺类(总量)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磺胺类药物是合成的抑菌类兽药，除了治疗敏感菌所致传染病外，通常情况下还用于治疗传染性脑膜炎、痢疾、弓形体病。《动物性食品中兽药最高残留限量》（农业部公告第235号）规定所有食品动物的肌肉中磺胺类（总量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应不超过</w:t>
      </w:r>
      <w:r>
        <w:rPr>
          <w:rFonts w:hint="eastAsia" w:ascii="仿宋_GB2312" w:hAnsi="Calibri" w:eastAsia="仿宋_GB2312" w:cs="黑体"/>
          <w:sz w:val="32"/>
          <w:szCs w:val="32"/>
        </w:rPr>
        <w:t>100 μg/kg。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ascii="仿宋_GB2312" w:eastAsia="仿宋_GB2312"/>
          <w:bCs/>
          <w:sz w:val="32"/>
          <w:szCs w:val="32"/>
        </w:rPr>
        <w:t>《食品安全国家标准 食品中农药最大残留限量》（GB 2763）规定韭菜中腐霉利的最大残留限量为0.2 mg/kg。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镉属于重金属污染物指标，联合国环境规划署（DNFP）和国际职业卫生重金属委员会将</w:t>
      </w:r>
      <w:bookmarkStart w:id="1" w:name="_GoBack"/>
      <w:bookmarkEnd w:id="1"/>
      <w:r>
        <w:rPr>
          <w:rFonts w:hint="eastAsia" w:ascii="仿宋_GB2312" w:hAnsi="仿宋" w:eastAsia="仿宋_GB2312" w:cs="仿宋"/>
          <w:sz w:val="32"/>
          <w:szCs w:val="32"/>
        </w:rPr>
        <w:t>镉列入重点研究的环境污染物，世界卫生组织（WHO）则将其作为优先研究的食品污染物。《食品安全国家标准 食品中污染物限量》（GB 2762）中规定，鲜、冻水产动物甲壳类中镉应不超过0.5 mg/kg。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2763）规定，芸薹属类蔬菜中克百威的最大残留限量为0.02 mg/kg。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铅</w:t>
      </w:r>
    </w:p>
    <w:p>
      <w:pPr>
        <w:widowControl w:val="0"/>
        <w:wordWrap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铅属于重金属污染物指标。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食品中污染物限量》（GB 2762）规定，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茶叶</w:t>
      </w:r>
      <w:r>
        <w:rPr>
          <w:rFonts w:hint="eastAsia" w:ascii="仿宋" w:hAnsi="仿宋" w:eastAsia="仿宋" w:cs="仿宋"/>
          <w:sz w:val="32"/>
          <w:szCs w:val="32"/>
        </w:rPr>
        <w:t>中铅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应不超过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5.0</w:t>
      </w:r>
      <w:r>
        <w:rPr>
          <w:rFonts w:hint="eastAsia" w:ascii="仿宋" w:hAnsi="仿宋" w:eastAsia="仿宋" w:cs="仿宋"/>
          <w:sz w:val="32"/>
          <w:szCs w:val="32"/>
        </w:rPr>
        <w:t xml:space="preserve"> mg/kg。</w:t>
      </w:r>
    </w:p>
    <w:p>
      <w:pPr>
        <w:pStyle w:val="6"/>
        <w:ind w:firstLine="640" w:firstLineChars="200"/>
        <w:rPr>
          <w:rFonts w:hint="eastAsia" w:ascii="仿宋_GB2312" w:hAnsi="Calibri" w:eastAsia="仿宋_GB2312" w:cs="黑体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formatting="1" w:enforcement="1" w:cryptProviderType="rsaFull" w:cryptAlgorithmClass="hash" w:cryptAlgorithmType="typeAny" w:cryptAlgorithmSid="4" w:cryptSpinCount="0" w:hash="coo4qluiv27a9/sHkdXwGmVjr08=" w:salt="911u2lvLCrsR/77lwUZ/j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C042D"/>
    <w:rsid w:val="002D4079"/>
    <w:rsid w:val="002F1403"/>
    <w:rsid w:val="00320337"/>
    <w:rsid w:val="00335654"/>
    <w:rsid w:val="00385653"/>
    <w:rsid w:val="003B0507"/>
    <w:rsid w:val="003C635B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24CE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1F47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53E43"/>
    <w:rsid w:val="00984FED"/>
    <w:rsid w:val="009C7045"/>
    <w:rsid w:val="009F676A"/>
    <w:rsid w:val="00A007B4"/>
    <w:rsid w:val="00A07DBD"/>
    <w:rsid w:val="00A40680"/>
    <w:rsid w:val="00A412CB"/>
    <w:rsid w:val="00A85D79"/>
    <w:rsid w:val="00A9410C"/>
    <w:rsid w:val="00AB52C9"/>
    <w:rsid w:val="00B16DD3"/>
    <w:rsid w:val="00B65241"/>
    <w:rsid w:val="00B84DDD"/>
    <w:rsid w:val="00B87DF6"/>
    <w:rsid w:val="00BA7A5C"/>
    <w:rsid w:val="00BC6C8C"/>
    <w:rsid w:val="00BD1DC5"/>
    <w:rsid w:val="00C34001"/>
    <w:rsid w:val="00C66AB4"/>
    <w:rsid w:val="00C91D58"/>
    <w:rsid w:val="00C92AC2"/>
    <w:rsid w:val="00C97F56"/>
    <w:rsid w:val="00CA542D"/>
    <w:rsid w:val="00CA6E01"/>
    <w:rsid w:val="00CC4DEC"/>
    <w:rsid w:val="00CE074F"/>
    <w:rsid w:val="00D10243"/>
    <w:rsid w:val="00D6074B"/>
    <w:rsid w:val="00D67F5E"/>
    <w:rsid w:val="00D70BCE"/>
    <w:rsid w:val="00D70DCF"/>
    <w:rsid w:val="00D951B4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EF4A43"/>
    <w:rsid w:val="00F76C16"/>
    <w:rsid w:val="00F97CA3"/>
    <w:rsid w:val="00FA014A"/>
    <w:rsid w:val="00FE0B0A"/>
    <w:rsid w:val="017B63F9"/>
    <w:rsid w:val="03311F28"/>
    <w:rsid w:val="049652E1"/>
    <w:rsid w:val="07AE2006"/>
    <w:rsid w:val="09776334"/>
    <w:rsid w:val="0AB3614A"/>
    <w:rsid w:val="0B346493"/>
    <w:rsid w:val="0C8239E8"/>
    <w:rsid w:val="13515910"/>
    <w:rsid w:val="14BC6CC4"/>
    <w:rsid w:val="176820C2"/>
    <w:rsid w:val="1775494C"/>
    <w:rsid w:val="1831126E"/>
    <w:rsid w:val="1A527109"/>
    <w:rsid w:val="1C2C6E58"/>
    <w:rsid w:val="1DA16D31"/>
    <w:rsid w:val="1F5E7E5E"/>
    <w:rsid w:val="1FC77B05"/>
    <w:rsid w:val="20827181"/>
    <w:rsid w:val="21C056DE"/>
    <w:rsid w:val="225C3C81"/>
    <w:rsid w:val="23E97F38"/>
    <w:rsid w:val="248E1426"/>
    <w:rsid w:val="25A94EE1"/>
    <w:rsid w:val="25BD6579"/>
    <w:rsid w:val="281026FA"/>
    <w:rsid w:val="299E2E0B"/>
    <w:rsid w:val="29FC4125"/>
    <w:rsid w:val="2A9E1780"/>
    <w:rsid w:val="2CB00818"/>
    <w:rsid w:val="2CC24A7A"/>
    <w:rsid w:val="30C330FA"/>
    <w:rsid w:val="31847A9C"/>
    <w:rsid w:val="32C0209F"/>
    <w:rsid w:val="333B066B"/>
    <w:rsid w:val="33B77259"/>
    <w:rsid w:val="33C53B6B"/>
    <w:rsid w:val="34540E35"/>
    <w:rsid w:val="346B466B"/>
    <w:rsid w:val="37761B90"/>
    <w:rsid w:val="380D2FFA"/>
    <w:rsid w:val="384951FE"/>
    <w:rsid w:val="39997C19"/>
    <w:rsid w:val="3A44715B"/>
    <w:rsid w:val="3CBC0BA6"/>
    <w:rsid w:val="3DFE5A90"/>
    <w:rsid w:val="3E2A1862"/>
    <w:rsid w:val="3E565C74"/>
    <w:rsid w:val="418A341C"/>
    <w:rsid w:val="423B545E"/>
    <w:rsid w:val="43647A48"/>
    <w:rsid w:val="439A2AC1"/>
    <w:rsid w:val="465F0FDF"/>
    <w:rsid w:val="470537DA"/>
    <w:rsid w:val="475F2464"/>
    <w:rsid w:val="49F133DD"/>
    <w:rsid w:val="4A754998"/>
    <w:rsid w:val="4B0F4C04"/>
    <w:rsid w:val="4BA13A50"/>
    <w:rsid w:val="4BB3766A"/>
    <w:rsid w:val="4D0714C7"/>
    <w:rsid w:val="51473EA7"/>
    <w:rsid w:val="515C3EEB"/>
    <w:rsid w:val="526E09F8"/>
    <w:rsid w:val="53D91CC8"/>
    <w:rsid w:val="540C2895"/>
    <w:rsid w:val="544C1EB9"/>
    <w:rsid w:val="54744797"/>
    <w:rsid w:val="5616109A"/>
    <w:rsid w:val="56D62CEE"/>
    <w:rsid w:val="57772CF1"/>
    <w:rsid w:val="58030A90"/>
    <w:rsid w:val="5C6C6636"/>
    <w:rsid w:val="5D0578A1"/>
    <w:rsid w:val="5DD57AC0"/>
    <w:rsid w:val="5E5F4684"/>
    <w:rsid w:val="60C1101C"/>
    <w:rsid w:val="61FD7005"/>
    <w:rsid w:val="62830167"/>
    <w:rsid w:val="645402A0"/>
    <w:rsid w:val="64B01203"/>
    <w:rsid w:val="676638DA"/>
    <w:rsid w:val="67A975C4"/>
    <w:rsid w:val="68117148"/>
    <w:rsid w:val="684E6F14"/>
    <w:rsid w:val="68C60301"/>
    <w:rsid w:val="68FA22E2"/>
    <w:rsid w:val="69CC38F9"/>
    <w:rsid w:val="6A58142C"/>
    <w:rsid w:val="6B0075F0"/>
    <w:rsid w:val="6D17077E"/>
    <w:rsid w:val="6D90487D"/>
    <w:rsid w:val="6DEC0CF9"/>
    <w:rsid w:val="6E8B49E8"/>
    <w:rsid w:val="6EC828CB"/>
    <w:rsid w:val="70771DBB"/>
    <w:rsid w:val="709B67CD"/>
    <w:rsid w:val="72AF7E56"/>
    <w:rsid w:val="74210BA7"/>
    <w:rsid w:val="74BE04FC"/>
    <w:rsid w:val="755B23BF"/>
    <w:rsid w:val="75ED0473"/>
    <w:rsid w:val="76554E6E"/>
    <w:rsid w:val="77504EE4"/>
    <w:rsid w:val="78003728"/>
    <w:rsid w:val="7807013D"/>
    <w:rsid w:val="78997A7C"/>
    <w:rsid w:val="7930047B"/>
    <w:rsid w:val="79802062"/>
    <w:rsid w:val="798C2E03"/>
    <w:rsid w:val="7B0559CF"/>
    <w:rsid w:val="7C7452C5"/>
    <w:rsid w:val="7E8258AE"/>
    <w:rsid w:val="7EB83BAF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2</Pages>
  <Words>130</Words>
  <Characters>744</Characters>
  <Lines>6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lenovo</dc:creator>
  <cp:lastModifiedBy>董廷俊</cp:lastModifiedBy>
  <dcterms:modified xsi:type="dcterms:W3CDTF">2020-07-09T06:33:29Z</dcterms:modified>
  <dc:title>附件21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