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广东省市场监督管理局关于广东省食品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相关产品生产企业监督检查的管理办法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鼎小标宋简" w:hAnsi="文鼎小标宋简" w:eastAsia="文鼎小标宋简" w:cs="文鼎小标宋简"/>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eastAsia" w:ascii="仿宋_GB2312" w:hAnsi="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第一条  （目的依据）</w:t>
      </w:r>
      <w:r>
        <w:rPr>
          <w:rFonts w:hint="eastAsia" w:ascii="仿宋_GB2312" w:hAnsi="仿宋_GB2312" w:cs="仿宋_GB2312"/>
          <w:sz w:val="32"/>
          <w:szCs w:val="32"/>
        </w:rPr>
        <w:t>为规范食品相关产品生产企业监督检查，督促食品相关产品生产企业落实质量安全主体责任，根据《</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食品安全法》《</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产品质量法》《</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食品安全法实施条例》《中华人民共和国工业产品生产许可证管理条例》《中华人民共和国工业产品生产许可证管理条例实施办法》及《广东省食品相关产品生产加工监督管理办法》等法律法规规章的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第二条  （适用范围）</w:t>
      </w:r>
      <w:r>
        <w:rPr>
          <w:rFonts w:hint="eastAsia" w:ascii="仿宋_GB2312" w:hAnsi="仿宋_GB2312" w:cs="仿宋_GB2312"/>
          <w:sz w:val="32"/>
          <w:szCs w:val="32"/>
        </w:rPr>
        <w:t>市场监督管理部门对食品相关产品生产企业执行有关法律、法规、规章以及食品安全国家标准等情况实施监督检查，适用本办法。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第三条  （遵循原则）</w:t>
      </w:r>
      <w:r>
        <w:rPr>
          <w:rFonts w:hint="eastAsia" w:ascii="仿宋_GB2312" w:hAnsi="仿宋_GB2312" w:cs="仿宋_GB2312"/>
          <w:sz w:val="32"/>
          <w:szCs w:val="32"/>
        </w:rPr>
        <w:t>监督检查应当遵循属地负责、风险管理、科学随机、公开公正的原则。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b/>
          <w:bCs/>
          <w:sz w:val="32"/>
          <w:szCs w:val="32"/>
        </w:rPr>
      </w:pPr>
      <w:r>
        <w:rPr>
          <w:rFonts w:hint="eastAsia" w:ascii="仿宋_GB2312" w:hAnsi="仿宋_GB2312" w:cs="仿宋_GB2312"/>
          <w:b/>
          <w:bCs/>
          <w:sz w:val="32"/>
          <w:szCs w:val="32"/>
        </w:rPr>
        <w:t>第四条  （检查形式及事项）</w:t>
      </w:r>
      <w:r>
        <w:rPr>
          <w:rFonts w:hint="eastAsia" w:ascii="仿宋_GB2312" w:hAnsi="仿宋_GB2312" w:cs="仿宋_GB2312"/>
          <w:sz w:val="32"/>
          <w:szCs w:val="32"/>
        </w:rPr>
        <w:t>本办法中的监督检查包括日常检查和专项检查。</w:t>
      </w:r>
      <w:r>
        <w:rPr>
          <w:rFonts w:ascii="仿宋_GB2312" w:hAnsi="仿宋_GB2312" w:cs="仿宋_GB2312"/>
          <w:sz w:val="32"/>
          <w:szCs w:val="32"/>
        </w:rPr>
        <w:t>检查事项包括</w:t>
      </w:r>
      <w:r>
        <w:rPr>
          <w:rFonts w:hint="eastAsia" w:ascii="仿宋_GB2312" w:hAnsi="仿宋_GB2312" w:cs="仿宋_GB2312"/>
          <w:sz w:val="32"/>
          <w:szCs w:val="32"/>
        </w:rPr>
        <w:t>生产者资质、从业</w:t>
      </w:r>
      <w:r>
        <w:rPr>
          <w:rFonts w:ascii="仿宋_GB2312" w:hAnsi="仿宋_GB2312" w:cs="仿宋_GB2312"/>
          <w:sz w:val="32"/>
          <w:szCs w:val="32"/>
        </w:rPr>
        <w:t>人员管理、生产环境条件、</w:t>
      </w:r>
      <w:r>
        <w:rPr>
          <w:rFonts w:hint="eastAsia" w:ascii="仿宋_GB2312" w:hAnsi="仿宋_GB2312" w:cs="仿宋_GB2312"/>
          <w:sz w:val="32"/>
          <w:szCs w:val="32"/>
        </w:rPr>
        <w:t>设施设备管理、</w:t>
      </w:r>
      <w:r>
        <w:rPr>
          <w:rFonts w:ascii="仿宋_GB2312" w:hAnsi="仿宋_GB2312" w:cs="仿宋_GB2312"/>
          <w:sz w:val="32"/>
          <w:szCs w:val="32"/>
        </w:rPr>
        <w:t>进货查验、</w:t>
      </w:r>
      <w:r>
        <w:rPr>
          <w:rFonts w:hint="eastAsia" w:ascii="仿宋_GB2312" w:hAnsi="仿宋_GB2312" w:cs="仿宋_GB2312"/>
          <w:sz w:val="32"/>
          <w:szCs w:val="32"/>
        </w:rPr>
        <w:t>生产过程控制</w:t>
      </w:r>
      <w:r>
        <w:rPr>
          <w:rFonts w:ascii="仿宋_GB2312" w:hAnsi="仿宋_GB2312" w:cs="仿宋_GB2312"/>
          <w:sz w:val="32"/>
          <w:szCs w:val="32"/>
        </w:rPr>
        <w:t>、</w:t>
      </w:r>
      <w:r>
        <w:rPr>
          <w:rFonts w:hint="eastAsia" w:ascii="仿宋_GB2312" w:hAnsi="仿宋_GB2312" w:cs="仿宋_GB2312"/>
          <w:sz w:val="32"/>
          <w:szCs w:val="32"/>
        </w:rPr>
        <w:t>产品包装标识、</w:t>
      </w:r>
      <w:r>
        <w:rPr>
          <w:rFonts w:ascii="仿宋_GB2312" w:hAnsi="仿宋_GB2312" w:cs="仿宋_GB2312"/>
          <w:sz w:val="32"/>
          <w:szCs w:val="32"/>
        </w:rPr>
        <w:t>贮存及</w:t>
      </w:r>
      <w:r>
        <w:rPr>
          <w:rFonts w:hint="eastAsia" w:ascii="仿宋_GB2312" w:hAnsi="仿宋_GB2312" w:cs="仿宋_GB2312"/>
          <w:sz w:val="32"/>
          <w:szCs w:val="32"/>
        </w:rPr>
        <w:t>交付控制</w:t>
      </w:r>
      <w:r>
        <w:rPr>
          <w:rFonts w:ascii="仿宋_GB2312" w:hAnsi="仿宋_GB2312" w:cs="仿宋_GB2312"/>
          <w:sz w:val="32"/>
          <w:szCs w:val="32"/>
        </w:rPr>
        <w:t>、</w:t>
      </w:r>
      <w:r>
        <w:rPr>
          <w:rFonts w:hint="eastAsia" w:ascii="仿宋_GB2312" w:hAnsi="仿宋_GB2312" w:cs="仿宋_GB2312"/>
          <w:sz w:val="32"/>
          <w:szCs w:val="32"/>
        </w:rPr>
        <w:t>出厂检验</w:t>
      </w:r>
      <w:r>
        <w:rPr>
          <w:rFonts w:ascii="仿宋_GB2312" w:hAnsi="仿宋_GB2312" w:cs="仿宋_GB2312"/>
          <w:sz w:val="32"/>
          <w:szCs w:val="32"/>
        </w:rPr>
        <w:t>、</w:t>
      </w:r>
      <w:r>
        <w:rPr>
          <w:rFonts w:hint="eastAsia" w:ascii="仿宋_GB2312" w:hAnsi="仿宋_GB2312" w:cs="仿宋_GB2312"/>
          <w:sz w:val="32"/>
          <w:szCs w:val="32"/>
        </w:rPr>
        <w:t>产品追溯和</w:t>
      </w:r>
      <w:r>
        <w:rPr>
          <w:rFonts w:ascii="仿宋_GB2312" w:hAnsi="仿宋_GB2312" w:cs="仿宋_GB2312"/>
          <w:sz w:val="32"/>
          <w:szCs w:val="32"/>
        </w:rPr>
        <w:t>召回</w:t>
      </w:r>
      <w:r>
        <w:rPr>
          <w:rFonts w:hint="eastAsia" w:ascii="仿宋_GB2312" w:hAnsi="仿宋_GB2312" w:cs="仿宋_GB2312"/>
          <w:sz w:val="32"/>
          <w:szCs w:val="32"/>
        </w:rPr>
        <w:t>、食品安全事故处置</w:t>
      </w:r>
      <w:r>
        <w:rPr>
          <w:rFonts w:ascii="仿宋_GB2312" w:hAnsi="仿宋_GB2312" w:cs="仿宋_GB2312"/>
          <w:sz w:val="32"/>
          <w:szCs w:val="32"/>
        </w:rPr>
        <w:t>等</w:t>
      </w:r>
      <w:r>
        <w:rPr>
          <w:rFonts w:hint="eastAsia" w:ascii="仿宋_GB2312" w:hAnsi="仿宋_GB2312" w:cs="仿宋_GB2312"/>
          <w:sz w:val="32"/>
          <w:szCs w:val="32"/>
        </w:rPr>
        <w:t>情况</w:t>
      </w:r>
      <w:r>
        <w:rPr>
          <w:rFonts w:ascii="仿宋_GB2312" w:hAnsi="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第五条  （职责分工）</w:t>
      </w:r>
      <w:r>
        <w:rPr>
          <w:rFonts w:hint="eastAsia" w:ascii="仿宋_GB2312" w:hAnsi="仿宋_GB2312" w:cs="仿宋_GB2312"/>
          <w:sz w:val="32"/>
          <w:szCs w:val="32"/>
        </w:rPr>
        <w:t>省级市场监督管理部门负责监督指导全省食品相关产品生产企业监督检查。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sz w:val="32"/>
          <w:szCs w:val="32"/>
        </w:rPr>
        <w:t>市、县级市场监督管理部门负责组织实施辖区内食品相关产品生产企业监督检查。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74" w:firstLineChars="20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 xml:space="preserve"> （异地检查）</w:t>
      </w:r>
      <w:r>
        <w:rPr>
          <w:rFonts w:hint="eastAsia" w:ascii="仿宋_GB2312" w:hAnsi="仿宋_GB2312" w:cs="仿宋_GB2312"/>
          <w:color w:val="000000"/>
          <w:sz w:val="32"/>
          <w:szCs w:val="32"/>
        </w:rPr>
        <w:t>上级市场监督管理部门可以组织下级市场监督管理部门对食品</w:t>
      </w:r>
      <w:r>
        <w:rPr>
          <w:rFonts w:hint="eastAsia" w:ascii="仿宋_GB2312" w:hAnsi="仿宋_GB2312" w:cs="仿宋_GB2312"/>
          <w:sz w:val="32"/>
          <w:szCs w:val="32"/>
        </w:rPr>
        <w:t>相关产品生产企业</w:t>
      </w:r>
      <w:r>
        <w:rPr>
          <w:rFonts w:hint="eastAsia" w:ascii="仿宋_GB2312" w:hAnsi="仿宋_GB2312" w:cs="仿宋_GB2312"/>
          <w:color w:val="000000"/>
          <w:sz w:val="32"/>
          <w:szCs w:val="32"/>
        </w:rPr>
        <w:t>实施异地监督检查</w:t>
      </w:r>
      <w:r>
        <w:rPr>
          <w:rFonts w:hint="eastAsia" w:ascii="仿宋_GB2312" w:hAnsi="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监督检查程序和内容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（监督检查计划）</w:t>
      </w:r>
      <w:r>
        <w:rPr>
          <w:rFonts w:hint="default" w:ascii="Times New Roman" w:hAnsi="Times New Roman" w:eastAsia="仿宋_GB2312" w:cs="Times New Roman"/>
          <w:sz w:val="32"/>
          <w:szCs w:val="32"/>
        </w:rPr>
        <w:t>市场监督管理部门应按照当地人民政府食品安全年度监督管理计划，结合工作实际，制定年度监督检查计划。</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监督检查计划应当包括监督检查的时间、</w:t>
      </w:r>
      <w:r>
        <w:rPr>
          <w:rFonts w:hint="default" w:ascii="Times New Roman" w:hAnsi="Times New Roman" w:eastAsia="仿宋_GB2312" w:cs="Times New Roman"/>
          <w:sz w:val="32"/>
          <w:szCs w:val="32"/>
          <w:lang w:bidi="ar"/>
        </w:rPr>
        <w:t>方式、频次、产品类别、抽查比例</w:t>
      </w:r>
      <w:r>
        <w:rPr>
          <w:rFonts w:hint="default" w:ascii="Times New Roman" w:hAnsi="Times New Roman" w:eastAsia="仿宋_GB2312" w:cs="Times New Roman"/>
          <w:sz w:val="32"/>
          <w:szCs w:val="32"/>
        </w:rPr>
        <w:t>等内容。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（检查人员）</w:t>
      </w:r>
      <w:r>
        <w:rPr>
          <w:rFonts w:hint="default" w:ascii="Times New Roman" w:hAnsi="Times New Roman" w:eastAsia="仿宋_GB2312" w:cs="Times New Roman"/>
          <w:sz w:val="32"/>
          <w:szCs w:val="32"/>
        </w:rPr>
        <w:t>市场监督管理部门实施监督检查，应当由不少于2名执法人员参加。</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7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市场监督管理部门可以邀请检验检测机构、科研院所、行业专家等</w:t>
      </w:r>
      <w:r>
        <w:rPr>
          <w:rFonts w:hint="default" w:ascii="Times New Roman" w:hAnsi="Times New Roman" w:eastAsia="仿宋_GB2312" w:cs="Times New Roman"/>
          <w:sz w:val="32"/>
          <w:szCs w:val="32"/>
        </w:rPr>
        <w:t>辅助开展监督检查</w:t>
      </w:r>
      <w:r>
        <w:rPr>
          <w:rFonts w:hint="default" w:ascii="Times New Roman" w:hAnsi="Times New Roman" w:eastAsia="仿宋_GB2312" w:cs="Times New Roman"/>
          <w:color w:val="000000"/>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7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执法人员与检查对象有直接利害关系的，应当主动提出回避。检查对象对执法人员提出回避申请的，按照《广东省行政检查办法》第二十九条规定执行。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（日常检查）</w:t>
      </w:r>
      <w:r>
        <w:rPr>
          <w:rFonts w:hint="default" w:ascii="Times New Roman" w:hAnsi="Times New Roman" w:eastAsia="仿宋_GB2312" w:cs="Times New Roman"/>
          <w:sz w:val="32"/>
          <w:szCs w:val="32"/>
        </w:rPr>
        <w:t>市场监督管理部门实施日常检查实行随机抽取检查对象、随机选派检查人员的双随机抽查机制。对下列生产企业，应列为日常检查的重点，适当增加检查的比例或频次：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生产奶瓶、奶嘴、婴幼儿专用食品接触材料及制品的；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生产纳入生产许可管理的食品相关产品的；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发生食品相关产品质量安全事故的；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产品质量监督抽查存在严重质量安全问题的；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监测发现产品存在安全风险的；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因产品质量安全违法累计被查处3次以上的；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未按要求改正的；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被投诉举报经查实存在质量安全违法行为的。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（专项检查）</w:t>
      </w:r>
      <w:r>
        <w:rPr>
          <w:rFonts w:hint="default" w:ascii="Times New Roman" w:hAnsi="Times New Roman" w:eastAsia="仿宋_GB2312" w:cs="Times New Roman"/>
          <w:sz w:val="32"/>
          <w:szCs w:val="32"/>
        </w:rPr>
        <w:t>市场监督管理部门可以对特定食品相关产品生产企业或者特定事项进行专项检查。</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5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对实行告知承诺审批的食品相关产品生产许可获证企业，市场监督管理部门应当按照工业产品生产许可有关规定进行全覆盖检查。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（检查内容）</w:t>
      </w:r>
      <w:r>
        <w:rPr>
          <w:rFonts w:hint="default" w:ascii="Times New Roman" w:hAnsi="Times New Roman" w:eastAsia="仿宋_GB2312" w:cs="Times New Roman"/>
          <w:sz w:val="32"/>
          <w:szCs w:val="32"/>
        </w:rPr>
        <w:t>执法人员应当按照《广东省食品相关产品生产企业监督检查记录表》（见附件），对生产企业实施监督检查并如实记录检查情况，综合判定检查结果。必要时，可以依法进行抽样检验。</w:t>
      </w: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检查结果分为符合、基本符合和不符合3种形式。</w:t>
      </w: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专项检查对检查表格和内容另有规定的，从其规定。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（配合义务与拒检认定）</w:t>
      </w:r>
      <w:r>
        <w:rPr>
          <w:rFonts w:hint="default" w:ascii="Times New Roman" w:hAnsi="Times New Roman" w:eastAsia="仿宋_GB2312" w:cs="Times New Roman"/>
          <w:sz w:val="32"/>
          <w:szCs w:val="32"/>
        </w:rPr>
        <w:t>食品相关产品生产企业应当按照执法人员要求，在有关检查文书上签字或者盖章。</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被检查单位拒绝在有关检查文书上签字或者盖章的，执法人员应注明原因，并可以邀请有关人员作为见证人签字、盖章，或者采取录音、录像等方式进行记录，作为监督执法的依据。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（检查结果告知）</w:t>
      </w:r>
      <w:r>
        <w:rPr>
          <w:rFonts w:hint="default" w:ascii="Times New Roman" w:hAnsi="Times New Roman" w:eastAsia="仿宋_GB2312" w:cs="Times New Roman"/>
          <w:sz w:val="32"/>
          <w:szCs w:val="32"/>
        </w:rPr>
        <w:t>执法人员应将监督检查结果现场书面告知食品相关产品生产企业。上级市场监督管理部门组织的监督检查，还应将监督检查结果抄送企业所在地市场监督管理部门。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firstLine="0"/>
        <w:jc w:val="both"/>
        <w:textAlignment w:val="auto"/>
        <w:rPr>
          <w:rFonts w:hint="eastAsia" w:ascii="仿宋_GB2312" w:hAnsi="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 xml:space="preserve"> （限期整改）</w:t>
      </w:r>
      <w:r>
        <w:rPr>
          <w:rFonts w:ascii="仿宋_GB2312" w:hAnsi="仿宋_GB2312" w:cs="仿宋_GB2312"/>
          <w:sz w:val="32"/>
          <w:szCs w:val="32"/>
        </w:rPr>
        <w:t>市场监督管理部门</w:t>
      </w:r>
      <w:r>
        <w:rPr>
          <w:rFonts w:hint="eastAsia" w:ascii="仿宋_GB2312" w:hAnsi="仿宋_GB2312" w:cs="仿宋_GB2312"/>
          <w:sz w:val="32"/>
          <w:szCs w:val="32"/>
        </w:rPr>
        <w:t>应当根据监督检查结果，依法采取相应措施。监督</w:t>
      </w:r>
      <w:r>
        <w:rPr>
          <w:rFonts w:ascii="仿宋_GB2312" w:hAnsi="仿宋_GB2312" w:cs="仿宋_GB2312"/>
          <w:sz w:val="32"/>
          <w:szCs w:val="32"/>
        </w:rPr>
        <w:t>检查</w:t>
      </w:r>
      <w:r>
        <w:rPr>
          <w:rFonts w:hint="eastAsia" w:ascii="仿宋_GB2312" w:hAnsi="仿宋_GB2312" w:cs="仿宋_GB2312"/>
          <w:sz w:val="32"/>
          <w:szCs w:val="32"/>
        </w:rPr>
        <w:t>中发现问题的</w:t>
      </w:r>
      <w:r>
        <w:rPr>
          <w:rFonts w:ascii="仿宋_GB2312" w:hAnsi="仿宋_GB2312" w:cs="仿宋_GB2312"/>
          <w:sz w:val="32"/>
          <w:szCs w:val="32"/>
        </w:rPr>
        <w:t>，</w:t>
      </w:r>
      <w:r>
        <w:rPr>
          <w:rFonts w:hint="eastAsia" w:ascii="仿宋_GB2312" w:hAnsi="仿宋_GB2312" w:cs="仿宋_GB2312"/>
          <w:sz w:val="32"/>
          <w:szCs w:val="32"/>
        </w:rPr>
        <w:t>市场</w:t>
      </w:r>
      <w:r>
        <w:rPr>
          <w:rFonts w:ascii="仿宋_GB2312" w:hAnsi="仿宋_GB2312" w:cs="仿宋_GB2312"/>
          <w:sz w:val="32"/>
          <w:szCs w:val="32"/>
        </w:rPr>
        <w:t>监督管理部门应书面提出整改</w:t>
      </w:r>
      <w:r>
        <w:rPr>
          <w:rFonts w:hint="eastAsia" w:ascii="仿宋_GB2312" w:hAnsi="仿宋_GB2312" w:cs="仿宋_GB2312"/>
          <w:sz w:val="32"/>
          <w:szCs w:val="32"/>
        </w:rPr>
        <w:t>要求及时限</w:t>
      </w:r>
      <w:r>
        <w:rPr>
          <w:rFonts w:ascii="仿宋_GB2312" w:hAnsi="仿宋_GB2312" w:cs="仿宋_GB2312"/>
          <w:sz w:val="32"/>
          <w:szCs w:val="32"/>
        </w:rPr>
        <w:t>。</w:t>
      </w:r>
      <w:r>
        <w:rPr>
          <w:rFonts w:ascii="仿宋_GB2312" w:hAnsi="仿宋_GB2312" w:cs="仿宋_GB2312"/>
          <w:sz w:val="32"/>
          <w:szCs w:val="32"/>
        </w:rPr>
        <w:br w:type="textWrapping"/>
      </w:r>
      <w:r>
        <w:rPr>
          <w:rFonts w:ascii="仿宋_GB2312" w:hAnsi="仿宋_GB2312" w:cs="仿宋_GB2312"/>
          <w:sz w:val="32"/>
          <w:szCs w:val="32"/>
        </w:rPr>
        <w:t>　　被检查</w:t>
      </w:r>
      <w:r>
        <w:rPr>
          <w:rFonts w:hint="eastAsia" w:ascii="仿宋_GB2312" w:hAnsi="仿宋_GB2312" w:cs="仿宋_GB2312"/>
          <w:sz w:val="32"/>
          <w:szCs w:val="32"/>
        </w:rPr>
        <w:t>生产企业</w:t>
      </w:r>
      <w:r>
        <w:rPr>
          <w:rFonts w:ascii="仿宋_GB2312" w:hAnsi="仿宋_GB2312" w:cs="仿宋_GB2312"/>
          <w:sz w:val="32"/>
          <w:szCs w:val="32"/>
        </w:rPr>
        <w:t>应</w:t>
      </w:r>
      <w:r>
        <w:rPr>
          <w:rFonts w:hint="eastAsia" w:ascii="仿宋_GB2312" w:hAnsi="仿宋_GB2312" w:cs="仿宋_GB2312"/>
          <w:sz w:val="32"/>
          <w:szCs w:val="32"/>
        </w:rPr>
        <w:t>当在限期内完成</w:t>
      </w:r>
      <w:r>
        <w:rPr>
          <w:rFonts w:ascii="仿宋_GB2312" w:hAnsi="仿宋_GB2312" w:cs="仿宋_GB2312"/>
          <w:sz w:val="32"/>
          <w:szCs w:val="32"/>
        </w:rPr>
        <w:t>整改，并将整改情况</w:t>
      </w:r>
      <w:r>
        <w:rPr>
          <w:rFonts w:hint="eastAsia" w:ascii="仿宋_GB2312" w:hAnsi="仿宋_GB2312" w:cs="仿宋_GB2312"/>
          <w:sz w:val="32"/>
          <w:szCs w:val="32"/>
        </w:rPr>
        <w:t>书面</w:t>
      </w:r>
      <w:r>
        <w:rPr>
          <w:rFonts w:ascii="仿宋_GB2312" w:hAnsi="仿宋_GB2312" w:cs="仿宋_GB2312"/>
          <w:sz w:val="32"/>
          <w:szCs w:val="32"/>
        </w:rPr>
        <w:t>报</w:t>
      </w:r>
      <w:r>
        <w:rPr>
          <w:rFonts w:hint="eastAsia" w:ascii="仿宋_GB2312" w:hAnsi="仿宋_GB2312" w:cs="仿宋_GB2312"/>
          <w:sz w:val="32"/>
          <w:szCs w:val="32"/>
        </w:rPr>
        <w:t>送企业所在地县级市场</w:t>
      </w:r>
      <w:r>
        <w:rPr>
          <w:rFonts w:ascii="仿宋_GB2312" w:hAnsi="仿宋_GB2312" w:cs="仿宋_GB2312"/>
          <w:sz w:val="32"/>
          <w:szCs w:val="32"/>
        </w:rPr>
        <w:t>监督管理部门。</w:t>
      </w:r>
      <w:r>
        <w:rPr>
          <w:rFonts w:hint="eastAsia" w:ascii="仿宋_GB2312" w:hAnsi="仿宋_GB2312" w:cs="仿宋_GB2312"/>
          <w:sz w:val="32"/>
          <w:szCs w:val="32"/>
        </w:rPr>
        <w:t>县级</w:t>
      </w:r>
      <w:r>
        <w:rPr>
          <w:rFonts w:ascii="仿宋_GB2312" w:hAnsi="仿宋_GB2312" w:cs="仿宋_GB2312"/>
          <w:sz w:val="32"/>
          <w:szCs w:val="32"/>
        </w:rPr>
        <w:t>市场监督管理部门跟踪整改情况，并记录整改结果</w:t>
      </w:r>
      <w:r>
        <w:rPr>
          <w:rFonts w:hint="eastAsia" w:ascii="仿宋_GB2312" w:hAnsi="仿宋_GB2312" w:cs="仿宋_GB2312"/>
          <w:sz w:val="32"/>
          <w:szCs w:val="32"/>
        </w:rPr>
        <w:t>，对上级市场监督管理部门组织监督检查企业的整改情况，还应将整改结果逐级报送组织监督检查的市场监督管理部门。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sz w:val="32"/>
          <w:szCs w:val="32"/>
        </w:rPr>
      </w:pPr>
      <w:r>
        <w:rPr>
          <w:rFonts w:hint="eastAsia" w:ascii="仿宋_GB2312" w:hAnsi="仿宋_GB2312" w:cs="仿宋_GB2312"/>
          <w:b/>
          <w:bCs/>
          <w:sz w:val="32"/>
          <w:szCs w:val="32"/>
        </w:rPr>
        <w:t xml:space="preserve"> （责令改正）</w:t>
      </w:r>
      <w:r>
        <w:rPr>
          <w:rFonts w:hint="eastAsia" w:ascii="仿宋_GB2312" w:hAnsi="仿宋_GB2312" w:cs="仿宋_GB2312"/>
          <w:sz w:val="32"/>
          <w:szCs w:val="32"/>
        </w:rPr>
        <w:t>监督检查中发现违法行为需要予以改正的，市场</w:t>
      </w:r>
      <w:r>
        <w:rPr>
          <w:rFonts w:ascii="仿宋_GB2312" w:hAnsi="仿宋_GB2312" w:cs="仿宋_GB2312"/>
          <w:sz w:val="32"/>
          <w:szCs w:val="32"/>
        </w:rPr>
        <w:t>监督管理部门应</w:t>
      </w:r>
      <w:r>
        <w:rPr>
          <w:rFonts w:hint="eastAsia" w:ascii="仿宋_GB2312" w:hAnsi="仿宋_GB2312" w:cs="仿宋_GB2312"/>
          <w:sz w:val="32"/>
          <w:szCs w:val="32"/>
        </w:rPr>
        <w:t>当依法责令立即改正或者限期改正，出具书面责令改正通知，进行跟踪检查并记录改正情况。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b/>
          <w:bCs/>
          <w:sz w:val="32"/>
          <w:szCs w:val="32"/>
        </w:rPr>
      </w:pPr>
      <w:r>
        <w:rPr>
          <w:rFonts w:hint="eastAsia" w:ascii="仿宋_GB2312" w:hAnsi="仿宋_GB2312" w:cs="仿宋_GB2312"/>
          <w:b/>
          <w:bCs/>
          <w:sz w:val="32"/>
          <w:szCs w:val="32"/>
        </w:rPr>
        <w:t xml:space="preserve"> （立案处罚及线索移交）</w:t>
      </w:r>
      <w:r>
        <w:rPr>
          <w:rFonts w:hint="eastAsia" w:ascii="仿宋_GB2312" w:hAnsi="仿宋_GB2312" w:cs="仿宋_GB2312"/>
          <w:sz w:val="32"/>
          <w:szCs w:val="32"/>
        </w:rPr>
        <w:t>监督检查中发现违法行为需要实施行政处罚的，市场</w:t>
      </w:r>
      <w:r>
        <w:rPr>
          <w:rFonts w:ascii="仿宋_GB2312" w:hAnsi="仿宋_GB2312" w:cs="仿宋_GB2312"/>
          <w:sz w:val="32"/>
          <w:szCs w:val="32"/>
        </w:rPr>
        <w:t>监督管理部门应</w:t>
      </w:r>
      <w:r>
        <w:rPr>
          <w:rFonts w:hint="eastAsia" w:ascii="仿宋_GB2312" w:hAnsi="仿宋_GB2312" w:cs="仿宋_GB2312"/>
          <w:sz w:val="32"/>
          <w:szCs w:val="32"/>
        </w:rPr>
        <w:t>当依法办理。</w:t>
      </w:r>
      <w:r>
        <w:rPr>
          <w:rFonts w:ascii="仿宋_GB2312" w:hAnsi="仿宋_GB2312" w:cs="仿宋_GB2312"/>
          <w:sz w:val="32"/>
          <w:szCs w:val="32"/>
        </w:rPr>
        <w:t>对不属于本部门职责或者超出</w:t>
      </w:r>
      <w:r>
        <w:rPr>
          <w:rFonts w:hint="eastAsia" w:ascii="仿宋_GB2312" w:hAnsi="仿宋_GB2312" w:cs="仿宋_GB2312"/>
          <w:sz w:val="32"/>
          <w:szCs w:val="32"/>
        </w:rPr>
        <w:t>监管</w:t>
      </w:r>
      <w:r>
        <w:rPr>
          <w:rFonts w:ascii="仿宋_GB2312" w:hAnsi="仿宋_GB2312" w:cs="仿宋_GB2312"/>
          <w:sz w:val="32"/>
          <w:szCs w:val="32"/>
        </w:rPr>
        <w:t>范围的违法案件线索，</w:t>
      </w:r>
      <w:r>
        <w:rPr>
          <w:rFonts w:hint="eastAsia" w:ascii="仿宋_GB2312" w:hAnsi="仿宋_GB2312" w:cs="仿宋_GB2312"/>
          <w:sz w:val="32"/>
          <w:szCs w:val="32"/>
        </w:rPr>
        <w:t>市场</w:t>
      </w:r>
      <w:r>
        <w:rPr>
          <w:rFonts w:ascii="仿宋_GB2312" w:hAnsi="仿宋_GB2312" w:cs="仿宋_GB2312"/>
          <w:sz w:val="32"/>
          <w:szCs w:val="32"/>
        </w:rPr>
        <w:t>监督管理部门应当及时移送有权处理的部门；涉嫌构成犯罪的，应当及时移送公安机关。</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 xml:space="preserve"> （信息公开）</w:t>
      </w:r>
      <w:r>
        <w:rPr>
          <w:rFonts w:hint="eastAsia" w:ascii="仿宋_GB2312" w:hAnsi="仿宋_GB2312" w:cs="仿宋_GB2312"/>
          <w:sz w:val="32"/>
          <w:szCs w:val="32"/>
        </w:rPr>
        <w:t>市场监督管理部门应于实施日常检查完成</w:t>
      </w:r>
      <w:r>
        <w:rPr>
          <w:rFonts w:hint="eastAsia"/>
          <w:sz w:val="32"/>
          <w:szCs w:val="32"/>
        </w:rPr>
        <w:t>后及时</w:t>
      </w:r>
      <w:r>
        <w:rPr>
          <w:rFonts w:hint="eastAsia" w:ascii="仿宋_GB2312" w:hAnsi="仿宋_GB2312" w:cs="仿宋_GB2312"/>
          <w:sz w:val="32"/>
          <w:szCs w:val="32"/>
        </w:rPr>
        <w:t>向社会公开日常检查时间、检查结果等信息，并在生产经营场所醒目位置张贴监督检查记录表。</w:t>
      </w: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eastAsia" w:ascii="仿宋_GB2312" w:hAnsi="仿宋_GB2312" w:cs="仿宋_GB2312"/>
          <w:sz w:val="32"/>
          <w:szCs w:val="32"/>
        </w:rPr>
      </w:pPr>
      <w:r>
        <w:rPr>
          <w:rFonts w:hint="eastAsia" w:ascii="仿宋_GB2312" w:hAnsi="仿宋_GB2312" w:cs="仿宋_GB2312"/>
          <w:sz w:val="32"/>
          <w:szCs w:val="32"/>
        </w:rPr>
        <w:t>食品相关产品生产企业</w:t>
      </w:r>
      <w:r>
        <w:rPr>
          <w:rFonts w:ascii="仿宋_GB2312" w:hAnsi="仿宋_GB2312" w:cs="仿宋_GB2312"/>
          <w:sz w:val="32"/>
          <w:szCs w:val="32"/>
        </w:rPr>
        <w:t>应</w:t>
      </w:r>
      <w:r>
        <w:rPr>
          <w:rFonts w:hint="eastAsia" w:ascii="仿宋_GB2312" w:hAnsi="仿宋_GB2312" w:cs="仿宋_GB2312"/>
          <w:sz w:val="32"/>
          <w:szCs w:val="32"/>
        </w:rPr>
        <w:t>将张贴的监督检查记录表保持至下次日常检查。</w:t>
      </w:r>
    </w:p>
    <w:p>
      <w:pPr>
        <w:keepNext w:val="0"/>
        <w:keepLines w:val="0"/>
        <w:pageBreakBefore w:val="0"/>
        <w:widowControl w:val="0"/>
        <w:numPr>
          <w:ilvl w:val="0"/>
          <w:numId w:val="2"/>
        </w:numPr>
        <w:tabs>
          <w:tab w:val="clear" w:pos="0"/>
        </w:tabs>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b/>
          <w:bCs/>
          <w:sz w:val="32"/>
          <w:szCs w:val="32"/>
        </w:rPr>
      </w:pPr>
      <w:r>
        <w:rPr>
          <w:rFonts w:hint="eastAsia" w:ascii="仿宋_GB2312" w:hAnsi="仿宋_GB2312" w:cs="仿宋_GB2312"/>
          <w:b/>
          <w:bCs/>
          <w:sz w:val="32"/>
          <w:szCs w:val="32"/>
        </w:rPr>
        <w:t xml:space="preserve"> （责任约谈）</w:t>
      </w:r>
      <w:r>
        <w:rPr>
          <w:rFonts w:hint="eastAsia" w:ascii="仿宋_GB2312" w:hAnsi="仿宋_GB2312" w:cs="仿宋_GB2312"/>
          <w:sz w:val="32"/>
          <w:szCs w:val="32"/>
        </w:rPr>
        <w:t>市场监督管理部门在监督检查中发现食品相关产品生产企业存在产品质量安全隐患，未及时采取有效措施消除的，可以对企业法定代表人或者主要负责人进行责任约谈。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sz w:val="32"/>
          <w:szCs w:val="32"/>
        </w:rPr>
      </w:pPr>
      <w:r>
        <w:rPr>
          <w:rFonts w:hint="eastAsia" w:ascii="仿宋_GB2312" w:hAnsi="仿宋_GB2312" w:cs="仿宋_GB2312"/>
          <w:b/>
          <w:bCs/>
          <w:sz w:val="32"/>
          <w:szCs w:val="32"/>
        </w:rPr>
        <w:t xml:space="preserve"> （信用管理）</w:t>
      </w:r>
      <w:r>
        <w:rPr>
          <w:rFonts w:hint="eastAsia" w:ascii="仿宋_GB2312" w:hAnsi="仿宋_GB2312" w:cs="仿宋_GB2312"/>
          <w:sz w:val="32"/>
          <w:szCs w:val="32"/>
        </w:rPr>
        <w:t>监督</w:t>
      </w:r>
      <w:r>
        <w:rPr>
          <w:rFonts w:ascii="仿宋_GB2312" w:hAnsi="仿宋_GB2312" w:cs="仿宋_GB2312"/>
          <w:sz w:val="32"/>
          <w:szCs w:val="32"/>
        </w:rPr>
        <w:t>检查结果应</w:t>
      </w:r>
      <w:r>
        <w:rPr>
          <w:rFonts w:hint="eastAsia" w:ascii="仿宋_GB2312" w:hAnsi="仿宋_GB2312" w:cs="仿宋_GB2312"/>
          <w:sz w:val="32"/>
          <w:szCs w:val="32"/>
        </w:rPr>
        <w:t>载</w:t>
      </w:r>
      <w:r>
        <w:rPr>
          <w:rFonts w:ascii="仿宋_GB2312" w:hAnsi="仿宋_GB2312" w:cs="仿宋_GB2312"/>
          <w:sz w:val="32"/>
          <w:szCs w:val="32"/>
        </w:rPr>
        <w:t>入</w:t>
      </w:r>
      <w:r>
        <w:rPr>
          <w:rFonts w:hint="eastAsia" w:ascii="仿宋_GB2312" w:hAnsi="仿宋_GB2312" w:cs="仿宋_GB2312"/>
          <w:sz w:val="32"/>
          <w:szCs w:val="32"/>
        </w:rPr>
        <w:t>食品相关产品生产企业质量信用</w:t>
      </w:r>
      <w:r>
        <w:rPr>
          <w:rFonts w:ascii="仿宋_GB2312" w:hAnsi="仿宋_GB2312" w:cs="仿宋_GB2312"/>
          <w:sz w:val="32"/>
          <w:szCs w:val="32"/>
        </w:rPr>
        <w:t>档案。</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640"/>
        <w:jc w:val="both"/>
        <w:textAlignment w:val="auto"/>
        <w:rPr>
          <w:rFonts w:ascii="仿宋_GB2312" w:hAnsi="仿宋_GB2312" w:cs="仿宋_GB2312"/>
          <w:sz w:val="32"/>
          <w:szCs w:val="32"/>
        </w:rPr>
      </w:pPr>
      <w:r>
        <w:rPr>
          <w:rFonts w:hint="eastAsia" w:ascii="仿宋_GB2312" w:hAnsi="仿宋_GB2312" w:cs="仿宋_GB2312"/>
          <w:sz w:val="32"/>
          <w:szCs w:val="32"/>
        </w:rPr>
        <w:t>责任约谈情况和整改情况应当记入企业质量信用</w:t>
      </w:r>
      <w:r>
        <w:rPr>
          <w:rFonts w:ascii="仿宋_GB2312" w:hAnsi="仿宋_GB2312" w:cs="仿宋_GB2312"/>
          <w:sz w:val="32"/>
          <w:szCs w:val="32"/>
        </w:rPr>
        <w:t>档案</w:t>
      </w:r>
      <w:r>
        <w:rPr>
          <w:rFonts w:hint="eastAsia" w:ascii="仿宋_GB2312" w:hAnsi="仿宋_GB2312" w:cs="仿宋_GB2312"/>
          <w:sz w:val="32"/>
          <w:szCs w:val="32"/>
        </w:rPr>
        <w:t>。</w:t>
      </w:r>
    </w:p>
    <w:p>
      <w:pPr>
        <w:keepNext w:val="0"/>
        <w:keepLines w:val="0"/>
        <w:pageBreakBefore w:val="0"/>
        <w:widowControl w:val="0"/>
        <w:numPr>
          <w:ilvl w:val="0"/>
          <w:numId w:val="2"/>
        </w:numPr>
        <w:tabs>
          <w:tab w:val="clear" w:pos="0"/>
        </w:tabs>
        <w:kinsoku/>
        <w:wordWrap/>
        <w:overflowPunct/>
        <w:topLinePunct w:val="0"/>
        <w:autoSpaceDE/>
        <w:autoSpaceDN/>
        <w:bidi w:val="0"/>
        <w:adjustRightInd/>
        <w:snapToGrid/>
        <w:spacing w:line="600" w:lineRule="exact"/>
        <w:ind w:firstLine="640"/>
        <w:jc w:val="both"/>
        <w:textAlignment w:val="auto"/>
        <w:rPr>
          <w:rFonts w:ascii="仿宋_GB2312" w:hAnsi="仿宋_GB2312" w:cs="仿宋_GB2312"/>
          <w:sz w:val="32"/>
          <w:szCs w:val="32"/>
        </w:rPr>
      </w:pPr>
      <w:r>
        <w:rPr>
          <w:rFonts w:hint="eastAsia" w:ascii="仿宋_GB2312" w:hAnsi="仿宋_GB2312" w:cs="仿宋_GB2312"/>
          <w:b/>
          <w:bCs/>
          <w:sz w:val="32"/>
          <w:szCs w:val="32"/>
        </w:rPr>
        <w:t xml:space="preserve"> （执法人员培训）</w:t>
      </w:r>
      <w:r>
        <w:rPr>
          <w:rFonts w:hint="eastAsia" w:ascii="仿宋_GB2312" w:hAnsi="仿宋_GB2312" w:cs="仿宋_GB2312"/>
          <w:sz w:val="32"/>
          <w:szCs w:val="32"/>
        </w:rPr>
        <w:t>市场监督管理部门</w:t>
      </w:r>
      <w:r>
        <w:rPr>
          <w:rFonts w:ascii="仿宋_GB2312" w:hAnsi="仿宋_GB2312" w:cs="仿宋_GB2312"/>
          <w:sz w:val="32"/>
          <w:szCs w:val="32"/>
        </w:rPr>
        <w:t>应当对</w:t>
      </w:r>
      <w:r>
        <w:rPr>
          <w:rFonts w:hint="eastAsia" w:ascii="仿宋_GB2312" w:hAnsi="仿宋_GB2312" w:cs="仿宋_GB2312"/>
          <w:sz w:val="32"/>
          <w:szCs w:val="32"/>
        </w:rPr>
        <w:t>实施监督检查的执法</w:t>
      </w:r>
      <w:r>
        <w:rPr>
          <w:rFonts w:ascii="仿宋_GB2312" w:hAnsi="仿宋_GB2312" w:cs="仿宋_GB2312"/>
          <w:sz w:val="32"/>
          <w:szCs w:val="32"/>
        </w:rPr>
        <w:t>人员进行食品安全法律、法规、规章、标准、专业知识以及监督检查要点的培训。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pacing w:val="-6"/>
          <w:sz w:val="32"/>
          <w:szCs w:val="32"/>
        </w:rPr>
      </w:pPr>
      <w:r>
        <w:rPr>
          <w:rFonts w:hint="eastAsia" w:ascii="仿宋_GB2312" w:hAnsi="仿宋_GB2312" w:cs="仿宋_GB2312"/>
          <w:b/>
          <w:bCs/>
          <w:sz w:val="32"/>
          <w:szCs w:val="32"/>
        </w:rPr>
        <w:t xml:space="preserve"> （检查纪律）</w:t>
      </w:r>
      <w:r>
        <w:rPr>
          <w:rFonts w:hint="eastAsia" w:ascii="仿宋_GB2312" w:hAnsi="仿宋_GB2312" w:cs="仿宋_GB2312"/>
          <w:sz w:val="32"/>
          <w:szCs w:val="32"/>
        </w:rPr>
        <w:t>执法</w:t>
      </w:r>
      <w:r>
        <w:rPr>
          <w:rFonts w:hint="eastAsia" w:ascii="仿宋_GB2312" w:hAnsi="仿宋_GB2312" w:cs="仿宋_GB2312"/>
          <w:spacing w:val="-6"/>
          <w:sz w:val="32"/>
          <w:szCs w:val="32"/>
        </w:rPr>
        <w:t>人员和专业技术人员在实施监督检查过程中，应当严格遵守有关法律法规、廉政纪律和工作要求，不得泄露监督检查相关情况及被检查对象的商业秘密等信息。</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640"/>
        <w:jc w:val="both"/>
        <w:textAlignment w:val="auto"/>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 xml:space="preserve"> （检查结果为不符合的处理）</w:t>
      </w:r>
      <w:r>
        <w:rPr>
          <w:rFonts w:hint="eastAsia" w:ascii="仿宋_GB2312" w:hAnsi="仿宋_GB2312" w:cs="仿宋_GB2312"/>
          <w:sz w:val="32"/>
          <w:szCs w:val="32"/>
        </w:rPr>
        <w:t>监督检查结果为不符合的，由市场监督管理部门按照《中华人民共和国食品安全法》第一百二十四条第三款、第一百二十六条第三款、第一百二十八条，《</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产品质量法》第五十四条，《</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工业产品生产许可证管理条例》第四十五条至第四十七条，《中华人民共和国工业产品生产许可证管理条例实施办法》第四十九条至第五十三条，及《广东省食品相关产品生产加工监督管理办法》第四十一条至第四十四条等规定进行处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rPr>
        <w:t>（拒检处理）</w:t>
      </w:r>
      <w:r>
        <w:rPr>
          <w:rFonts w:hint="eastAsia" w:ascii="仿宋_GB2312" w:hAnsi="仿宋_GB2312" w:cs="仿宋_GB2312"/>
          <w:sz w:val="32"/>
          <w:szCs w:val="32"/>
        </w:rPr>
        <w:t>食品相关产品生产企业拒绝、阻挠、干涉市场监督管理部门及其工作人员依法开展监督检查的，由市场监督管理部门按照《</w:t>
      </w:r>
      <w:r>
        <w:rPr>
          <w:rFonts w:hint="eastAsia" w:ascii="仿宋_GB2312" w:hAnsi="仿宋_GB2312" w:cs="仿宋_GB2312"/>
          <w:sz w:val="32"/>
          <w:szCs w:val="32"/>
          <w:lang w:eastAsia="zh-CN"/>
        </w:rPr>
        <w:t>中华人民共和国</w:t>
      </w:r>
      <w:r>
        <w:rPr>
          <w:rFonts w:hint="eastAsia" w:ascii="仿宋_GB2312" w:hAnsi="仿宋_GB2312" w:cs="仿宋_GB2312"/>
          <w:sz w:val="32"/>
          <w:szCs w:val="32"/>
        </w:rPr>
        <w:t>食品安全法》第一百三十三条第一款的规定进行处理。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cs="仿宋_GB2312"/>
          <w:sz w:val="32"/>
          <w:szCs w:val="32"/>
        </w:rPr>
      </w:pPr>
      <w:r>
        <w:rPr>
          <w:rFonts w:hint="eastAsia" w:ascii="仿宋_GB2312" w:hAnsi="仿宋_GB2312" w:cs="仿宋_GB2312"/>
          <w:b/>
          <w:bCs/>
          <w:sz w:val="32"/>
          <w:szCs w:val="32"/>
        </w:rPr>
        <w:t xml:space="preserve"> （行政责任）</w:t>
      </w:r>
      <w:r>
        <w:rPr>
          <w:rFonts w:hint="eastAsia" w:ascii="仿宋_GB2312" w:hAnsi="仿宋_GB2312" w:cs="仿宋_GB2312"/>
          <w:sz w:val="32"/>
          <w:szCs w:val="32"/>
        </w:rPr>
        <w:t>执法人员在监督检查中存在失职渎职行为的，由任免机关或者监察机关依法对相关责任人追究行政责任；涉嫌构成犯罪的，依法移交司法机关处理。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640"/>
        <w:jc w:val="both"/>
        <w:textAlignment w:val="auto"/>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 （日常检查定义）</w:t>
      </w:r>
      <w:r>
        <w:rPr>
          <w:rFonts w:hint="default" w:ascii="Times New Roman" w:hAnsi="Times New Roman" w:cs="Times New Roman"/>
          <w:sz w:val="32"/>
          <w:szCs w:val="32"/>
        </w:rPr>
        <w:t>本办法中日常检查是指市场监督管理部门依照法定职权对不特定食品相关产品生产企业或者不特定检查事项进行检查。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 （专项检查定义）</w:t>
      </w:r>
      <w:r>
        <w:rPr>
          <w:rFonts w:hint="default" w:ascii="Times New Roman" w:hAnsi="Times New Roman" w:cs="Times New Roman"/>
          <w:sz w:val="32"/>
          <w:szCs w:val="32"/>
        </w:rPr>
        <w:t>本办法中专项检查是指市场监督管理部门根据举报投诉、上级交办、其他机关移送等案件线索或者重点领域治理部署等对特定食品相关产品生产企业或者特定检查事项进行检查（含对</w:t>
      </w:r>
      <w:r>
        <w:rPr>
          <w:rFonts w:hint="default" w:ascii="Times New Roman" w:hAnsi="Times New Roman" w:cs="Times New Roman"/>
          <w:spacing w:val="-6"/>
          <w:sz w:val="32"/>
          <w:szCs w:val="32"/>
        </w:rPr>
        <w:t>实行告知承诺审批的食品相关产品生产许可获证企业的全覆盖检查</w:t>
      </w:r>
      <w:r>
        <w:rPr>
          <w:rFonts w:hint="default" w:ascii="Times New Roman" w:hAnsi="Times New Roman"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 （解释权与有效期）</w:t>
      </w:r>
      <w:r>
        <w:rPr>
          <w:rFonts w:hint="default" w:ascii="Times New Roman" w:hAnsi="Times New Roman" w:cs="Times New Roman"/>
          <w:sz w:val="32"/>
          <w:szCs w:val="32"/>
        </w:rPr>
        <w:t>本办法由广东省市场监督管理局负责解释。本办法自发布之日30日起实施，有效期5年。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b/>
          <w:bCs/>
          <w:sz w:val="32"/>
          <w:szCs w:val="32"/>
        </w:rPr>
        <w:t>（废止文件）</w:t>
      </w:r>
      <w:r>
        <w:rPr>
          <w:rFonts w:hint="default" w:ascii="Times New Roman" w:hAnsi="Times New Roman" w:cs="Times New Roman"/>
          <w:sz w:val="32"/>
          <w:szCs w:val="32"/>
        </w:rPr>
        <w:t>本办法自实施之日起，食品相关产品生产企业监督检查不再适用《广东省质监局工业产品（含食品相关产品）生产许可事中事后监督检查工作指引（试行）》。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74" w:firstLineChars="200"/>
        <w:jc w:val="both"/>
        <w:textAlignment w:val="auto"/>
        <w:rPr>
          <w:rFonts w:hint="eastAsia" w:ascii="仿宋_GB2312" w:hAnsi="仿宋_GB2312" w:cs="仿宋_GB2312"/>
          <w:sz w:val="32"/>
          <w:szCs w:val="32"/>
        </w:rPr>
      </w:pPr>
      <w:r>
        <w:rPr>
          <w:rFonts w:hint="default" w:ascii="Times New Roman" w:hAnsi="Times New Roman" w:cs="Times New Roman"/>
          <w:sz w:val="32"/>
          <w:szCs w:val="32"/>
        </w:rPr>
        <w:t>附件：广东省食品相关产品生产企业监督检查记录表</w:t>
      </w:r>
      <w:r>
        <w:rPr>
          <w:rFonts w:hint="eastAsia" w:ascii="仿宋_GB2312" w:hAnsi="仿宋_GB2312" w:cs="仿宋_GB2312"/>
          <w:sz w:val="32"/>
          <w:szCs w:val="32"/>
        </w:rPr>
        <w:t xml:space="preserve">    </w:t>
      </w:r>
    </w:p>
    <w:p>
      <w:pPr>
        <w:rPr>
          <w:rFonts w:hint="eastAsia" w:ascii="仿宋_GB2312" w:hAnsi="仿宋_GB2312" w:cs="仿宋_GB2312"/>
          <w:sz w:val="32"/>
          <w:szCs w:val="32"/>
        </w:rPr>
        <w:sectPr>
          <w:footerReference r:id="rId5" w:type="first"/>
          <w:footerReference r:id="rId3" w:type="default"/>
          <w:footerReference r:id="rId4" w:type="even"/>
          <w:pgSz w:w="11907" w:h="16840"/>
          <w:pgMar w:top="2098" w:right="1418" w:bottom="1531" w:left="1588" w:header="851" w:footer="1304" w:gutter="0"/>
          <w:pgNumType w:fmt="decimal"/>
          <w:cols w:space="720" w:num="1"/>
          <w:docGrid w:type="linesAndChars" w:linePitch="592" w:charSpace="3664"/>
        </w:sectPr>
      </w:pPr>
    </w:p>
    <w:p>
      <w:pPr>
        <w:snapToGrid w:val="0"/>
        <w:spacing w:line="58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napToGrid w:val="0"/>
        <w:spacing w:line="580" w:lineRule="exact"/>
        <w:jc w:val="center"/>
        <w:rPr>
          <w:rFonts w:ascii="方正小标宋简体" w:eastAsia="方正小标宋简体"/>
          <w:sz w:val="44"/>
        </w:rPr>
      </w:pPr>
      <w:r>
        <w:rPr>
          <w:rFonts w:hint="eastAsia" w:ascii="方正小标宋简体" w:eastAsia="方正小标宋简体"/>
          <w:sz w:val="44"/>
        </w:rPr>
        <w:t>广东省食品相关产品生产企业监督检查记录表</w:t>
      </w:r>
    </w:p>
    <w:p>
      <w:pPr>
        <w:snapToGrid w:val="0"/>
        <w:spacing w:line="580" w:lineRule="exact"/>
        <w:jc w:val="center"/>
        <w:rPr>
          <w:rFonts w:ascii="黑体" w:hAnsi="黑体" w:eastAsia="黑体"/>
        </w:rPr>
      </w:pPr>
      <w:r>
        <w:rPr>
          <w:rFonts w:hint="eastAsia" w:ascii="黑体" w:hAnsi="黑体" w:eastAsia="黑体"/>
        </w:rPr>
        <w:t>告知页</w:t>
      </w:r>
    </w:p>
    <w:tbl>
      <w:tblPr>
        <w:tblStyle w:val="5"/>
        <w:tblW w:w="13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8" w:hRule="atLeast"/>
          <w:jc w:val="center"/>
        </w:trPr>
        <w:tc>
          <w:tcPr>
            <w:tcW w:w="138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 xml:space="preserve">被检查单位：                                     地址：                                </w:t>
            </w:r>
          </w:p>
          <w:p>
            <w:pPr>
              <w:rPr>
                <w:rFonts w:hint="eastAsia" w:ascii="仿宋" w:hAnsi="仿宋" w:eastAsia="仿宋" w:cs="仿宋"/>
              </w:rPr>
            </w:pPr>
          </w:p>
          <w:p>
            <w:pPr>
              <w:widowControl/>
              <w:snapToGrid w:val="0"/>
              <w:spacing w:line="400" w:lineRule="exact"/>
              <w:rPr>
                <w:rFonts w:hint="eastAsia" w:ascii="仿宋" w:hAnsi="仿宋" w:eastAsia="仿宋" w:cs="仿宋"/>
                <w:kern w:val="0"/>
                <w:sz w:val="24"/>
                <w:u w:val="single"/>
              </w:rPr>
            </w:pPr>
            <w:r>
              <w:rPr>
                <w:rFonts w:hint="eastAsia" w:ascii="仿宋" w:hAnsi="仿宋" w:eastAsia="仿宋" w:cs="仿宋"/>
                <w:kern w:val="0"/>
                <w:sz w:val="24"/>
              </w:rPr>
              <w:t xml:space="preserve">执法人员及执法证件编号：1.                       2.                      </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检查时间：     年     月     日</w:t>
            </w:r>
          </w:p>
          <w:p>
            <w:pPr>
              <w:widowControl/>
              <w:snapToGrid w:val="0"/>
              <w:spacing w:line="400" w:lineRule="exact"/>
              <w:rPr>
                <w:rFonts w:hint="eastAsia" w:ascii="仿宋" w:hAnsi="仿宋" w:eastAsia="仿宋" w:cs="仿宋"/>
                <w:kern w:val="0"/>
                <w:sz w:val="24"/>
                <w:u w:val="single"/>
              </w:rPr>
            </w:pPr>
            <w:r>
              <w:rPr>
                <w:rFonts w:hint="eastAsia" w:ascii="仿宋" w:hAnsi="仿宋" w:eastAsia="仿宋" w:cs="仿宋"/>
                <w:kern w:val="0"/>
                <w:sz w:val="24"/>
              </w:rPr>
              <w:t>检查地点：</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告知事项：</w:t>
            </w:r>
          </w:p>
          <w:p>
            <w:pPr>
              <w:widowControl/>
              <w:snapToGrid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我们是监督检查人员，</w:t>
            </w:r>
            <w:r>
              <w:rPr>
                <w:rFonts w:hint="eastAsia" w:ascii="仿宋" w:hAnsi="仿宋" w:eastAsia="仿宋" w:cs="仿宋"/>
                <w:sz w:val="24"/>
              </w:rPr>
              <w:t>现出示</w:t>
            </w:r>
            <w:r>
              <w:rPr>
                <w:rFonts w:hint="eastAsia" w:ascii="仿宋" w:hAnsi="仿宋" w:eastAsia="仿宋" w:cs="仿宋"/>
                <w:kern w:val="0"/>
                <w:sz w:val="24"/>
              </w:rPr>
              <w:t>执法证件。</w:t>
            </w:r>
            <w:r>
              <w:rPr>
                <w:rFonts w:hint="eastAsia" w:ascii="仿宋" w:hAnsi="仿宋" w:eastAsia="仿宋" w:cs="仿宋"/>
                <w:sz w:val="24"/>
              </w:rPr>
              <w:t>我们依法对你（单位）进行监督检查，请予配合。</w:t>
            </w:r>
          </w:p>
          <w:p>
            <w:pPr>
              <w:widowControl/>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依照法律规定，监督检查</w:t>
            </w:r>
            <w:r>
              <w:rPr>
                <w:rFonts w:hint="eastAsia" w:ascii="仿宋" w:hAnsi="仿宋" w:eastAsia="仿宋" w:cs="仿宋"/>
                <w:kern w:val="0"/>
                <w:sz w:val="24"/>
              </w:rPr>
              <w:t>人员少于两人或者所出示的执法证件与其身份不符的，</w:t>
            </w:r>
            <w:r>
              <w:rPr>
                <w:rFonts w:hint="eastAsia" w:ascii="仿宋" w:hAnsi="仿宋" w:eastAsia="仿宋" w:cs="仿宋"/>
                <w:sz w:val="24"/>
              </w:rPr>
              <w:t>你（单位）</w:t>
            </w:r>
            <w:r>
              <w:rPr>
                <w:rFonts w:hint="eastAsia" w:ascii="仿宋" w:hAnsi="仿宋" w:eastAsia="仿宋" w:cs="仿宋"/>
                <w:kern w:val="0"/>
                <w:sz w:val="24"/>
              </w:rPr>
              <w:t>有权拒绝检查；</w:t>
            </w:r>
            <w:r>
              <w:rPr>
                <w:rFonts w:hint="eastAsia" w:ascii="仿宋" w:hAnsi="仿宋" w:eastAsia="仿宋" w:cs="仿宋"/>
                <w:sz w:val="24"/>
              </w:rPr>
              <w:t>对于监督检查人员有下列情形之一的，你（单位）有权申请回避：（1）系当事人或当事人的近亲属；（2）与本人或本人近亲属有利害关系；（3）与当事人有其他关系，可能影响公正执法的</w:t>
            </w:r>
            <w:r>
              <w:rPr>
                <w:rFonts w:hint="eastAsia" w:ascii="仿宋" w:hAnsi="仿宋" w:eastAsia="仿宋" w:cs="仿宋"/>
                <w:kern w:val="0"/>
                <w:sz w:val="24"/>
              </w:rPr>
              <w:t>。</w:t>
            </w:r>
          </w:p>
          <w:p>
            <w:pPr>
              <w:widowControl/>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问：你（单位）是否申请回避？</w:t>
            </w:r>
          </w:p>
          <w:p>
            <w:pPr>
              <w:widowControl/>
              <w:snapToGrid w:val="0"/>
              <w:spacing w:line="40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 xml:space="preserve">答： </w:t>
            </w:r>
          </w:p>
          <w:p>
            <w:pPr>
              <w:widowControl/>
              <w:snapToGrid w:val="0"/>
              <w:spacing w:line="400" w:lineRule="exact"/>
              <w:rPr>
                <w:rFonts w:hint="eastAsia" w:ascii="仿宋" w:hAnsi="仿宋" w:eastAsia="仿宋" w:cs="仿宋"/>
                <w:kern w:val="0"/>
              </w:rPr>
            </w:pPr>
          </w:p>
          <w:p>
            <w:pPr>
              <w:widowControl/>
              <w:snapToGrid w:val="0"/>
              <w:spacing w:line="400" w:lineRule="exact"/>
              <w:rPr>
                <w:rFonts w:hint="eastAsia" w:ascii="仿宋" w:hAnsi="仿宋" w:eastAsia="仿宋" w:cs="仿宋"/>
                <w:kern w:val="0"/>
              </w:rPr>
            </w:pPr>
          </w:p>
          <w:p>
            <w:pPr>
              <w:tabs>
                <w:tab w:val="left" w:pos="795"/>
              </w:tabs>
              <w:snapToGrid w:val="0"/>
              <w:spacing w:line="400" w:lineRule="exact"/>
              <w:rPr>
                <w:rFonts w:hint="eastAsia" w:ascii="仿宋" w:hAnsi="仿宋" w:eastAsia="仿宋" w:cs="仿宋"/>
              </w:rPr>
            </w:pPr>
            <w:r>
              <w:rPr>
                <w:rFonts w:hint="eastAsia" w:ascii="仿宋" w:hAnsi="仿宋" w:eastAsia="仿宋" w:cs="仿宋"/>
              </w:rPr>
              <w:t>被检查单位法</w:t>
            </w:r>
            <w:r>
              <w:rPr>
                <w:rFonts w:hint="eastAsia" w:ascii="仿宋" w:hAnsi="仿宋" w:eastAsia="仿宋" w:cs="仿宋"/>
                <w:lang w:eastAsia="zh-CN"/>
              </w:rPr>
              <w:t>定代表</w:t>
            </w:r>
            <w:r>
              <w:rPr>
                <w:rFonts w:hint="eastAsia" w:ascii="仿宋" w:hAnsi="仿宋" w:eastAsia="仿宋" w:cs="仿宋"/>
              </w:rPr>
              <w:t>人或负责人签字：                 执法人员签字：</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    月    日                                     年    月    日</w:t>
            </w:r>
          </w:p>
        </w:tc>
      </w:tr>
    </w:tbl>
    <w:p>
      <w:pPr>
        <w:snapToGrid w:val="0"/>
        <w:spacing w:line="460" w:lineRule="exact"/>
        <w:rPr>
          <w:rFonts w:hint="eastAsia" w:ascii="楷体" w:hAnsi="楷体" w:eastAsia="楷体"/>
          <w:sz w:val="28"/>
        </w:rPr>
        <w:sectPr>
          <w:footerReference r:id="rId6" w:type="default"/>
          <w:pgSz w:w="16838" w:h="11906" w:orient="landscape"/>
          <w:pgMar w:top="1417" w:right="1417" w:bottom="1417" w:left="1417" w:header="851" w:footer="992" w:gutter="0"/>
          <w:pgNumType w:fmt="decimal"/>
          <w:cols w:space="720" w:num="1"/>
          <w:docGrid w:linePitch="319" w:charSpace="0"/>
        </w:sect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rPr>
      </w:pPr>
      <w:r>
        <w:rPr>
          <w:rFonts w:hint="eastAsia" w:ascii="仿宋" w:hAnsi="仿宋" w:eastAsia="仿宋" w:cs="仿宋"/>
          <w:sz w:val="21"/>
        </w:rPr>
        <w:t>填写说明：1.</w:t>
      </w:r>
      <w:r>
        <w:rPr>
          <w:rFonts w:hint="eastAsia" w:ascii="仿宋" w:hAnsi="仿宋" w:eastAsia="仿宋" w:cs="仿宋"/>
          <w:sz w:val="21"/>
          <w:lang w:val="en-US" w:eastAsia="zh-CN"/>
        </w:rPr>
        <w:t xml:space="preserve"> </w:t>
      </w:r>
      <w:r>
        <w:rPr>
          <w:rFonts w:hint="eastAsia" w:ascii="仿宋" w:hAnsi="仿宋" w:eastAsia="仿宋" w:cs="仿宋"/>
          <w:sz w:val="21"/>
        </w:rPr>
        <w:t>编号：由四位年度号+spxg（食品相关产品代号）+七位流水号（前两位为地级市行政区代码，第三、四位为县（区）代码，后三位为流水号）组成。例如：2020-spxg-xx（地市代号）xx（区代号）xxx（流水号）。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szCs w:val="22"/>
        </w:rPr>
      </w:pPr>
      <w:r>
        <w:rPr>
          <w:rFonts w:hint="eastAsia" w:ascii="仿宋" w:hAnsi="仿宋" w:eastAsia="仿宋" w:cs="仿宋"/>
          <w:sz w:val="21"/>
        </w:rPr>
        <w:t>2. 监督检查内容分为12大项38条，打**号的为否决项，打*号的为重点项，其他为一般项。结合监管实际，可选择相应条款进行检查判断，并在对应的“是”或“否”的选项框中打“√”，凡在“否”的选项框中打“√”的，均须填写发现的详细问题。如果检查项目存在合理缺项，该项无需勾选“是”或“否”，并在备注中说明，不计入问题项数。</w:t>
      </w:r>
      <w:r>
        <w:rPr>
          <w:rFonts w:hint="eastAsia" w:ascii="仿宋" w:hAnsi="仿宋" w:eastAsia="仿宋" w:cs="仿宋"/>
          <w:sz w:val="21"/>
          <w:szCs w:val="22"/>
        </w:rPr>
        <w:t>每次监督检查项目应至少覆盖重点项和否决项</w:t>
      </w:r>
      <w:r>
        <w:rPr>
          <w:rFonts w:hint="eastAsia" w:ascii="仿宋" w:hAnsi="仿宋" w:eastAsia="仿宋" w:cs="仿宋"/>
          <w:sz w:val="21"/>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 w:hAnsi="仿宋" w:eastAsia="仿宋" w:cs="仿宋"/>
          <w:sz w:val="21"/>
        </w:rPr>
      </w:pPr>
      <w:r>
        <w:rPr>
          <w:rFonts w:hint="eastAsia" w:ascii="仿宋" w:hAnsi="仿宋" w:eastAsia="仿宋" w:cs="仿宋"/>
          <w:sz w:val="21"/>
        </w:rPr>
        <w:t>3. 检查结论的确定原则：未发现问题的检查结果为“符合”；仅发现一般项存在问题的检查结果为“基本符合”；发现1项（含）以上重点项或否决项存在问题的检查结果为“不符合”。</w:t>
      </w:r>
    </w:p>
    <w:p>
      <w:pPr>
        <w:spacing w:line="360" w:lineRule="exact"/>
        <w:ind w:firstLine="560" w:firstLineChars="200"/>
        <w:rPr>
          <w:rFonts w:hint="eastAsia" w:ascii="仿宋" w:hAnsi="仿宋" w:eastAsia="仿宋" w:cs="仿宋"/>
          <w:sz w:val="28"/>
        </w:rPr>
      </w:pPr>
    </w:p>
    <w:p>
      <w:pPr>
        <w:spacing w:line="360" w:lineRule="exact"/>
        <w:ind w:firstLine="560" w:firstLineChars="200"/>
        <w:rPr>
          <w:rFonts w:hint="eastAsia" w:ascii="仿宋" w:hAnsi="仿宋" w:eastAsia="仿宋" w:cs="仿宋"/>
          <w:sz w:val="21"/>
        </w:rPr>
      </w:pPr>
      <w:r>
        <w:rPr>
          <w:rFonts w:hint="eastAsia" w:ascii="仿宋" w:hAnsi="仿宋" w:eastAsia="仿宋" w:cs="仿宋"/>
          <w:sz w:val="28"/>
        </w:rPr>
        <w:t>检查类别：  □日常检查      □</w:t>
      </w:r>
      <w:r>
        <w:rPr>
          <w:rFonts w:hint="eastAsia" w:ascii="仿宋" w:hAnsi="仿宋" w:eastAsia="仿宋" w:cs="仿宋"/>
          <w:sz w:val="28"/>
          <w:u w:val="single"/>
        </w:rPr>
        <w:t xml:space="preserve">                    </w:t>
      </w:r>
      <w:r>
        <w:rPr>
          <w:rFonts w:hint="eastAsia" w:ascii="仿宋" w:hAnsi="仿宋" w:eastAsia="仿宋" w:cs="仿宋"/>
          <w:sz w:val="28"/>
        </w:rPr>
        <w:t xml:space="preserve">专项检查   </w:t>
      </w:r>
    </w:p>
    <w:tbl>
      <w:tblPr>
        <w:tblStyle w:val="5"/>
        <w:tblW w:w="13420"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
      <w:tblGrid>
        <w:gridCol w:w="1045"/>
        <w:gridCol w:w="630"/>
        <w:gridCol w:w="600"/>
        <w:gridCol w:w="5414"/>
        <w:gridCol w:w="4771"/>
        <w:gridCol w:w="944"/>
        <w:gridCol w:w="1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335" w:hRule="atLeast"/>
          <w:tblHeader/>
        </w:trPr>
        <w:tc>
          <w:tcPr>
            <w:tcW w:w="1045" w:type="dxa"/>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检查项目</w:t>
            </w:r>
          </w:p>
        </w:tc>
        <w:tc>
          <w:tcPr>
            <w:tcW w:w="1230" w:type="dxa"/>
            <w:gridSpan w:val="2"/>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5414" w:type="dxa"/>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检查内容</w:t>
            </w:r>
          </w:p>
        </w:tc>
        <w:tc>
          <w:tcPr>
            <w:tcW w:w="4771" w:type="dxa"/>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评价</w:t>
            </w:r>
          </w:p>
        </w:tc>
        <w:tc>
          <w:tcPr>
            <w:tcW w:w="944" w:type="dxa"/>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90" w:hRule="atLeast"/>
        </w:trPr>
        <w:tc>
          <w:tcPr>
            <w:tcW w:w="1045" w:type="dxa"/>
            <w:vMerge w:val="restart"/>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1 生产者资质及基本要求</w:t>
            </w:r>
          </w:p>
        </w:tc>
        <w:tc>
          <w:tcPr>
            <w:tcW w:w="1230" w:type="dxa"/>
            <w:gridSpan w:val="2"/>
            <w:vAlign w:val="center"/>
          </w:tcPr>
          <w:p>
            <w:pPr>
              <w:jc w:val="center"/>
              <w:rPr>
                <w:rFonts w:hint="eastAsia" w:ascii="仿宋" w:hAnsi="仿宋" w:eastAsia="仿宋" w:cs="仿宋"/>
              </w:rPr>
            </w:pPr>
            <w:r>
              <w:rPr>
                <w:rFonts w:hint="eastAsia" w:ascii="仿宋" w:hAnsi="仿宋" w:eastAsia="仿宋" w:cs="仿宋"/>
                <w:sz w:val="21"/>
                <w:szCs w:val="21"/>
              </w:rPr>
              <w:t>1</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纳入生产许可目录产品生产企业是否具备相应的生产经营资质</w:t>
            </w:r>
            <w:r>
              <w:rPr>
                <w:rFonts w:hint="eastAsia" w:ascii="仿宋" w:hAnsi="仿宋" w:eastAsia="仿宋" w:cs="仿宋"/>
                <w:sz w:val="21"/>
                <w:szCs w:val="21"/>
                <w:lang w:eastAsia="zh-CN"/>
              </w:rPr>
              <w:t>（</w:t>
            </w:r>
            <w:r>
              <w:rPr>
                <w:rFonts w:hint="eastAsia" w:ascii="仿宋" w:hAnsi="仿宋" w:eastAsia="仿宋" w:cs="仿宋"/>
                <w:sz w:val="21"/>
                <w:szCs w:val="21"/>
              </w:rPr>
              <w:t>相关证照</w:t>
            </w:r>
            <w:r>
              <w:rPr>
                <w:rFonts w:hint="eastAsia" w:ascii="仿宋" w:hAnsi="仿宋" w:eastAsia="仿宋" w:cs="仿宋"/>
                <w:sz w:val="21"/>
                <w:szCs w:val="21"/>
                <w:lang w:eastAsia="zh-CN"/>
              </w:rPr>
              <w:t>）</w:t>
            </w:r>
            <w:r>
              <w:rPr>
                <w:rFonts w:hint="eastAsia" w:ascii="仿宋" w:hAnsi="仿宋" w:eastAsia="仿宋" w:cs="仿宋"/>
                <w:sz w:val="21"/>
                <w:szCs w:val="21"/>
              </w:rPr>
              <w:t>：</w:t>
            </w:r>
          </w:p>
          <w:p>
            <w:pPr>
              <w:spacing w:line="260" w:lineRule="exact"/>
              <w:rPr>
                <w:rFonts w:hint="eastAsia" w:ascii="仿宋" w:hAnsi="仿宋" w:eastAsia="仿宋" w:cs="仿宋"/>
                <w:sz w:val="21"/>
                <w:szCs w:val="21"/>
                <w:lang w:eastAsia="zh-CN"/>
              </w:rPr>
            </w:pPr>
            <w:r>
              <w:rPr>
                <w:rFonts w:hint="eastAsia" w:ascii="仿宋" w:hAnsi="仿宋" w:eastAsia="仿宋" w:cs="仿宋"/>
                <w:sz w:val="21"/>
                <w:szCs w:val="21"/>
              </w:rPr>
              <w:t>（1）*营业执照与生产许可证信息是否一致，经营范围是否涵盖生产获证产品，是否在有效期内；</w:t>
            </w:r>
          </w:p>
          <w:p>
            <w:pPr>
              <w:spacing w:line="260" w:lineRule="exact"/>
              <w:rPr>
                <w:rFonts w:hint="eastAsia" w:ascii="仿宋" w:hAnsi="仿宋" w:eastAsia="仿宋" w:cs="仿宋"/>
                <w:sz w:val="21"/>
                <w:szCs w:val="21"/>
                <w:lang w:eastAsia="zh-CN"/>
              </w:rPr>
            </w:pPr>
            <w:r>
              <w:rPr>
                <w:rFonts w:hint="eastAsia" w:ascii="仿宋" w:hAnsi="仿宋" w:eastAsia="仿宋" w:cs="仿宋"/>
                <w:sz w:val="21"/>
                <w:szCs w:val="21"/>
              </w:rPr>
              <w:t>（2）**取得生产许可证，并在有效期内；</w:t>
            </w:r>
          </w:p>
          <w:p>
            <w:pPr>
              <w:spacing w:line="260" w:lineRule="exact"/>
              <w:rPr>
                <w:rFonts w:hint="eastAsia" w:ascii="仿宋" w:hAnsi="仿宋" w:eastAsia="仿宋" w:cs="仿宋"/>
                <w:sz w:val="21"/>
                <w:szCs w:val="21"/>
                <w:lang w:eastAsia="zh-CN"/>
              </w:rPr>
            </w:pPr>
            <w:r>
              <w:rPr>
                <w:rFonts w:hint="eastAsia" w:ascii="仿宋" w:hAnsi="仿宋" w:eastAsia="仿宋" w:cs="仿宋"/>
                <w:sz w:val="21"/>
                <w:szCs w:val="21"/>
              </w:rPr>
              <w:t>（3）**实际生产地址、实际生产产品（产品单元、产品品种、接触食品层材质、工序）与生产许可证是否一致</w:t>
            </w:r>
            <w:r>
              <w:rPr>
                <w:rFonts w:hint="eastAsia" w:ascii="仿宋" w:hAnsi="仿宋" w:eastAsia="仿宋" w:cs="仿宋"/>
                <w:sz w:val="21"/>
                <w:szCs w:val="21"/>
                <w:lang w:eastAsia="zh-CN"/>
              </w:rPr>
              <w:t>；</w:t>
            </w:r>
          </w:p>
          <w:p>
            <w:pPr>
              <w:spacing w:line="260" w:lineRule="exact"/>
              <w:rPr>
                <w:rFonts w:hint="eastAsia" w:ascii="仿宋" w:hAnsi="仿宋" w:eastAsia="仿宋" w:cs="仿宋"/>
                <w:sz w:val="21"/>
                <w:szCs w:val="21"/>
              </w:rPr>
            </w:pPr>
            <w:r>
              <w:rPr>
                <w:rFonts w:hint="eastAsia" w:ascii="仿宋" w:hAnsi="仿宋" w:eastAsia="仿宋" w:cs="仿宋"/>
                <w:sz w:val="21"/>
                <w:szCs w:val="21"/>
              </w:rPr>
              <w:t>（4）**取得生产许可证后，生产条件、检验手段、生产技术或者工艺等未发生变化，能持续保持取得生产许可的规定条件。</w:t>
            </w:r>
          </w:p>
          <w:p>
            <w:pPr>
              <w:spacing w:line="260" w:lineRule="exact"/>
              <w:rPr>
                <w:rFonts w:hint="eastAsia" w:ascii="仿宋" w:hAnsi="仿宋" w:eastAsia="仿宋" w:cs="仿宋"/>
                <w:sz w:val="21"/>
                <w:szCs w:val="21"/>
              </w:rPr>
            </w:pPr>
            <w:r>
              <w:rPr>
                <w:rFonts w:hint="eastAsia" w:ascii="仿宋" w:hAnsi="仿宋" w:eastAsia="仿宋" w:cs="仿宋"/>
                <w:sz w:val="21"/>
                <w:szCs w:val="21"/>
              </w:rPr>
              <w:t>未纳入生产许可目录产品生产企业经营范围是否涵盖生产产品。</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restart"/>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410" w:hRule="atLeast"/>
        </w:trPr>
        <w:tc>
          <w:tcPr>
            <w:tcW w:w="1045" w:type="dxa"/>
            <w:vMerge w:val="continue"/>
            <w:vAlign w:val="center"/>
          </w:tcPr>
          <w:p>
            <w:pPr>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建立产品质量安全管理制度。</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44" w:type="dxa"/>
            <w:vMerge w:val="continue"/>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338" w:hRule="atLeast"/>
        </w:trPr>
        <w:tc>
          <w:tcPr>
            <w:tcW w:w="1045" w:type="dxa"/>
            <w:vMerge w:val="continue"/>
            <w:vAlign w:val="center"/>
          </w:tcPr>
          <w:p>
            <w:pPr>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收集《食品安全法》《产品质量法》等法律法规规章标准。</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667" w:hRule="atLeast"/>
        </w:trPr>
        <w:tc>
          <w:tcPr>
            <w:tcW w:w="1045" w:type="dxa"/>
            <w:vMerge w:val="restart"/>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2 从业人员管理</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kern w:val="0"/>
                <w:sz w:val="21"/>
                <w:szCs w:val="21"/>
              </w:rPr>
              <w:t>有专人负责与食品安全相关的工作</w:t>
            </w:r>
            <w:r>
              <w:rPr>
                <w:rFonts w:hint="eastAsia" w:ascii="仿宋" w:hAnsi="仿宋" w:eastAsia="仿宋" w:cs="仿宋"/>
                <w:sz w:val="21"/>
                <w:szCs w:val="21"/>
              </w:rPr>
              <w:t>。获证企业应按规定配备食品安全管理人员，并加强对其培训、考核和日常履职管理。</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gridAfter w:val="1"/>
          <w:wAfter w:w="16" w:type="dxa"/>
          <w:trHeight w:val="675"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对产品安全相关岗位的从业人员进行相应的食品安全知识培训。</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357"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3 生产环境条件</w:t>
            </w:r>
          </w:p>
        </w:tc>
        <w:tc>
          <w:tcPr>
            <w:tcW w:w="1230" w:type="dxa"/>
            <w:gridSpan w:val="2"/>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厂区应与有毒有害污染源保持相应的距离。</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restart"/>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厂区内外环境应整洁、卫生。</w:t>
            </w:r>
            <w:r>
              <w:rPr>
                <w:rFonts w:hint="eastAsia" w:ascii="仿宋" w:hAnsi="仿宋" w:eastAsia="仿宋" w:cs="仿宋"/>
                <w:spacing w:val="-6"/>
                <w:sz w:val="21"/>
                <w:szCs w:val="21"/>
              </w:rPr>
              <w:t>厂区道路应采用便于清洗的硬质材料铺成，厂区地面应防止积水及尘土飞扬。</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企业的生产、行政、生活和辅助区的总体布局应合理，避免交叉污染。</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pacing w:val="-6"/>
                <w:sz w:val="21"/>
                <w:szCs w:val="21"/>
              </w:rPr>
              <w:t>厂房应按生产工艺流程及卫生要求进行合理布局，避免交叉污染。不同卫生要求的产品在同一生产区域内生产时，应保证各产品自身的卫生性能。</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72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生产车间与库房的墙壁、地面表面应平整光滑，便于清洁；对于不经清洁</w:t>
            </w:r>
            <w:r>
              <w:rPr>
                <w:rFonts w:hint="eastAsia" w:ascii="仿宋" w:hAnsi="仿宋" w:eastAsia="仿宋" w:cs="仿宋"/>
                <w:spacing w:val="-6"/>
                <w:sz w:val="21"/>
                <w:szCs w:val="21"/>
              </w:rPr>
              <w:t>直接接触食品的在制品和最终产品，其生产车间顶棚应易于清洁、消毒，在结构上不利于冷凝水垂直滴下。</w:t>
            </w:r>
          </w:p>
        </w:tc>
        <w:tc>
          <w:tcPr>
            <w:tcW w:w="4771" w:type="dxa"/>
            <w:vAlign w:val="center"/>
          </w:tcPr>
          <w:p>
            <w:pPr>
              <w:spacing w:line="260" w:lineRule="exact"/>
              <w:jc w:val="left"/>
              <w:rPr>
                <w:rFonts w:hint="eastAsia" w:ascii="仿宋" w:hAnsi="仿宋" w:eastAsia="仿宋" w:cs="仿宋"/>
                <w:sz w:val="21"/>
                <w:szCs w:val="21"/>
              </w:rPr>
            </w:pP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4 设备设施管理</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5414" w:type="dxa"/>
            <w:vAlign w:val="center"/>
          </w:tcPr>
          <w:p>
            <w:pPr>
              <w:adjustRightInd w:val="0"/>
              <w:spacing w:line="260" w:lineRule="exact"/>
              <w:rPr>
                <w:rFonts w:hint="eastAsia" w:ascii="仿宋" w:hAnsi="仿宋" w:eastAsia="仿宋" w:cs="仿宋"/>
                <w:spacing w:val="-6"/>
                <w:sz w:val="21"/>
                <w:szCs w:val="21"/>
              </w:rPr>
            </w:pPr>
            <w:r>
              <w:rPr>
                <w:rFonts w:hint="eastAsia" w:ascii="仿宋" w:hAnsi="仿宋" w:eastAsia="仿宋" w:cs="仿宋"/>
                <w:spacing w:val="-6"/>
                <w:sz w:val="21"/>
                <w:szCs w:val="21"/>
              </w:rPr>
              <w:t>具备与生产能力和卫生要求相匹配的卫生、通风、搬运、输送等设施。</w:t>
            </w:r>
            <w:r>
              <w:rPr>
                <w:rFonts w:hint="eastAsia" w:ascii="仿宋" w:hAnsi="仿宋" w:eastAsia="仿宋" w:cs="仿宋"/>
                <w:sz w:val="21"/>
                <w:szCs w:val="21"/>
              </w:rPr>
              <w:t>生产场所设置的水池、地漏等不应对产品造成污染。</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454"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pacing w:val="-6"/>
                <w:sz w:val="21"/>
                <w:szCs w:val="21"/>
              </w:rPr>
              <w:t>配备足够的清洁设施。对于不经清洁直接接触食品的在制品和最终产品，生产车间与库房应设置消毒、防尘、防虫害等设施。食品用洗涤剂生产车间应有防尘、防虫害等设施；灌装车间应相对独立且进入前有缓冲区或缓冲措施；灌装线需配备环境消毒杀菌设施。</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restart"/>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5414" w:type="dxa"/>
            <w:vAlign w:val="center"/>
          </w:tcPr>
          <w:p>
            <w:pPr>
              <w:adjustRightInd w:val="0"/>
              <w:spacing w:line="260" w:lineRule="exact"/>
              <w:rPr>
                <w:rFonts w:hint="eastAsia" w:ascii="仿宋" w:hAnsi="仿宋" w:eastAsia="仿宋" w:cs="仿宋"/>
                <w:spacing w:val="-6"/>
                <w:sz w:val="21"/>
                <w:szCs w:val="21"/>
              </w:rPr>
            </w:pPr>
            <w:r>
              <w:rPr>
                <w:rFonts w:hint="eastAsia" w:ascii="仿宋" w:hAnsi="仿宋" w:eastAsia="仿宋" w:cs="仿宋"/>
                <w:sz w:val="21"/>
                <w:szCs w:val="21"/>
              </w:rPr>
              <w:t>配备废弃物处理设施，固体废弃物应及时清理，防止对产品造成污染。</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5414" w:type="dxa"/>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对于不经清洁直接接触食品的在制品和最终产品，应符合以下要求：</w:t>
            </w:r>
          </w:p>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（1）应在生产车间入口处设置更衣室；</w:t>
            </w:r>
          </w:p>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（2）应在生产车间入口处按需设置换鞋设施或工作鞋靴消毒设施；</w:t>
            </w:r>
          </w:p>
          <w:p>
            <w:pPr>
              <w:adjustRightInd w:val="0"/>
              <w:spacing w:line="260" w:lineRule="exact"/>
              <w:rPr>
                <w:rFonts w:hint="eastAsia" w:ascii="仿宋" w:hAnsi="仿宋" w:eastAsia="仿宋" w:cs="仿宋"/>
                <w:spacing w:val="-6"/>
                <w:sz w:val="21"/>
                <w:szCs w:val="21"/>
              </w:rPr>
            </w:pPr>
            <w:r>
              <w:rPr>
                <w:rFonts w:hint="eastAsia" w:ascii="仿宋" w:hAnsi="仿宋" w:eastAsia="仿宋" w:cs="仿宋"/>
                <w:sz w:val="21"/>
                <w:szCs w:val="21"/>
              </w:rPr>
              <w:t>（3）应在生产车间入口处设置洗手、消毒、除尘设施。</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5414" w:type="dxa"/>
            <w:vAlign w:val="center"/>
          </w:tcPr>
          <w:p>
            <w:pPr>
              <w:adjustRightInd w:val="0"/>
              <w:spacing w:line="260" w:lineRule="exact"/>
              <w:rPr>
                <w:rFonts w:hint="eastAsia" w:ascii="仿宋" w:hAnsi="仿宋" w:eastAsia="仿宋" w:cs="仿宋"/>
                <w:spacing w:val="-6"/>
                <w:sz w:val="21"/>
                <w:szCs w:val="21"/>
              </w:rPr>
            </w:pPr>
            <w:r>
              <w:rPr>
                <w:rFonts w:hint="eastAsia" w:ascii="仿宋" w:hAnsi="仿宋" w:eastAsia="仿宋" w:cs="仿宋"/>
                <w:sz w:val="21"/>
                <w:szCs w:val="21"/>
              </w:rPr>
              <w:t>厂房内照明度应满足生产加工要求。生产工艺对温度、湿度有要求的生产车间，应配备温湿度调节及监控设施。</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5414" w:type="dxa"/>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库房容积应满足生产需要。库房内存放的物品不应造成交叉污染。有毒有害物料、易燃易爆物料应单独存放，明确标识。</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33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17</w:t>
            </w:r>
          </w:p>
        </w:tc>
        <w:tc>
          <w:tcPr>
            <w:tcW w:w="5414" w:type="dxa"/>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生产设备定期维护保养并做好记录。</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304"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c>
          <w:tcPr>
            <w:tcW w:w="5414" w:type="dxa"/>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kern w:val="0"/>
                <w:sz w:val="21"/>
                <w:szCs w:val="21"/>
              </w:rPr>
              <w:t>检验设备、设施应满足出厂检验和检验环境要求。</w:t>
            </w:r>
          </w:p>
        </w:tc>
        <w:tc>
          <w:tcPr>
            <w:tcW w:w="4771" w:type="dxa"/>
            <w:vAlign w:val="center"/>
          </w:tcPr>
          <w:p>
            <w:pPr>
              <w:spacing w:line="260" w:lineRule="exact"/>
              <w:jc w:val="left"/>
              <w:rPr>
                <w:rFonts w:hint="eastAsia" w:ascii="仿宋" w:hAnsi="仿宋" w:eastAsia="仿宋" w:cs="仿宋"/>
                <w:sz w:val="21"/>
                <w:szCs w:val="21"/>
              </w:rPr>
            </w:pP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589"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19</w:t>
            </w:r>
          </w:p>
        </w:tc>
        <w:tc>
          <w:tcPr>
            <w:tcW w:w="5414" w:type="dxa"/>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用于生产和检验的仪器、仪表、量具、衡器等应有明显的状态标识，并定期校验和记录。</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430" w:hRule="atLeast"/>
        </w:trPr>
        <w:tc>
          <w:tcPr>
            <w:tcW w:w="1045" w:type="dxa"/>
            <w:vMerge w:val="restart"/>
            <w:vAlign w:val="center"/>
          </w:tcPr>
          <w:p>
            <w:pPr>
              <w:rPr>
                <w:rFonts w:hint="eastAsia" w:ascii="仿宋" w:hAnsi="仿宋" w:eastAsia="仿宋" w:cs="仿宋"/>
              </w:rPr>
            </w:pPr>
            <w:r>
              <w:rPr>
                <w:rFonts w:hint="eastAsia" w:ascii="仿宋" w:hAnsi="仿宋" w:eastAsia="仿宋" w:cs="仿宋"/>
                <w:sz w:val="21"/>
                <w:szCs w:val="21"/>
              </w:rPr>
              <w:t>5 进货查验</w:t>
            </w:r>
          </w:p>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5414" w:type="dxa"/>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使用的原料、添加剂应符合国家相关法律法规和标准的要求。</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21</w:t>
            </w:r>
          </w:p>
        </w:tc>
        <w:tc>
          <w:tcPr>
            <w:tcW w:w="5414" w:type="dxa"/>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原辅料、添加剂应从经评价的合格供应商进行采购，保存供应商评价记录、采购合同。</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22*</w:t>
            </w:r>
          </w:p>
        </w:tc>
        <w:tc>
          <w:tcPr>
            <w:tcW w:w="5414" w:type="dxa"/>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应向原料、添加剂供应商索取与购进批次相应的合格证明材料。供应商无法提供有效文件的，企业应依照相应的食品安全标准或企业验收标准进行检验或验证，并保存相关记录。原料实施生产许可管理的，应当查验生产者的生产许可证明文件。</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23</w:t>
            </w:r>
          </w:p>
        </w:tc>
        <w:tc>
          <w:tcPr>
            <w:tcW w:w="5414" w:type="dxa"/>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应建立原辅料使用台帐，并保存相应的贮存、使用记录等。</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 生产过程控制</w:t>
            </w:r>
          </w:p>
        </w:tc>
        <w:tc>
          <w:tcPr>
            <w:tcW w:w="630"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关键控制要求</w:t>
            </w:r>
          </w:p>
        </w:tc>
        <w:tc>
          <w:tcPr>
            <w:tcW w:w="6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24</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应对产品的生产过程进行危害分析，明确关键控制点并建立相应的控制措施，落实控制措施相关文件，如配料（投料）表、岗位操作规程等，并保存相关记录确保可追溯。</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735"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630" w:type="dxa"/>
            <w:vMerge w:val="continue"/>
            <w:vAlign w:val="center"/>
          </w:tcPr>
          <w:p>
            <w:pPr>
              <w:widowControl/>
              <w:spacing w:line="260" w:lineRule="exact"/>
              <w:jc w:val="center"/>
              <w:rPr>
                <w:rFonts w:hint="eastAsia" w:ascii="仿宋" w:hAnsi="仿宋" w:eastAsia="仿宋" w:cs="仿宋"/>
                <w:sz w:val="21"/>
                <w:szCs w:val="21"/>
              </w:rPr>
            </w:pPr>
          </w:p>
        </w:tc>
        <w:tc>
          <w:tcPr>
            <w:tcW w:w="6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生产过程中应采取措施识别、防止和消除外来异物的污染风险并防止交叉污染。</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630"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6.2 印刷卫生要求</w:t>
            </w:r>
          </w:p>
        </w:tc>
        <w:tc>
          <w:tcPr>
            <w:tcW w:w="6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26</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用于食品接触材料及制品的油墨应符合国家相关法律法规和标准要求。</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630" w:type="dxa"/>
            <w:vMerge w:val="continue"/>
            <w:vAlign w:val="center"/>
          </w:tcPr>
          <w:p>
            <w:pPr>
              <w:widowControl/>
              <w:spacing w:line="260" w:lineRule="exact"/>
              <w:jc w:val="center"/>
              <w:rPr>
                <w:rFonts w:hint="eastAsia" w:ascii="仿宋" w:hAnsi="仿宋" w:eastAsia="仿宋" w:cs="仿宋"/>
                <w:sz w:val="21"/>
                <w:szCs w:val="21"/>
              </w:rPr>
            </w:pPr>
          </w:p>
        </w:tc>
        <w:tc>
          <w:tcPr>
            <w:tcW w:w="60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27</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用于非食品接触面的印刷油墨层不应与食品直接接触，严格控制因堆叠或卷绕引起的黏粘等方式造成的从印刷面转移到食品接触面的物质。</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729"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7 产品包装标识</w:t>
            </w:r>
          </w:p>
        </w:tc>
        <w:tc>
          <w:tcPr>
            <w:tcW w:w="1230" w:type="dxa"/>
            <w:gridSpan w:val="2"/>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28*</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产品应具有合格证和产品标识（包括标签、说明书、获证产品生产许可证标志和编号，根据产品的特点难以附加标识的裸装产品除外）。</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13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29**</w:t>
            </w:r>
          </w:p>
        </w:tc>
        <w:tc>
          <w:tcPr>
            <w:tcW w:w="5414" w:type="dxa"/>
            <w:vAlign w:val="center"/>
          </w:tcPr>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食品接触材料及制品终产品的标识内容应注明“食品接触用”、“食品包装用”或者类似用语、标志。有明确食品接触用途的产品除外。</w:t>
            </w:r>
          </w:p>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对于有特定用途的产品，应有产品说明书或产品标签，注明使用方法、使用注意事项等相关信息。执行标准对产品保质期有要求的，产品应标注相关信息。</w:t>
            </w:r>
          </w:p>
        </w:tc>
        <w:tc>
          <w:tcPr>
            <w:tcW w:w="4771" w:type="dxa"/>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8 贮存及交付控制</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30</w:t>
            </w:r>
          </w:p>
        </w:tc>
        <w:tc>
          <w:tcPr>
            <w:tcW w:w="5414" w:type="dxa"/>
            <w:vAlign w:val="center"/>
          </w:tcPr>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用于包装、贮存和装卸的容器、工具和设备应清洁、卫生，不应对产品造成污染。</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restart"/>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31</w:t>
            </w:r>
          </w:p>
        </w:tc>
        <w:tc>
          <w:tcPr>
            <w:tcW w:w="5414" w:type="dxa"/>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产品在贮存过程中，应选择合适的贮存条件，以保证产品安全质量不受影响。在贮存和运输过程中应加强防护，防止成品出现损伤、污染。</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9 出厂检验</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32*</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对产品进行出厂检验，并保存有关记录和凭证。企业不具备检验能力的，应当委托有资质的检验机构进行检验，并保存相关凭证。</w:t>
            </w:r>
          </w:p>
        </w:tc>
        <w:tc>
          <w:tcPr>
            <w:tcW w:w="4771" w:type="dxa"/>
            <w:vAlign w:val="center"/>
          </w:tcPr>
          <w:p>
            <w:pPr>
              <w:spacing w:line="260" w:lineRule="exact"/>
              <w:jc w:val="left"/>
              <w:rPr>
                <w:rFonts w:hint="eastAsia" w:ascii="仿宋" w:hAnsi="仿宋" w:eastAsia="仿宋" w:cs="仿宋"/>
                <w:sz w:val="21"/>
                <w:szCs w:val="21"/>
              </w:rPr>
            </w:pP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33</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自行检验项目与委托有资质检验机构进行检验的项目应覆盖食品安全国家标准中的检验项目要求。</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34</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建立不合格品管理制度，对检验不合格的产品进行相应处置。</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restart"/>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10 产品追溯和召回</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35</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如实记录出厂产品的名称、规格、数量、生产日期或者生产批号、保质期、检验合格证号、销售日期以及购货者名称、地址、联系方式等内容，并保存相关凭证。</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建立产品召回制度并如实记录产品召回实施情况；留存召回通知、召回产品品种、数量以及无害化处理、销毁等相关凭证，以及向当地监管部门报告召回情况的材料。</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Merge w:val="continue"/>
            <w:vAlign w:val="center"/>
          </w:tcPr>
          <w:p>
            <w:pPr>
              <w:widowControl/>
              <w:spacing w:line="260" w:lineRule="exact"/>
              <w:jc w:val="center"/>
              <w:rPr>
                <w:rFonts w:hint="eastAsia" w:ascii="仿宋" w:hAnsi="仿宋" w:eastAsia="仿宋" w:cs="仿宋"/>
                <w:sz w:val="21"/>
                <w:szCs w:val="21"/>
              </w:rPr>
            </w:pP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37</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建立客户投诉处理机制。对客户提出的书面或口头意见、投诉，作记录并查找原因。</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045" w:type="dxa"/>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11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食品安全事故处置</w:t>
            </w:r>
          </w:p>
        </w:tc>
        <w:tc>
          <w:tcPr>
            <w:tcW w:w="1230"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38*</w:t>
            </w:r>
          </w:p>
        </w:tc>
        <w:tc>
          <w:tcPr>
            <w:tcW w:w="5414" w:type="dxa"/>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曾发生食品安全事故的，有处置、报告食品安全事故记录。</w:t>
            </w:r>
          </w:p>
        </w:tc>
        <w:tc>
          <w:tcPr>
            <w:tcW w:w="4771" w:type="dxa"/>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1675" w:type="dxa"/>
            <w:gridSpan w:val="2"/>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12 其他需要记录的问题</w:t>
            </w:r>
          </w:p>
        </w:tc>
        <w:tc>
          <w:tcPr>
            <w:tcW w:w="11745" w:type="dxa"/>
            <w:gridSpan w:val="5"/>
            <w:vAlign w:val="center"/>
          </w:tcPr>
          <w:p>
            <w:pPr>
              <w:widowControl/>
              <w:spacing w:line="260" w:lineRule="exact"/>
              <w:jc w:val="left"/>
              <w:rPr>
                <w:rFonts w:hint="eastAsia" w:ascii="仿宋" w:hAnsi="仿宋" w:eastAsia="仿宋" w:cs="仿宋"/>
                <w:kern w:val="0"/>
                <w:sz w:val="24"/>
              </w:rPr>
            </w:pPr>
          </w:p>
          <w:p>
            <w:pPr>
              <w:spacing w:line="260" w:lineRule="exact"/>
              <w:rPr>
                <w:rFonts w:hint="eastAsia" w:ascii="仿宋" w:hAnsi="仿宋" w:eastAsia="仿宋" w:cs="仿宋"/>
                <w:sz w:val="21"/>
                <w:szCs w:val="21"/>
              </w:rPr>
            </w:pPr>
            <w:r>
              <w:rPr>
                <w:rFonts w:hint="eastAsia" w:ascii="仿宋" w:hAnsi="仿宋" w:eastAsia="仿宋" w:cs="仿宋"/>
                <w:sz w:val="21"/>
                <w:szCs w:val="21"/>
              </w:rPr>
              <w:t>其他需要记录的问题：</w:t>
            </w:r>
          </w:p>
          <w:p>
            <w:pPr>
              <w:widowControl/>
              <w:spacing w:line="260" w:lineRule="exact"/>
              <w:jc w:val="left"/>
              <w:rPr>
                <w:rFonts w:hint="eastAsia" w:ascii="仿宋" w:hAnsi="仿宋" w:eastAsia="仿宋" w:cs="仿宋"/>
                <w:kern w:val="0"/>
                <w:sz w:val="24"/>
              </w:rPr>
            </w:pP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p>
        </w:tc>
      </w:tr>
    </w:tbl>
    <w:p>
      <w:pPr>
        <w:widowControl/>
        <w:spacing w:line="260" w:lineRule="exact"/>
        <w:rPr>
          <w:rFonts w:eastAsia="方正仿宋_GBK"/>
          <w:sz w:val="21"/>
          <w:szCs w:val="21"/>
        </w:rPr>
        <w:sectPr>
          <w:headerReference r:id="rId7" w:type="default"/>
          <w:footerReference r:id="rId8" w:type="default"/>
          <w:pgSz w:w="16838" w:h="11906" w:orient="landscape"/>
          <w:pgMar w:top="1417" w:right="1417" w:bottom="1417" w:left="1417" w:header="851" w:footer="992" w:gutter="0"/>
          <w:pgNumType w:fmt="decimal"/>
          <w:cols w:space="720" w:num="1"/>
          <w:docGrid w:linePitch="319" w:charSpace="0"/>
        </w:sectPr>
      </w:pPr>
    </w:p>
    <w:p>
      <w:pPr>
        <w:snapToGrid w:val="0"/>
        <w:spacing w:line="520" w:lineRule="exact"/>
        <w:jc w:val="center"/>
        <w:rPr>
          <w:rFonts w:hint="eastAsia" w:eastAsia="宋体"/>
          <w:sz w:val="24"/>
        </w:rPr>
      </w:pPr>
      <w:r>
        <w:rPr>
          <w:rFonts w:hint="eastAsia" w:ascii="方正小标宋简体" w:eastAsia="方正小标宋简体"/>
          <w:sz w:val="44"/>
        </w:rPr>
        <w:t>广东省食品相关产品生产企业监督检查结果记录表</w:t>
      </w:r>
      <w:r>
        <w:rPr>
          <w:rFonts w:hint="eastAsia" w:ascii="宋体" w:hAnsi="宋体" w:eastAsia="宋体"/>
          <w:sz w:val="24"/>
        </w:rPr>
        <w:t xml:space="preserve">                           </w:t>
      </w:r>
    </w:p>
    <w:tbl>
      <w:tblPr>
        <w:tblStyle w:val="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3902"/>
        <w:gridCol w:w="76"/>
        <w:gridCol w:w="1993"/>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企业名称</w:t>
            </w:r>
          </w:p>
        </w:tc>
        <w:tc>
          <w:tcPr>
            <w:tcW w:w="3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地    址</w:t>
            </w:r>
          </w:p>
        </w:tc>
        <w:tc>
          <w:tcPr>
            <w:tcW w:w="5301"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联 系 人</w:t>
            </w:r>
          </w:p>
        </w:tc>
        <w:tc>
          <w:tcPr>
            <w:tcW w:w="3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联系方式</w:t>
            </w:r>
          </w:p>
        </w:tc>
        <w:tc>
          <w:tcPr>
            <w:tcW w:w="5301"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许可证号（获证企业填写）</w:t>
            </w:r>
          </w:p>
        </w:tc>
        <w:tc>
          <w:tcPr>
            <w:tcW w:w="3902"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产品名称</w:t>
            </w:r>
          </w:p>
        </w:tc>
        <w:tc>
          <w:tcPr>
            <w:tcW w:w="5301" w:type="dxa"/>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20" w:lineRule="atLeast"/>
              <w:jc w:val="left"/>
              <w:rPr>
                <w:rFonts w:hint="eastAsia" w:ascii="仿宋" w:hAnsi="仿宋" w:eastAsia="仿宋" w:cs="仿宋"/>
                <w:sz w:val="24"/>
              </w:rPr>
            </w:pPr>
            <w:r>
              <w:rPr>
                <w:rFonts w:hint="eastAsia" w:ascii="仿宋" w:hAnsi="仿宋" w:eastAsia="仿宋" w:cs="仿宋"/>
                <w:sz w:val="24"/>
              </w:rPr>
              <w:t>检查类别</w:t>
            </w:r>
            <w:r>
              <w:rPr>
                <w:rFonts w:hint="eastAsia" w:ascii="仿宋" w:hAnsi="仿宋" w:eastAsia="仿宋" w:cs="仿宋"/>
                <w:sz w:val="24"/>
                <w:lang w:eastAsia="zh-CN"/>
              </w:rPr>
              <w:t>：</w:t>
            </w:r>
            <w:r>
              <w:rPr>
                <w:rFonts w:hint="eastAsia" w:ascii="仿宋" w:hAnsi="仿宋" w:eastAsia="仿宋" w:cs="仿宋"/>
                <w:sz w:val="24"/>
              </w:rPr>
              <w:t>□日常检查    □</w:t>
            </w:r>
            <w:r>
              <w:rPr>
                <w:rFonts w:hint="eastAsia" w:ascii="仿宋" w:hAnsi="仿宋" w:eastAsia="仿宋" w:cs="仿宋"/>
                <w:sz w:val="24"/>
                <w:u w:val="single"/>
              </w:rPr>
              <w:t xml:space="preserve">             </w:t>
            </w:r>
            <w:r>
              <w:rPr>
                <w:rFonts w:hint="eastAsia" w:ascii="仿宋" w:hAnsi="仿宋" w:eastAsia="仿宋" w:cs="仿宋"/>
                <w:sz w:val="24"/>
              </w:rPr>
              <w:t xml:space="preserve">专项检查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4174" w:type="dxa"/>
            <w:gridSpan w:val="5"/>
            <w:tcBorders>
              <w:top w:val="single" w:color="auto" w:sz="4" w:space="0"/>
              <w:left w:val="single" w:color="auto" w:sz="4" w:space="0"/>
              <w:bottom w:val="single" w:color="auto" w:sz="4" w:space="0"/>
              <w:right w:val="single" w:color="auto" w:sz="4" w:space="0"/>
            </w:tcBorders>
            <w:vAlign w:val="top"/>
          </w:tcPr>
          <w:p>
            <w:pPr>
              <w:spacing w:line="360" w:lineRule="exact"/>
              <w:jc w:val="left"/>
              <w:rPr>
                <w:rFonts w:hint="eastAsia" w:ascii="仿宋" w:hAnsi="仿宋" w:eastAsia="仿宋" w:cs="仿宋"/>
                <w:b/>
                <w:sz w:val="24"/>
              </w:rPr>
            </w:pPr>
            <w:r>
              <w:rPr>
                <w:rFonts w:hint="eastAsia" w:ascii="仿宋" w:hAnsi="仿宋" w:eastAsia="仿宋" w:cs="仿宋"/>
                <w:b/>
                <w:sz w:val="24"/>
              </w:rPr>
              <w:t>检查内容：</w:t>
            </w:r>
          </w:p>
          <w:p>
            <w:pPr>
              <w:spacing w:line="36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检查人员根据《食品安全法》《产品质量法》《工业产品生产许可证管理条例》《工业产品生产许可证管理条例实施办法》《广东省食品相关产品生产加工监督管理办法》的规定，于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日对你单位进行了监督检查。本次监督检查按照检查表开展，共检查（   ）项内容；其中否决项（   ）项，发现问题（   ）项；重点项（   ）项，发现问题（   ）项；一般项（   ）项，发现问题（   ）项（以上详见检查记录表格）。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5" w:hRule="atLeast"/>
          <w:jc w:val="center"/>
        </w:trPr>
        <w:tc>
          <w:tcPr>
            <w:tcW w:w="14174" w:type="dxa"/>
            <w:gridSpan w:val="5"/>
            <w:tcBorders>
              <w:top w:val="single" w:color="auto" w:sz="4" w:space="0"/>
              <w:left w:val="single" w:color="auto" w:sz="4" w:space="0"/>
              <w:bottom w:val="single" w:color="auto" w:sz="4" w:space="0"/>
              <w:right w:val="single" w:color="auto" w:sz="4" w:space="0"/>
            </w:tcBorders>
            <w:vAlign w:val="top"/>
          </w:tcPr>
          <w:p>
            <w:pPr>
              <w:spacing w:line="360" w:lineRule="exact"/>
              <w:jc w:val="left"/>
              <w:rPr>
                <w:rFonts w:hint="eastAsia" w:ascii="仿宋" w:hAnsi="仿宋" w:eastAsia="仿宋" w:cs="仿宋"/>
                <w:b/>
                <w:sz w:val="24"/>
              </w:rPr>
            </w:pPr>
            <w:r>
              <w:rPr>
                <w:rFonts w:hint="eastAsia" w:ascii="仿宋" w:hAnsi="仿宋" w:eastAsia="仿宋" w:cs="仿宋"/>
                <w:b/>
                <w:sz w:val="24"/>
              </w:rPr>
              <w:t>检查结果：</w:t>
            </w:r>
          </w:p>
          <w:p>
            <w:pPr>
              <w:spacing w:line="360" w:lineRule="exact"/>
              <w:jc w:val="left"/>
              <w:rPr>
                <w:rFonts w:hint="eastAsia" w:ascii="仿宋" w:hAnsi="仿宋" w:eastAsia="仿宋" w:cs="仿宋"/>
                <w:sz w:val="24"/>
              </w:rPr>
            </w:pPr>
            <w:r>
              <w:rPr>
                <w:rFonts w:hint="eastAsia" w:ascii="仿宋" w:hAnsi="仿宋" w:eastAsia="仿宋" w:cs="仿宋"/>
                <w:sz w:val="24"/>
              </w:rPr>
              <w:t xml:space="preserve">□符合    □基本符合    □不符合    </w:t>
            </w:r>
          </w:p>
          <w:p>
            <w:pPr>
              <w:spacing w:line="360" w:lineRule="exact"/>
              <w:jc w:val="left"/>
              <w:rPr>
                <w:rFonts w:hint="eastAsia" w:ascii="仿宋" w:hAnsi="仿宋" w:eastAsia="仿宋" w:cs="仿宋"/>
                <w:b/>
                <w:sz w:val="24"/>
              </w:rPr>
            </w:pPr>
            <w:r>
              <w:rPr>
                <w:rFonts w:hint="eastAsia" w:ascii="仿宋" w:hAnsi="仿宋" w:eastAsia="仿宋" w:cs="仿宋"/>
                <w:b/>
                <w:sz w:val="24"/>
              </w:rPr>
              <w:t>结果处理：</w:t>
            </w:r>
          </w:p>
          <w:p>
            <w:pPr>
              <w:spacing w:line="360" w:lineRule="exact"/>
              <w:jc w:val="left"/>
              <w:rPr>
                <w:rFonts w:hint="eastAsia" w:ascii="仿宋" w:hAnsi="仿宋" w:eastAsia="仿宋" w:cs="仿宋"/>
                <w:sz w:val="24"/>
              </w:rPr>
            </w:pPr>
            <w:r>
              <w:rPr>
                <w:rFonts w:hint="eastAsia" w:ascii="仿宋" w:hAnsi="仿宋" w:eastAsia="仿宋" w:cs="仿宋"/>
                <w:sz w:val="24"/>
              </w:rPr>
              <w:t xml:space="preserve">□通过   □书面限期整改   □责令改正   □立案调查处理    </w:t>
            </w:r>
          </w:p>
          <w:p>
            <w:pPr>
              <w:spacing w:line="360" w:lineRule="exact"/>
              <w:jc w:val="left"/>
              <w:rPr>
                <w:rFonts w:hint="eastAsia" w:ascii="仿宋" w:hAnsi="仿宋" w:eastAsia="仿宋" w:cs="仿宋"/>
                <w:sz w:val="24"/>
              </w:rPr>
            </w:pPr>
            <w:r>
              <w:rPr>
                <w:rFonts w:hint="eastAsia" w:ascii="仿宋" w:hAnsi="仿宋" w:eastAsia="仿宋" w:cs="仿宋"/>
                <w:sz w:val="24"/>
              </w:rPr>
              <w:t>□移交企业所在地市场监管部门处理</w:t>
            </w:r>
          </w:p>
          <w:p>
            <w:pPr>
              <w:spacing w:line="360" w:lineRule="exact"/>
              <w:jc w:val="left"/>
              <w:rPr>
                <w:rFonts w:hint="eastAsia" w:ascii="仿宋" w:hAnsi="仿宋" w:eastAsia="仿宋" w:cs="仿宋"/>
                <w:b/>
                <w:sz w:val="24"/>
              </w:rPr>
            </w:pPr>
            <w:r>
              <w:rPr>
                <w:rFonts w:hint="eastAsia" w:ascii="仿宋" w:hAnsi="仿宋" w:eastAsia="仿宋" w:cs="仿宋"/>
                <w:b/>
                <w:sz w:val="24"/>
              </w:rPr>
              <w:t>说明</w:t>
            </w:r>
            <w:r>
              <w:rPr>
                <w:rFonts w:hint="eastAsia" w:ascii="仿宋" w:hAnsi="仿宋" w:eastAsia="仿宋" w:cs="仿宋"/>
                <w:sz w:val="24"/>
              </w:rPr>
              <w:t>（可附页）</w:t>
            </w:r>
            <w:r>
              <w:rPr>
                <w:rFonts w:hint="eastAsia" w:ascii="仿宋" w:hAnsi="仿宋" w:eastAsia="仿宋" w:cs="仿宋"/>
                <w:b/>
                <w:sz w:val="24"/>
              </w:rPr>
              <w:t>：</w:t>
            </w:r>
          </w:p>
          <w:p>
            <w:pPr>
              <w:spacing w:line="360" w:lineRule="exact"/>
              <w:jc w:val="left"/>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880"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rPr>
            </w:pPr>
            <w:r>
              <w:rPr>
                <w:rFonts w:hint="eastAsia" w:ascii="仿宋" w:hAnsi="仿宋" w:eastAsia="仿宋" w:cs="仿宋"/>
                <w:sz w:val="24"/>
              </w:rPr>
              <w:t>被检查单位意见：</w:t>
            </w:r>
          </w:p>
          <w:p>
            <w:pPr>
              <w:jc w:val="left"/>
              <w:rPr>
                <w:rFonts w:hint="eastAsia" w:ascii="仿宋" w:hAnsi="仿宋" w:eastAsia="仿宋" w:cs="仿宋"/>
                <w:sz w:val="24"/>
              </w:rPr>
            </w:pPr>
            <w:r>
              <w:rPr>
                <w:rFonts w:hint="eastAsia" w:ascii="仿宋" w:hAnsi="仿宋" w:eastAsia="仿宋" w:cs="仿宋"/>
                <w:sz w:val="24"/>
              </w:rPr>
              <w:t>法</w:t>
            </w:r>
            <w:r>
              <w:rPr>
                <w:rFonts w:hint="eastAsia" w:ascii="仿宋" w:hAnsi="仿宋" w:eastAsia="仿宋" w:cs="仿宋"/>
                <w:sz w:val="24"/>
                <w:lang w:eastAsia="zh-CN"/>
              </w:rPr>
              <w:t>定代表</w:t>
            </w:r>
            <w:r>
              <w:rPr>
                <w:rFonts w:hint="eastAsia" w:ascii="仿宋" w:hAnsi="仿宋" w:eastAsia="仿宋" w:cs="仿宋"/>
                <w:sz w:val="24"/>
              </w:rPr>
              <w:t>人或负责人：</w:t>
            </w:r>
          </w:p>
          <w:p>
            <w:pPr>
              <w:jc w:val="right"/>
              <w:rPr>
                <w:rFonts w:hint="eastAsia" w:ascii="仿宋" w:hAnsi="仿宋" w:eastAsia="仿宋" w:cs="仿宋"/>
                <w:sz w:val="24"/>
              </w:rPr>
            </w:pPr>
            <w:r>
              <w:rPr>
                <w:rFonts w:hint="eastAsia" w:ascii="仿宋" w:hAnsi="仿宋" w:eastAsia="仿宋" w:cs="仿宋"/>
                <w:sz w:val="24"/>
              </w:rPr>
              <w:t>年    月    日（章）</w:t>
            </w:r>
          </w:p>
        </w:tc>
        <w:tc>
          <w:tcPr>
            <w:tcW w:w="72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rPr>
            </w:pPr>
            <w:r>
              <w:rPr>
                <w:rFonts w:hint="eastAsia" w:ascii="仿宋" w:hAnsi="仿宋" w:eastAsia="仿宋" w:cs="仿宋"/>
                <w:sz w:val="24"/>
              </w:rPr>
              <w:t>执法人员（签名）：</w:t>
            </w:r>
          </w:p>
          <w:p>
            <w:pPr>
              <w:wordWrap w:val="0"/>
              <w:spacing w:line="360" w:lineRule="exact"/>
              <w:jc w:val="right"/>
              <w:rPr>
                <w:rFonts w:hint="eastAsia" w:ascii="仿宋" w:hAnsi="仿宋" w:eastAsia="仿宋" w:cs="仿宋"/>
                <w:sz w:val="24"/>
              </w:rPr>
            </w:pPr>
          </w:p>
          <w:p>
            <w:pPr>
              <w:wordWrap w:val="0"/>
              <w:spacing w:line="360" w:lineRule="exact"/>
              <w:jc w:val="right"/>
              <w:rPr>
                <w:rFonts w:hint="eastAsia" w:ascii="仿宋" w:hAnsi="仿宋" w:eastAsia="仿宋" w:cs="仿宋"/>
                <w:sz w:val="24"/>
              </w:rPr>
            </w:pPr>
            <w:r>
              <w:rPr>
                <w:rFonts w:hint="eastAsia" w:ascii="仿宋" w:hAnsi="仿宋" w:eastAsia="仿宋" w:cs="仿宋"/>
                <w:sz w:val="24"/>
              </w:rPr>
              <w:t xml:space="preserve">年    月    日  </w:t>
            </w:r>
          </w:p>
        </w:tc>
      </w:tr>
    </w:tbl>
    <w:p>
      <w:pPr>
        <w:spacing w:line="20" w:lineRule="exact"/>
      </w:pPr>
    </w:p>
    <w:p>
      <w:pPr>
        <w:wordWrap w:val="0"/>
        <w:rPr>
          <w:rFonts w:hint="eastAsia" w:ascii="仿宋" w:hAnsi="仿宋" w:eastAsia="仿宋" w:cs="仿宋"/>
          <w:sz w:val="32"/>
          <w:szCs w:val="32"/>
        </w:rPr>
        <w:sectPr>
          <w:footerReference r:id="rId9" w:type="default"/>
          <w:pgSz w:w="16840" w:h="11907" w:orient="landscape"/>
          <w:pgMar w:top="1587" w:right="2098" w:bottom="1417" w:left="1531" w:header="851" w:footer="1304" w:gutter="0"/>
          <w:pgNumType w:fmt="decimal"/>
          <w:cols w:space="720" w:num="1"/>
          <w:rtlGutter w:val="0"/>
          <w:docGrid w:type="linesAndChars" w:linePitch="593" w:charSpace="3664"/>
        </w:sectPr>
      </w:pPr>
    </w:p>
    <w:p>
      <w:pPr>
        <w:wordWrap w:val="0"/>
        <w:rPr>
          <w:rFonts w:hint="eastAsia" w:ascii="仿宋_GB2312"/>
          <w:szCs w:val="30"/>
        </w:rPr>
      </w:pPr>
      <w:r>
        <w:rPr>
          <w:rFonts w:hint="eastAsia" w:ascii="仿宋" w:hAnsi="仿宋" w:eastAsia="仿宋" w:cs="仿宋"/>
          <w:sz w:val="32"/>
          <w:szCs w:val="32"/>
        </w:rPr>
        <w:t xml:space="preserve"> </w:t>
      </w:r>
    </w:p>
    <w:p>
      <w:pPr>
        <w:rPr>
          <w:rFonts w:hint="eastAsia" w:eastAsia="仿宋_GB2312"/>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小标宋简">
    <w:altName w:val="Arial Unicode MS"/>
    <w:panose1 w:val="02010609010101010101"/>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path/>
              <v:fill on="f" focussize="0,0"/>
              <v:stroke on="f" weight="1.25pt"/>
              <v:imagedata o:title=""/>
              <o:lock v:ext="edit" aspectratio="f"/>
              <v:textbox inset="0mm,0mm,0mm,0mm" style="mso-fit-shape-to-text:t;">
                <w:txbxContent>
                  <w:p>
                    <w:pPr>
                      <w:pStyle w:val="2"/>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8vSf8vAEAAGMDAAAOAAAAAAAAAAEAIAAAACIBAABkcnMvZTJvRG9jLnhtbFBLBQYA&#10;AAAABgAGAFkBAABQBQAAAAA=&#10;">
              <v:path/>
              <v:fill on="f" focussize="0,0"/>
              <v:stroke on="f" weight="1.25pt"/>
              <v:imagedata o:title=""/>
              <o:lock v:ext="edit" aspectratio="f"/>
              <v:textbox inset="0mm,0mm,0mm,0mm" style="mso-fit-shape-to-text:t;">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path/>
              <v:fill on="f" focussize="0,0"/>
              <v:stroke on="f" weight="1.2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1890" w:firstLineChars="900"/>
      <w:rPr>
        <w:rFonts w:hint="eastAsia"/>
        <w:sz w:val="21"/>
      </w:rPr>
    </w:pPr>
  </w:p>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5y5zercBAABVAwAADgAAAAAAAAABACAAAAAiAQAAZHJzL2Uyb0RvYy54bWxQSwUGAAAAAAYA&#10;BgBZAQAASwUAAAAA&#10;">
              <v:path/>
              <v:fill on="f" focussize="0,0"/>
              <v:stroke on="f" weight="1.25pt"/>
              <v:imagedata o:title=""/>
              <o:lock v:ext="edit" aspectratio="f"/>
              <v:textbox inset="0mm,0mm,0mm,0mm" style="mso-fit-shape-to-text:t;">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
                              <w:sz w:val="18"/>
                              <w:szCs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nV0wxvAEAAGMDAAAOAAAAAAAAAAEAIAAAACIBAABkcnMvZTJvRG9jLnhtbFBLBQYA&#10;AAAABgAGAFkBAABQBQAAAAA=&#10;">
              <v:path/>
              <v:fill on="f" focussize="0,0"/>
              <v:stroke on="f" weight="1.25pt"/>
              <v:imagedata o:title=""/>
              <o:lock v:ext="edit" aspectratio="f"/>
              <v:textbox inset="0mm,0mm,0mm,0mm" style="mso-fit-shape-to-text:t;">
                <w:txbxContent>
                  <w:p>
                    <w:pPr>
                      <w:snapToGrid w:val="0"/>
                      <w:rPr>
                        <w:rFonts w:hint="eastAsia" w:eastAsia="仿宋"/>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
        <w:color w:val="auto"/>
        <w:sz w:val="21"/>
      </w:rPr>
    </w:pPr>
    <w:r>
      <w:rPr>
        <w:rFonts w:hint="eastAsia"/>
        <w:color w:val="auto"/>
        <w:sz w:val="21"/>
      </w:rPr>
      <w:t>被检查单位法人或负责人签字：                                                                 执法人员签字：</w:t>
    </w:r>
  </w:p>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FySNKtgEAAFUDAAAOAAAAAAAAAAEAIAAAACIBAABkcnMvZTJvRG9jLnhtbFBLBQYAAAAABgAG&#10;AFkBAABKBQAAAAA=&#10;">
              <v:path/>
              <v:fill on="f" focussize="0,0"/>
              <v:stroke on="f" weight="1.25pt"/>
              <v:imagedata o:title=""/>
              <o:lock v:ext="edit" aspectratio="f"/>
              <v:textbox inset="0mm,0mm,0mm,0mm" style="mso-fit-shape-to-text:t;">
                <w:txbxContent>
                  <w:p>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
                              <w:sz w:val="18"/>
                              <w:szCs w:val="18"/>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9F/1/vAEAAGMDAAAOAAAAAAAAAAEAIAAAACIBAABkcnMvZTJvRG9jLnhtbFBLBQYA&#10;AAAABgAGAFkBAABQBQAAAAA=&#10;">
              <v:path/>
              <v:fill on="f" focussize="0,0"/>
              <v:stroke on="f" weight="1.25pt"/>
              <v:imagedata o:title=""/>
              <o:lock v:ext="edit" aspectratio="f"/>
              <v:textbox inset="0mm,0mm,0mm,0mm" style="mso-fit-shape-to-text:t;">
                <w:txbxContent>
                  <w:p>
                    <w:pPr>
                      <w:snapToGrid w:val="0"/>
                      <w:rPr>
                        <w:rFonts w:hint="eastAsia" w:eastAsia="仿宋"/>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spacing w:line="300" w:lineRule="exact"/>
                            <w:ind w:right="374" w:rightChars="117" w:firstLine="295" w:firstLineChars="82"/>
                            <w:jc w:val="center"/>
                            <w:rPr>
                              <w:rFonts w:hint="eastAsia"/>
                              <w:spacing w:val="40"/>
                            </w:rPr>
                          </w:pPr>
                          <w:r>
                            <w:rPr>
                              <w:rFonts w:hint="eastAsia" w:eastAsia="方正中等线简体"/>
                              <w:spacing w:val="40"/>
                              <w:sz w:val="28"/>
                            </w:rPr>
                            <w:t>一</w:t>
                          </w:r>
                          <w:r>
                            <w:rPr>
                              <w:rFonts w:hint="eastAsia" w:eastAsia="方正中等线简体"/>
                              <w:spacing w:val="40"/>
                              <w:sz w:val="28"/>
                            </w:rPr>
                            <w:fldChar w:fldCharType="begin"/>
                          </w:r>
                          <w:r>
                            <w:rPr>
                              <w:spacing w:val="40"/>
                              <w:sz w:val="28"/>
                            </w:rPr>
                            <w:instrText xml:space="preserve">PAGE  </w:instrText>
                          </w:r>
                          <w:r>
                            <w:rPr>
                              <w:spacing w:val="40"/>
                              <w:sz w:val="28"/>
                            </w:rPr>
                            <w:fldChar w:fldCharType="separate"/>
                          </w:r>
                          <w:r>
                            <w:rPr>
                              <w:spacing w:val="40"/>
                              <w:sz w:val="28"/>
                            </w:rPr>
                            <w:t>1</w:t>
                          </w:r>
                          <w:r>
                            <w:rPr>
                              <w:spacing w:val="40"/>
                              <w:sz w:val="28"/>
                            </w:rPr>
                            <w:fldChar w:fldCharType="end"/>
                          </w:r>
                          <w:r>
                            <w:rPr>
                              <w:rFonts w:hint="eastAsia" w:eastAsia="方正中等线简体"/>
                              <w:spacing w:val="40"/>
                              <w:sz w:val="28"/>
                            </w:rPr>
                            <w:t>一</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path/>
              <v:fill on="f" focussize="0,0"/>
              <v:stroke on="f" weight="1.25pt"/>
              <v:imagedata o:title=""/>
              <o:lock v:ext="edit" aspectratio="f"/>
              <v:textbox inset="0mm,0mm,0mm,0mm" style="mso-fit-shape-to-text:t;">
                <w:txbxContent>
                  <w:p>
                    <w:pPr>
                      <w:pStyle w:val="2"/>
                      <w:spacing w:line="300" w:lineRule="exact"/>
                      <w:ind w:right="374" w:rightChars="117" w:firstLine="295" w:firstLineChars="82"/>
                      <w:jc w:val="center"/>
                      <w:rPr>
                        <w:rFonts w:hint="eastAsia"/>
                        <w:spacing w:val="40"/>
                      </w:rPr>
                    </w:pPr>
                    <w:r>
                      <w:rPr>
                        <w:rFonts w:hint="eastAsia" w:eastAsia="方正中等线简体"/>
                        <w:spacing w:val="40"/>
                        <w:sz w:val="28"/>
                      </w:rPr>
                      <w:t>一</w:t>
                    </w:r>
                    <w:r>
                      <w:rPr>
                        <w:rFonts w:hint="eastAsia" w:eastAsia="方正中等线简体"/>
                        <w:spacing w:val="40"/>
                        <w:sz w:val="28"/>
                      </w:rPr>
                      <w:fldChar w:fldCharType="begin"/>
                    </w:r>
                    <w:r>
                      <w:rPr>
                        <w:spacing w:val="40"/>
                        <w:sz w:val="28"/>
                      </w:rPr>
                      <w:instrText xml:space="preserve">PAGE  </w:instrText>
                    </w:r>
                    <w:r>
                      <w:rPr>
                        <w:spacing w:val="40"/>
                        <w:sz w:val="28"/>
                      </w:rPr>
                      <w:fldChar w:fldCharType="separate"/>
                    </w:r>
                    <w:r>
                      <w:rPr>
                        <w:spacing w:val="40"/>
                        <w:sz w:val="28"/>
                      </w:rPr>
                      <w:t>1</w:t>
                    </w:r>
                    <w:r>
                      <w:rPr>
                        <w:spacing w:val="40"/>
                        <w:sz w:val="28"/>
                      </w:rPr>
                      <w:fldChar w:fldCharType="end"/>
                    </w:r>
                    <w:r>
                      <w:rPr>
                        <w:rFonts w:hint="eastAsia" w:eastAsia="方正中等线简体"/>
                        <w:spacing w:val="40"/>
                        <w:sz w:val="28"/>
                      </w:rPr>
                      <w:t>一</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E00FA"/>
    <w:multiLevelType w:val="singleLevel"/>
    <w:tmpl w:val="5DEE00FA"/>
    <w:lvl w:ilvl="0" w:tentative="0">
      <w:start w:val="1"/>
      <w:numFmt w:val="chineseCounting"/>
      <w:suff w:val="space"/>
      <w:lvlText w:val="第%1章"/>
      <w:lvlJc w:val="left"/>
    </w:lvl>
  </w:abstractNum>
  <w:abstractNum w:abstractNumId="1">
    <w:nsid w:val="5DF1F194"/>
    <w:multiLevelType w:val="singleLevel"/>
    <w:tmpl w:val="5DF1F194"/>
    <w:lvl w:ilvl="0" w:tentative="0">
      <w:start w:val="1"/>
      <w:numFmt w:val="chineseCounting"/>
      <w:suff w:val="nothing"/>
      <w:lvlText w:val="（%1）"/>
      <w:lvlJc w:val="left"/>
    </w:lvl>
  </w:abstractNum>
  <w:abstractNum w:abstractNumId="2">
    <w:nsid w:val="5E4E3E72"/>
    <w:multiLevelType w:val="singleLevel"/>
    <w:tmpl w:val="5E4E3E72"/>
    <w:lvl w:ilvl="0" w:tentative="0">
      <w:start w:val="6"/>
      <w:numFmt w:val="chineseCounting"/>
      <w:suff w:val="space"/>
      <w:lvlText w:val="第%1条"/>
      <w:lvlJc w:val="left"/>
      <w:pPr>
        <w:tabs>
          <w:tab w:val="left" w:pos="0"/>
        </w:tabs>
        <w:ind w:firstLine="1417"/>
      </w:pPr>
      <w:rPr>
        <w:rFonts w:hint="eastAsia"/>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14802"/>
    <w:rsid w:val="57C148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2020-07-31T11:11:00Z</dcterms:created>
  <dc:creator>刘晓丽</dc:creator>
  <cp:lastModifiedBy>刘晓丽</cp:lastModifiedBy>
  <dcterms:modified xsi:type="dcterms:W3CDTF">2020-07-31T11:12:00Z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