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4-氯苯氧乙酸钠（以4-氯苯氧乙酸计）</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6-苄基腺嘌呤（6-BA）</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1"/>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多菌灵</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多菌灵为高效低毒</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"https://baike.baidu.com/item/%E5%86%85%E5%90%B8%E6%80%A7%E6%9D%80%E8%8F%8C%E5%89%82" \t "https://baike.baidu.com/item/_blank"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内吸性杀菌剂</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，有内吸治疗和保护作用。可以有效防治由真菌引起的多种作物病</w:t>
      </w:r>
      <w:bookmarkStart w:id="1" w:name="_GoBack"/>
      <w:bookmarkEnd w:id="1"/>
      <w:r>
        <w:rPr>
          <w:rFonts w:hint="eastAsia" w:ascii="仿宋" w:hAnsi="仿宋" w:eastAsia="仿宋" w:cs="仿宋"/>
          <w:sz w:val="32"/>
          <w:szCs w:val="32"/>
          <w:lang w:val="zh-CN" w:eastAsia="zh-CN" w:bidi="zh-CN"/>
        </w:rPr>
        <w:t>害，在我国的使用范围广泛。抽检样品不合格的原因可能是经营者为了有效防治由真菌引起的多种作物病害，所以喷洒含有多菌灵的药物，</w:t>
      </w:r>
      <w:r>
        <w:rPr>
          <w:rFonts w:hint="eastAsia" w:ascii="仿宋" w:hAnsi="仿宋" w:eastAsia="仿宋" w:cs="仿宋"/>
          <w:sz w:val="32"/>
          <w:szCs w:val="32"/>
          <w:lang w:val="en-US" w:eastAsia="zh-CN" w:bidi="zh-CN"/>
        </w:rPr>
        <w:t>或未过休药期就进行上市</w:t>
      </w:r>
      <w:r>
        <w:rPr>
          <w:rFonts w:hint="eastAsia" w:ascii="仿宋" w:hAnsi="仿宋" w:eastAsia="仿宋" w:cs="仿宋"/>
          <w:sz w:val="32"/>
          <w:szCs w:val="32"/>
          <w:lang w:val="zh-CN" w:eastAsia="zh-CN" w:bidi="zh-CN"/>
        </w:rPr>
        <w:t>。</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pStyle w:val="12"/>
        <w:numPr>
          <w:ilvl w:val="0"/>
          <w:numId w:val="1"/>
        </w:numPr>
        <w:spacing w:line="600" w:lineRule="exact"/>
        <w:ind w:left="0" w:leftChars="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氟苯尼考</w:t>
      </w:r>
    </w:p>
    <w:p>
      <w:pPr>
        <w:spacing w:line="560" w:lineRule="exact"/>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pStyle w:val="12"/>
        <w:numPr>
          <w:ilvl w:val="0"/>
          <w:numId w:val="1"/>
        </w:numPr>
        <w:spacing w:line="600" w:lineRule="exact"/>
        <w:ind w:left="0" w:leftChars="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镉（以Cd计）</w:t>
      </w:r>
    </w:p>
    <w:p>
      <w:pPr>
        <w:spacing w:line="560" w:lineRule="exact"/>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sz w:val="32"/>
          <w:szCs w:val="32"/>
          <w:lang w:val="zh-CN" w:eastAsia="zh-CN" w:bidi="zh-CN"/>
        </w:rPr>
        <w:t>镉均属于重金属污染物，会在水体生物，如鱼类、浮游动物等体内积累富集，并且对它们产生毒性危害风险。本次抽检重金属铅、镉超标的原因可能是因为水体、环境等遭受重金属污染，继而在水产动物体内富集而导致。</w:t>
      </w:r>
    </w:p>
    <w:p>
      <w:pPr>
        <w:pStyle w:val="12"/>
        <w:numPr>
          <w:ilvl w:val="0"/>
          <w:numId w:val="1"/>
        </w:numPr>
        <w:spacing w:line="600" w:lineRule="exact"/>
        <w:ind w:left="0" w:leftChars="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孔雀石绿（以孔雀石绿与隐色孔雀石绿之和计）</w:t>
      </w:r>
    </w:p>
    <w:p>
      <w:pPr>
        <w:spacing w:line="560" w:lineRule="exact"/>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sz w:val="32"/>
          <w:szCs w:val="32"/>
          <w:highlight w:val="none"/>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pStyle w:val="12"/>
        <w:numPr>
          <w:ilvl w:val="0"/>
          <w:numId w:val="1"/>
        </w:numPr>
        <w:spacing w:line="600" w:lineRule="exact"/>
        <w:ind w:left="0" w:leftChars="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氯霉素</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pStyle w:val="12"/>
        <w:numPr>
          <w:ilvl w:val="0"/>
          <w:numId w:val="1"/>
        </w:numPr>
        <w:spacing w:line="600" w:lineRule="exact"/>
        <w:ind w:left="0" w:leftChars="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灭蝇胺</w:t>
      </w:r>
    </w:p>
    <w:p>
      <w:pPr>
        <w:spacing w:line="560" w:lineRule="exact"/>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sz w:val="32"/>
          <w:szCs w:val="32"/>
          <w:lang w:val="en-US" w:eastAsia="zh-CN" w:bidi="zh-CN"/>
        </w:rPr>
        <w:t>灭蝇胺是一种昆虫生长调节剂类低毒杀虫剂，有非常强的选择性，主要对双翅目昆虫有活性。</w:t>
      </w:r>
      <w:r>
        <w:rPr>
          <w:rFonts w:hint="eastAsia" w:ascii="仿宋" w:hAnsi="仿宋" w:eastAsia="仿宋" w:cs="仿宋"/>
          <w:sz w:val="32"/>
          <w:szCs w:val="32"/>
          <w:lang w:val="zh-CN" w:eastAsia="zh-CN" w:bidi="zh-CN"/>
        </w:rPr>
        <w:t>灭蝇胺适用于多种瓜果蔬菜，主要对"蝇类"害虫具有良好的杀虫作用。目前瓜果蔬菜生产中主要用于防治:各种瓜果类、茄果类、豆类及多种叶菜类蔬菜的美州斑潜蝇、南美斑潜蝇、豆杆黑潜蝇、葱斑潜叶蝇、三叶斑潜蝇等多种潜叶蝇，韭菜及葱、蒜的根蛆(韭菜赤眼草蚊)等。</w:t>
      </w:r>
      <w:r>
        <w:rPr>
          <w:rFonts w:hint="eastAsia" w:ascii="仿宋" w:hAnsi="仿宋" w:eastAsia="仿宋" w:cs="仿宋"/>
          <w:sz w:val="32"/>
          <w:szCs w:val="32"/>
          <w:lang w:val="en-US" w:eastAsia="zh-CN" w:bidi="zh-CN"/>
        </w:rPr>
        <w:t>灭蝇胺</w:t>
      </w:r>
      <w:r>
        <w:rPr>
          <w:rFonts w:hint="eastAsia" w:ascii="仿宋" w:hAnsi="仿宋" w:eastAsia="仿宋" w:cs="仿宋"/>
          <w:sz w:val="32"/>
          <w:szCs w:val="32"/>
          <w:lang w:val="zh-CN" w:eastAsia="zh-CN" w:bidi="zh-CN"/>
        </w:rPr>
        <w:t>持效期较长，但作用速度较慢，是一种高效、低毒生态农药。</w:t>
      </w:r>
      <w:bookmarkStart w:id="0" w:name="4.12氟虫腈"/>
      <w:bookmarkEnd w:id="0"/>
    </w:p>
    <w:p>
      <w:pPr>
        <w:pStyle w:val="12"/>
        <w:numPr>
          <w:ilvl w:val="0"/>
          <w:numId w:val="1"/>
        </w:numPr>
        <w:spacing w:line="600" w:lineRule="exact"/>
        <w:ind w:left="0" w:leftChars="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氧氟沙星</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氧氟沙星属于氟喹诺酮类药物，主要用于上述革兰阴性菌所致的呼吸道、咽喉、扁桃体、泌尿道（包括前列腺）、皮肤及软组织、胆囊及胆管、中耳、鼻窦、泪囊、肠道等部位的急、慢性感染。因抗菌谱广、抗菌活性强等曾被广泛用于畜禽细菌性疾病的治疗和预防。抽检产品不合格的原因可能是经营者由于降低养殖水产品的患病率，从而投喂含氧氟沙星的药物，从而提高产量。</w:t>
      </w:r>
    </w:p>
    <w:p>
      <w:pPr>
        <w:pStyle w:val="12"/>
        <w:numPr>
          <w:numId w:val="0"/>
        </w:numPr>
        <w:spacing w:line="600" w:lineRule="exact"/>
        <w:ind w:leftChars="200"/>
        <w:jc w:val="both"/>
        <w:rPr>
          <w:rFonts w:hint="eastAsia" w:ascii="仿宋" w:hAnsi="仿宋" w:eastAsia="仿宋" w:cs="仿宋"/>
          <w:kern w:val="2"/>
          <w:sz w:val="32"/>
          <w:szCs w:val="32"/>
          <w:lang w:val="en-US" w:eastAsia="zh-CN"/>
        </w:rPr>
      </w:pPr>
    </w:p>
    <w:p>
      <w:pPr>
        <w:pStyle w:val="12"/>
        <w:spacing w:line="600" w:lineRule="exact"/>
        <w:ind w:firstLine="640" w:firstLineChars="200"/>
        <w:jc w:val="both"/>
        <w:rPr>
          <w:rFonts w:hint="eastAsia" w:ascii="仿宋" w:hAnsi="仿宋" w:eastAsia="仿宋" w:cs="仿宋"/>
          <w:kern w:val="2"/>
          <w:sz w:val="32"/>
          <w:szCs w:val="32"/>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CC9224"/>
    <w:multiLevelType w:val="singleLevel"/>
    <w:tmpl w:val="F1CC92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28F7795"/>
    <w:rsid w:val="03F06EAD"/>
    <w:rsid w:val="090604A3"/>
    <w:rsid w:val="0BFE7616"/>
    <w:rsid w:val="0D2B2324"/>
    <w:rsid w:val="104B7313"/>
    <w:rsid w:val="145F0D0D"/>
    <w:rsid w:val="15886BAB"/>
    <w:rsid w:val="15C74A14"/>
    <w:rsid w:val="16627B1C"/>
    <w:rsid w:val="17EF416E"/>
    <w:rsid w:val="18451B3F"/>
    <w:rsid w:val="195B4923"/>
    <w:rsid w:val="19FE57A3"/>
    <w:rsid w:val="1DF10696"/>
    <w:rsid w:val="1EFF100B"/>
    <w:rsid w:val="22550787"/>
    <w:rsid w:val="24760ADE"/>
    <w:rsid w:val="25137D68"/>
    <w:rsid w:val="284A5BF2"/>
    <w:rsid w:val="29DF02C5"/>
    <w:rsid w:val="2B461F65"/>
    <w:rsid w:val="2C516F87"/>
    <w:rsid w:val="2D66027E"/>
    <w:rsid w:val="2FD10C3E"/>
    <w:rsid w:val="31C6061F"/>
    <w:rsid w:val="32DD00BD"/>
    <w:rsid w:val="36A5117A"/>
    <w:rsid w:val="379573AA"/>
    <w:rsid w:val="386B654E"/>
    <w:rsid w:val="391352A9"/>
    <w:rsid w:val="3ADD2861"/>
    <w:rsid w:val="3AFA4815"/>
    <w:rsid w:val="3D297853"/>
    <w:rsid w:val="428D21EB"/>
    <w:rsid w:val="4452544F"/>
    <w:rsid w:val="46B032DF"/>
    <w:rsid w:val="480209A2"/>
    <w:rsid w:val="4B911789"/>
    <w:rsid w:val="4C4566BA"/>
    <w:rsid w:val="4D94490D"/>
    <w:rsid w:val="4DAD2FA1"/>
    <w:rsid w:val="4E9C06D0"/>
    <w:rsid w:val="4F26048A"/>
    <w:rsid w:val="50004B70"/>
    <w:rsid w:val="520E4E41"/>
    <w:rsid w:val="58D27289"/>
    <w:rsid w:val="58EF2A7D"/>
    <w:rsid w:val="5C77642F"/>
    <w:rsid w:val="5CD92EDA"/>
    <w:rsid w:val="5CED668D"/>
    <w:rsid w:val="5F1D6839"/>
    <w:rsid w:val="60CF2535"/>
    <w:rsid w:val="6511621D"/>
    <w:rsid w:val="68932D56"/>
    <w:rsid w:val="697C6D68"/>
    <w:rsid w:val="6B4C4B7D"/>
    <w:rsid w:val="6EF66C78"/>
    <w:rsid w:val="6FF2151A"/>
    <w:rsid w:val="71894BD7"/>
    <w:rsid w:val="726258D5"/>
    <w:rsid w:val="7306550C"/>
    <w:rsid w:val="73B232F5"/>
    <w:rsid w:val="74EF7DD6"/>
    <w:rsid w:val="757B108B"/>
    <w:rsid w:val="757B7956"/>
    <w:rsid w:val="76DE3A20"/>
    <w:rsid w:val="77B41AFA"/>
    <w:rsid w:val="77DD7782"/>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TotalTime>
  <ScaleCrop>false</ScaleCrop>
  <LinksUpToDate>false</LinksUpToDate>
  <CharactersWithSpaces>171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2020-08-04T08:24:34Z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