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sz w:val="32"/>
          <w:szCs w:val="32"/>
        </w:rPr>
      </w:pPr>
      <w:r>
        <w:rPr>
          <w:rFonts w:hint="eastAsia" w:ascii="宋体" w:hAnsi="宋体"/>
          <w:sz w:val="32"/>
          <w:szCs w:val="32"/>
        </w:rPr>
        <w:t>附件4</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关于部分检验项目的说明</w:t>
      </w:r>
    </w:p>
    <w:p>
      <w:pPr>
        <w:spacing w:line="600" w:lineRule="exact"/>
        <w:ind w:firstLine="643" w:firstLineChars="200"/>
        <w:rPr>
          <w:rFonts w:ascii="仿宋_GB2312" w:hAnsi="Times New Roman" w:eastAsia="仿宋_GB2312"/>
          <w:b/>
          <w:sz w:val="32"/>
          <w:szCs w:val="32"/>
        </w:rPr>
      </w:pPr>
    </w:p>
    <w:p>
      <w:pPr>
        <w:numPr>
          <w:ilvl w:val="0"/>
          <w:numId w:val="1"/>
        </w:num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恩诺沙星(以恩诺沙星与环丙沙星之和计)</w:t>
      </w:r>
    </w:p>
    <w:p>
      <w:pPr>
        <w:spacing w:line="560" w:lineRule="exact"/>
        <w:ind w:firstLine="640" w:firstLineChars="200"/>
        <w:jc w:val="left"/>
        <w:rPr>
          <w:rFonts w:hint="eastAsia" w:ascii="仿宋_GB2312" w:hAnsi="宋体" w:eastAsia="仿宋_GB2312"/>
          <w:sz w:val="32"/>
          <w:szCs w:val="32"/>
        </w:rPr>
      </w:pPr>
      <w:r>
        <w:rPr>
          <w:rFonts w:hint="eastAsia" w:ascii="仿宋" w:hAnsi="仿宋" w:eastAsia="仿宋" w:cs="仿宋"/>
          <w:sz w:val="32"/>
          <w:szCs w:val="32"/>
          <w:lang w:val="zh-CN" w:eastAsia="zh-CN" w:bidi="zh-CN"/>
        </w:rPr>
        <w:t>恩诺沙星，又名恩氟奎林羧酸，属于氟喹诺酮类药物，化学合成广谱抑菌剂，在预防和治疗畜禽的细菌性感染及支原体病方面有良好效果。农业部公告第 235 号《动物性食品中兽药最高残留限量》规定该类药物在鱼类肌肉中的最大残留限量为 100μg/kg（以恩诺沙星+环丙沙星之和计）。</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氯霉素</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氯霉素属抑菌性广谱抗生素。敏感菌有肠杆菌科细菌及炭疽杆菌、肺炎球菌、链球菌、李斯特氏菌等。衣原体、钩端螺旋体、立克次体也对其敏感。因其抗菌效果好，曾长期在国内外应用于水产养殖业。《动物性食品中兽药最高残留限量》（农业部 235 公告）中将氯霉素列入禁止使用且不得在动物性食品中检出的药物。</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氧氟沙星</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由于降低养殖水产品的患病率，从而投喂含氧氟沙星的药物，从而提高产量。</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4-氯苯氧乙酸钠（以4-氯苯氧乙酸计）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4-氯苯氧乙酸钠，是一种植物生长调节剂。主要用于防止落花落果、抑制豆类生根等，并能调节植物株内激素的平衡。豆芽中检出 4-氯苯氧乙酸钠可能是由于豆芽生产商在生产过程中为了抑制豆芽生根，提高豆芽产量而违规使用。原国家食品药品监督管理总局、农业部、国家卫生和计划生育委员会关于豆芽生产过程中禁止使用 6-苄基腺嘌呤等物质的公告年第 11 号）规定豆芽生产经营过程中禁止使用 4-氯苯氧乙酸钠。</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6-苄基腺嘌呤（6-BA）</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6-苄基腺嘌呤是一种广泛使用的添加于植物生长培养基的细胞分裂素，具有抑制植物叶内叶绿素、核酸、蛋白质的分解，保绿防老;将氨基酸、生长素、无机盐等向处理部位调运等多种效能，广泛用在农业、果树和园艺作物从发芽到收获的各个阶段。国家食品药品监督管理总局 农业部 国家卫生和计划生育委员会发布关于豆芽生产过程中禁止使用6-苄基腺嘌呤等物质的公告(2015年第11号)，公告内容:6-苄基腺嘌呤、4-氯苯氧乙酸钠、赤霉素等物质作为低毒农药登记管理并限定了使用范围，豆芽生产不在可使用范围之列，且目前豆芽生产过程中使用上述物质的安全性尚无结论。为确保豆芽食用安全，生产者及豆芽经营不得生产/经营含6-苄基腺嘌呤、4-氯苯氧乙酸钠、赤霉素等物质，豆芽经营者不得经营含有6-苄基腺嘌呤、4-氯苯氧乙酸钠、赤霉素等物质的豆芽。</w:t>
      </w:r>
    </w:p>
    <w:p>
      <w:pPr>
        <w:numPr>
          <w:ilvl w:val="0"/>
          <w:numId w:val="1"/>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毒死蜱</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毒死蜱是一种具有触杀、胃毒和熏蒸作用的有机磷杀虫剂。在叶片上残留期一般为 5 至 7 天，在土壤中残留期较长，对鱼类及水生生物毒性较高，对蜜蜂有毒。长期暴露在含有毒死蜱的环境中，可能会导致神经毒性、生殖毒性，并会影响胚胎的生长发育。此次抽检产品中含有残留超标可能为农户过量使用或未超过药效的持效期就上市导致。</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氟苯尼考</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zh-CN" w:eastAsia="zh-CN" w:bidi="zh-CN"/>
        </w:rPr>
        <w:t>氟苯尼考为广谱抗菌药物，一般为动物专用抗菌药，自研究成功以后立即得到广泛应用。一般由于饲料添加或者家禽疾病治疗导致残留积累在家禽体内。农业部公告第 235 号《动物性食品中兽药最高残留限量》对其作了严格的限定：产蛋鸡禁用。</w:t>
      </w:r>
    </w:p>
    <w:p>
      <w:pPr>
        <w:numPr>
          <w:ilvl w:val="0"/>
          <w:numId w:val="1"/>
        </w:numPr>
        <w:spacing w:line="560" w:lineRule="exact"/>
        <w:ind w:firstLine="640" w:firstLineChars="200"/>
        <w:jc w:val="left"/>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甲基异柳磷</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color w:val="000000"/>
          <w:kern w:val="2"/>
          <w:sz w:val="32"/>
          <w:szCs w:val="32"/>
          <w:highlight w:val="none"/>
          <w:lang w:val="en-US" w:eastAsia="zh-CN" w:bidi="ar-SA"/>
        </w:rPr>
        <w:t>甲基异柳磷是一种土壤杀虫剂，对害虫具有较强的触杀和胃毒作用。杀虫广谱、残效期长，是防治地下害虫的优良药剂。《食品安全国家标准 食品中农药最大残留限量》（GB 2763—2016）中规定，甲基异柳磷在豆类蔬菜中的最大残留限量为0.01mg/kg。</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孔雀石绿（以孔雀石绿与隐色孔雀石绿之和计）</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highlight w:val="none"/>
          <w:lang w:val="zh-CN" w:eastAsia="zh-CN" w:bidi="zh-CN"/>
        </w:rPr>
        <w:t>孔雀石绿是一种带有金属光泽的绿色结晶体，又名碱性绿、严基块绿、孔雀绿，它既是杀真菌剂，又是染料，易溶于水，溶液呈蓝绿色，广泛用于真丝、羊毛、皮革、麻制品、陶瓷制品、棉布等的染色。孔雀石绿很早曾经作为杀菌剂、杀虫剂、消毒剂用于水产养殖业。长期以来，渔民都用它来预防鱼的水霉病、鳃霉病、小瓜虫病等，而且为了使鳞受损的鱼延长生命，在运输过程中和存放池内，也常使用孔雀石绿。许多国家都将孔雀石绿列为水产养殖禁用药物（观赏鱼除外），我国也将孔雀石绿列为禁用药物（《中华人民共和国农业部公告第235号》）。</w:t>
      </w:r>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灭蝇胺</w:t>
      </w:r>
    </w:p>
    <w:p>
      <w:pPr>
        <w:spacing w:line="560" w:lineRule="exact"/>
        <w:ind w:firstLine="640" w:firstLineChars="200"/>
        <w:jc w:val="left"/>
        <w:rPr>
          <w:rFonts w:hint="eastAsia" w:ascii="仿宋_GB2312" w:hAnsi="宋体" w:eastAsia="仿宋_GB2312"/>
          <w:sz w:val="32"/>
          <w:szCs w:val="32"/>
          <w:lang w:val="en-US" w:eastAsia="zh-CN"/>
        </w:rPr>
      </w:pPr>
      <w:r>
        <w:rPr>
          <w:rFonts w:hint="eastAsia" w:ascii="仿宋" w:hAnsi="仿宋" w:eastAsia="仿宋" w:cs="仿宋"/>
          <w:sz w:val="32"/>
          <w:szCs w:val="32"/>
          <w:lang w:val="en-US" w:eastAsia="zh-CN" w:bidi="zh-CN"/>
        </w:rPr>
        <w:t>灭蝇胺是一种昆虫生长调节剂类低毒杀虫剂，有非常强的选择性，主要对双翅目昆虫有活性。</w:t>
      </w:r>
      <w:r>
        <w:rPr>
          <w:rFonts w:hint="eastAsia" w:ascii="仿宋" w:hAnsi="仿宋" w:eastAsia="仿宋" w:cs="仿宋"/>
          <w:sz w:val="32"/>
          <w:szCs w:val="32"/>
          <w:lang w:val="zh-CN" w:eastAsia="zh-CN" w:bidi="zh-CN"/>
        </w:rPr>
        <w:t>灭蝇胺适用于多种瓜果蔬菜，主要对"蝇类"害虫具有良好的杀虫作用。目前瓜果蔬菜生产中主要用于防治:各种瓜果类、茄果类、豆类及多种叶菜类蔬菜的美州斑潜蝇、南美斑潜蝇、豆杆黑潜蝇、葱斑潜叶蝇、三叶斑潜蝇等多种潜叶蝇，韭菜及葱、蒜的根蛆(韭菜赤眼草蚊)等。</w:t>
      </w:r>
      <w:r>
        <w:rPr>
          <w:rFonts w:hint="eastAsia" w:ascii="仿宋" w:hAnsi="仿宋" w:eastAsia="仿宋" w:cs="仿宋"/>
          <w:sz w:val="32"/>
          <w:szCs w:val="32"/>
          <w:lang w:val="en-US" w:eastAsia="zh-CN" w:bidi="zh-CN"/>
        </w:rPr>
        <w:t>灭蝇胺</w:t>
      </w:r>
      <w:r>
        <w:rPr>
          <w:rFonts w:hint="eastAsia" w:ascii="仿宋" w:hAnsi="仿宋" w:eastAsia="仿宋" w:cs="仿宋"/>
          <w:sz w:val="32"/>
          <w:szCs w:val="32"/>
          <w:lang w:val="zh-CN" w:eastAsia="zh-CN" w:bidi="zh-CN"/>
        </w:rPr>
        <w:t>持效期较长，但作用速度较慢，是一种高效、低毒生态农药。</w:t>
      </w:r>
      <w:bookmarkStart w:id="1" w:name="_GoBack"/>
      <w:bookmarkEnd w:id="1"/>
      <w:bookmarkStart w:id="0" w:name="4.12氟虫腈"/>
      <w:bookmarkEnd w:id="0"/>
    </w:p>
    <w:p>
      <w:pPr>
        <w:numPr>
          <w:ilvl w:val="0"/>
          <w:numId w:val="1"/>
        </w:numPr>
        <w:spacing w:line="560" w:lineRule="exac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氧氟沙星</w:t>
      </w:r>
    </w:p>
    <w:p>
      <w:pPr>
        <w:spacing w:line="560" w:lineRule="exact"/>
        <w:ind w:firstLine="640" w:firstLineChars="200"/>
        <w:jc w:val="left"/>
        <w:rPr>
          <w:rFonts w:hint="eastAsia" w:ascii="仿宋" w:hAnsi="仿宋" w:eastAsia="仿宋" w:cs="仿宋"/>
          <w:sz w:val="32"/>
          <w:szCs w:val="32"/>
          <w:lang w:val="zh-CN" w:eastAsia="zh-CN" w:bidi="zh-CN"/>
        </w:rPr>
      </w:pPr>
      <w:r>
        <w:rPr>
          <w:rFonts w:hint="eastAsia" w:ascii="仿宋" w:hAnsi="仿宋" w:eastAsia="仿宋" w:cs="仿宋"/>
          <w:sz w:val="32"/>
          <w:szCs w:val="32"/>
          <w:lang w:val="zh-CN" w:eastAsia="zh-CN" w:bidi="zh-CN"/>
        </w:rPr>
        <w:t>氧氟沙星属于氟喹诺酮类药物，主要用于上述革兰阴性菌所致的呼吸道、咽喉、扁桃体、泌尿道（包括前列腺）、皮肤及软组织、胆囊及胆管、中耳、鼻窦、泪囊、肠道等部位的急、慢性感染。因抗菌谱广、抗菌活性强等曾被广泛用于畜禽细菌性疾病的治疗和预防。抽检产品不合格的原因可能是经营者由于降低养殖水产品的患病率，从而投喂含氧氟沙星的药物，从而提高产量。</w:t>
      </w:r>
    </w:p>
    <w:p>
      <w:pPr>
        <w:numPr>
          <w:ilvl w:val="0"/>
          <w:numId w:val="0"/>
        </w:numPr>
        <w:spacing w:line="560" w:lineRule="exact"/>
        <w:jc w:val="left"/>
        <w:rPr>
          <w:rFonts w:hint="eastAsia" w:ascii="仿宋_GB2312" w:hAnsi="宋体" w:eastAsia="仿宋_GB2312"/>
          <w:sz w:val="32"/>
          <w:szCs w:val="32"/>
          <w:lang w:val="en-US" w:eastAsia="zh-CN"/>
        </w:rPr>
      </w:pPr>
    </w:p>
    <w:p>
      <w:pPr>
        <w:numPr>
          <w:ilvl w:val="0"/>
          <w:numId w:val="0"/>
        </w:numPr>
        <w:spacing w:line="560" w:lineRule="exact"/>
        <w:jc w:val="left"/>
        <w:rPr>
          <w:rFonts w:hint="eastAsia" w:ascii="仿宋_GB2312" w:hAnsi="宋体" w:eastAsia="仿宋_GB2312"/>
          <w:sz w:val="32"/>
          <w:szCs w:val="32"/>
          <w:lang w:val="en-US" w:eastAsia="zh-CN"/>
        </w:rPr>
      </w:pPr>
    </w:p>
    <w:p>
      <w:pPr>
        <w:pStyle w:val="12"/>
        <w:spacing w:line="600" w:lineRule="exact"/>
        <w:ind w:firstLine="640" w:firstLineChars="200"/>
        <w:jc w:val="both"/>
        <w:rPr>
          <w:rFonts w:hint="eastAsia" w:ascii="仿宋" w:hAnsi="仿宋" w:eastAsia="仿宋" w:cs="仿宋"/>
          <w:kern w:val="2"/>
          <w:sz w:val="32"/>
          <w:szCs w:val="32"/>
        </w:rPr>
      </w:pPr>
    </w:p>
    <w:p>
      <w:pPr>
        <w:pStyle w:val="12"/>
        <w:spacing w:line="600" w:lineRule="exact"/>
        <w:ind w:firstLine="640" w:firstLineChars="200"/>
        <w:jc w:val="both"/>
        <w:rPr>
          <w:rFonts w:hint="eastAsia" w:ascii="仿宋" w:hAnsi="仿宋" w:eastAsia="仿宋" w:cs="仿宋"/>
          <w:kern w:val="2"/>
          <w:sz w:val="32"/>
          <w:szCs w:val="32"/>
        </w:rPr>
      </w:pPr>
    </w:p>
    <w:p>
      <w:pPr>
        <w:numPr>
          <w:ilvl w:val="0"/>
          <w:numId w:val="0"/>
        </w:numPr>
        <w:spacing w:line="560" w:lineRule="exact"/>
        <w:ind w:leftChars="200"/>
        <w:jc w:val="left"/>
        <w:rPr>
          <w:rFonts w:hint="default" w:ascii="仿宋_GB2312" w:hAnsi="宋体" w:eastAsia="仿宋_GB2312"/>
          <w:sz w:val="32"/>
          <w:szCs w:val="32"/>
          <w:lang w:val="en-US" w:eastAsia="zh-CN"/>
        </w:rPr>
      </w:pPr>
    </w:p>
    <w:p>
      <w:pPr>
        <w:numPr>
          <w:ilvl w:val="0"/>
          <w:numId w:val="0"/>
        </w:numPr>
        <w:spacing w:line="560" w:lineRule="exact"/>
        <w:ind w:leftChars="200"/>
        <w:jc w:val="left"/>
        <w:rPr>
          <w:rFonts w:hint="default" w:ascii="仿宋" w:hAnsi="仿宋" w:eastAsia="仿宋" w:cs="仿宋"/>
          <w:sz w:val="32"/>
          <w:szCs w:val="32"/>
          <w:lang w:val="en-US" w:eastAsia="zh-CN" w:bidi="zh-CN"/>
        </w:rPr>
      </w:pPr>
    </w:p>
    <w:p>
      <w:pPr>
        <w:numPr>
          <w:ilvl w:val="0"/>
          <w:numId w:val="0"/>
        </w:numPr>
        <w:spacing w:line="600" w:lineRule="exact"/>
        <w:ind w:leftChars="-300"/>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23872D"/>
    <w:multiLevelType w:val="singleLevel"/>
    <w:tmpl w:val="AC23872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6EFA"/>
    <w:rsid w:val="004B6EFA"/>
    <w:rsid w:val="00820F31"/>
    <w:rsid w:val="00824259"/>
    <w:rsid w:val="009A15EF"/>
    <w:rsid w:val="00B67A85"/>
    <w:rsid w:val="00D57D1B"/>
    <w:rsid w:val="00F421C8"/>
    <w:rsid w:val="02276CB5"/>
    <w:rsid w:val="03F06EAD"/>
    <w:rsid w:val="06BA5897"/>
    <w:rsid w:val="090604A3"/>
    <w:rsid w:val="0BFE7616"/>
    <w:rsid w:val="0D2B2324"/>
    <w:rsid w:val="104B7313"/>
    <w:rsid w:val="145F0D0D"/>
    <w:rsid w:val="15886BAB"/>
    <w:rsid w:val="15C74A14"/>
    <w:rsid w:val="16627B1C"/>
    <w:rsid w:val="17EF416E"/>
    <w:rsid w:val="18451B3F"/>
    <w:rsid w:val="195B4923"/>
    <w:rsid w:val="19FE57A3"/>
    <w:rsid w:val="1B211F9F"/>
    <w:rsid w:val="1DF10696"/>
    <w:rsid w:val="1EFF100B"/>
    <w:rsid w:val="22550787"/>
    <w:rsid w:val="25137D68"/>
    <w:rsid w:val="284A5BF2"/>
    <w:rsid w:val="29DF02C5"/>
    <w:rsid w:val="2B461F65"/>
    <w:rsid w:val="2C516F87"/>
    <w:rsid w:val="2D66027E"/>
    <w:rsid w:val="2E9C2E55"/>
    <w:rsid w:val="2FD10C3E"/>
    <w:rsid w:val="31C6061F"/>
    <w:rsid w:val="32DD00BD"/>
    <w:rsid w:val="379573AA"/>
    <w:rsid w:val="386B654E"/>
    <w:rsid w:val="391352A9"/>
    <w:rsid w:val="3ADD2861"/>
    <w:rsid w:val="3AFA4815"/>
    <w:rsid w:val="3D297853"/>
    <w:rsid w:val="428D21EB"/>
    <w:rsid w:val="4452544F"/>
    <w:rsid w:val="46B032DF"/>
    <w:rsid w:val="46E575FC"/>
    <w:rsid w:val="4B911789"/>
    <w:rsid w:val="4D94490D"/>
    <w:rsid w:val="4DAD2FA1"/>
    <w:rsid w:val="4E9C06D0"/>
    <w:rsid w:val="520E4E41"/>
    <w:rsid w:val="58D27289"/>
    <w:rsid w:val="58EF2A7D"/>
    <w:rsid w:val="5C77642F"/>
    <w:rsid w:val="5CED668D"/>
    <w:rsid w:val="5F1D6839"/>
    <w:rsid w:val="60CF2535"/>
    <w:rsid w:val="67F31F76"/>
    <w:rsid w:val="68932D56"/>
    <w:rsid w:val="697C6D68"/>
    <w:rsid w:val="6B4C4B7D"/>
    <w:rsid w:val="6D454B10"/>
    <w:rsid w:val="6EF66C78"/>
    <w:rsid w:val="6F6115A1"/>
    <w:rsid w:val="6FF2151A"/>
    <w:rsid w:val="71894BD7"/>
    <w:rsid w:val="726258D5"/>
    <w:rsid w:val="73B232F5"/>
    <w:rsid w:val="74EF7DD6"/>
    <w:rsid w:val="757B108B"/>
    <w:rsid w:val="757B7956"/>
    <w:rsid w:val="77B41AFA"/>
    <w:rsid w:val="77DD7782"/>
    <w:rsid w:val="79871452"/>
    <w:rsid w:val="7B6A0503"/>
    <w:rsid w:val="7B802328"/>
    <w:rsid w:val="7BCD75A4"/>
    <w:rsid w:val="7D212BFB"/>
    <w:rsid w:val="7E3539E2"/>
    <w:rsid w:val="7F02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3 Char"/>
    <w:basedOn w:val="7"/>
    <w:link w:val="2"/>
    <w:qFormat/>
    <w:uiPriority w:val="9"/>
    <w:rPr>
      <w:rFonts w:ascii="宋体" w:hAnsi="宋体" w:eastAsia="宋体" w:cs="宋体"/>
      <w:b/>
      <w:bCs/>
      <w:kern w:val="0"/>
      <w:sz w:val="27"/>
      <w:szCs w:val="27"/>
    </w:rPr>
  </w:style>
  <w:style w:type="paragraph" w:customStyle="1" w:styleId="11">
    <w:name w:val="_Style 1"/>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Company>
  <Pages>1</Pages>
  <Words>25</Words>
  <Characters>147</Characters>
  <Lines>1</Lines>
  <Paragraphs>1</Paragraphs>
  <TotalTime>10</TotalTime>
  <ScaleCrop>false</ScaleCrop>
  <LinksUpToDate>false</LinksUpToDate>
  <CharactersWithSpaces>171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2019-04-08T02:10:00Z</dcterms:created>
  <dc:creator>黎佩珊</dc:creator>
  <cp:lastModifiedBy>沁</cp:lastModifiedBy>
  <dcterms:modified xsi:type="dcterms:W3CDTF">2020-08-07T02:51:21Z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