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rPr>
          <w:rFonts w:ascii="方正小标宋简体" w:hAnsi="黑体" w:eastAsia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黑体" w:eastAsia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widowControl/>
        <w:shd w:val="clear" w:color="auto" w:fill="FFFFFF"/>
        <w:spacing w:line="360" w:lineRule="exact"/>
        <w:jc w:val="center"/>
        <w:rPr>
          <w:rFonts w:ascii="方正小标宋简体" w:hAnsi="Times New Roman" w:eastAsia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网络食品交易第三方平台提供</w:t>
      </w:r>
      <w:r>
        <w:rPr>
          <w:rFonts w:hint="eastAsia" w:ascii="方正小标宋简体" w:hAnsi="Times New Roman" w:eastAsia="方正小标宋简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者</w:t>
      </w:r>
    </w:p>
    <w:p>
      <w:pPr>
        <w:spacing w:line="360" w:lineRule="exact"/>
        <w:jc w:val="center"/>
        <w:rPr>
          <w:rFonts w:ascii="方正小标宋简体" w:hAnsi="Times New Roman" w:eastAsia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动态风险因素量化分值表</w:t>
      </w:r>
    </w:p>
    <w:p>
      <w:pPr>
        <w:tabs>
          <w:tab w:val="left" w:pos="142"/>
        </w:tabs>
        <w:spacing w:line="360" w:lineRule="exact"/>
        <w:ind w:left="-850" w:leftChars="-405" w:firstLine="300" w:firstLineChars="150"/>
        <w:rPr>
          <w:rFonts w:ascii="方正小标宋简体" w:hAnsi="Times New Roman" w:eastAsia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被评定人：　　　　　　　　　　　　　　　　　　　　　　　　　　　　评定时间：</w:t>
      </w:r>
    </w:p>
    <w:tbl>
      <w:tblPr>
        <w:tblStyle w:val="5"/>
        <w:tblW w:w="102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99"/>
        <w:gridCol w:w="6095"/>
        <w:gridCol w:w="1418"/>
        <w:gridCol w:w="6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检查项目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检查结果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1.主体资质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依法取得营业执照并在有效期限内。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平台在通信主管部门批准后30个工作日内，向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属地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市场监督管理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2.食品安</w:t>
            </w:r>
          </w:p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全责任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建立入网食品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者审查登记、食品安全自查、食品安全违法行为制止及报告、严重违法行为平台服务停止、食品安全投诉举报处理等相应制度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在网络平台上公开相关制度和投诉举报方式。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line="240" w:lineRule="exac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设置专门的网络食品安全管理机构或者指定专职食品安全管理人员，对平台上的食品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行为及信息进行检查。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对平台上食品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者开展食品安全法律、法规以及食品安全标准和食品安全知识的教育培训工作，且有培训记录。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建立入网食品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者档案，记录入网食品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者的基本情况、食品安全管理人员等信息。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记录、保存食品交易信息，保存时间不得少于产品保质期满后6个月；没有明确保质期的，保存时间不少于2年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3.对入网食品经营者的管理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对入网食品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者食品生产经营许可证等材料进行审查，如实记录并及时更新。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□合理缺项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line="240" w:lineRule="exac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对入网食用农产品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者营业执照、入网交易食用农产品的个人的身份证号码、住址、联系方式等信息如实记录并及时更新。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□合理缺项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明确入网食品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者食品安全管理责任。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入网食品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者在其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活动主页面显著位置公示其食品生产经营许可证。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□合理缺项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发现入网食品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者存在食品安全违法行为的，及时制止，并及时向所在地市场监督管理部门报告。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□合理缺项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对出现严重违法行为的入网食品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bookmarkStart w:id="0" w:name="_GoBack"/>
            <w:bookmarkEnd w:id="0"/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者停止提供网络交易平台服务。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□合理缺项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line="240" w:lineRule="exac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配合市场监督管理部门对网络食品安全违法行为的查处，并按照相关要求提供网络食品交易相关数据和信息。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□合理缺项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得分总和（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60分）</w:t>
            </w:r>
          </w:p>
        </w:tc>
        <w:tc>
          <w:tcPr>
            <w:tcW w:w="9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2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widowControl/>
              <w:spacing w:line="240" w:lineRule="exact"/>
              <w:jc w:val="center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9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rPr>
                <w:rFonts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1.各项分值总和为60分，选择“否”，得分，选择“是”或者“合理缺项”，不得分。</w:t>
            </w:r>
          </w:p>
          <w:p>
            <w:pPr>
              <w:widowControl/>
              <w:spacing w:line="240" w:lineRule="exact"/>
              <w:ind w:left="200" w:hanging="200" w:hangingChars="100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BF"/>
    <w:rsid w:val="0001197F"/>
    <w:rsid w:val="00035797"/>
    <w:rsid w:val="00055714"/>
    <w:rsid w:val="000A466E"/>
    <w:rsid w:val="000C03F9"/>
    <w:rsid w:val="000C2F8B"/>
    <w:rsid w:val="000D2429"/>
    <w:rsid w:val="00102020"/>
    <w:rsid w:val="00121C06"/>
    <w:rsid w:val="00125027"/>
    <w:rsid w:val="00137B49"/>
    <w:rsid w:val="00140AF3"/>
    <w:rsid w:val="00163019"/>
    <w:rsid w:val="001D00EF"/>
    <w:rsid w:val="001F3B9F"/>
    <w:rsid w:val="0021105F"/>
    <w:rsid w:val="00223BB6"/>
    <w:rsid w:val="00271697"/>
    <w:rsid w:val="002800B6"/>
    <w:rsid w:val="0028099E"/>
    <w:rsid w:val="002D03AB"/>
    <w:rsid w:val="003129EA"/>
    <w:rsid w:val="00333545"/>
    <w:rsid w:val="00391378"/>
    <w:rsid w:val="003A19FC"/>
    <w:rsid w:val="003E78BC"/>
    <w:rsid w:val="003E7F9B"/>
    <w:rsid w:val="00412AC6"/>
    <w:rsid w:val="004311C3"/>
    <w:rsid w:val="004379EF"/>
    <w:rsid w:val="00444E51"/>
    <w:rsid w:val="00477BB0"/>
    <w:rsid w:val="004A4B92"/>
    <w:rsid w:val="004F1717"/>
    <w:rsid w:val="00502CD0"/>
    <w:rsid w:val="00522384"/>
    <w:rsid w:val="00526338"/>
    <w:rsid w:val="00540041"/>
    <w:rsid w:val="00553A0B"/>
    <w:rsid w:val="0058039C"/>
    <w:rsid w:val="00594AA2"/>
    <w:rsid w:val="005E2238"/>
    <w:rsid w:val="005E3E22"/>
    <w:rsid w:val="00616EF7"/>
    <w:rsid w:val="00624121"/>
    <w:rsid w:val="00625E8F"/>
    <w:rsid w:val="006374F3"/>
    <w:rsid w:val="00652EC3"/>
    <w:rsid w:val="0066430A"/>
    <w:rsid w:val="006952D3"/>
    <w:rsid w:val="006B3AF7"/>
    <w:rsid w:val="006B4AED"/>
    <w:rsid w:val="006E0996"/>
    <w:rsid w:val="006F51FB"/>
    <w:rsid w:val="007042A2"/>
    <w:rsid w:val="00720D7D"/>
    <w:rsid w:val="00732F0D"/>
    <w:rsid w:val="00772C04"/>
    <w:rsid w:val="0078015F"/>
    <w:rsid w:val="00793A37"/>
    <w:rsid w:val="00794C0A"/>
    <w:rsid w:val="007C0155"/>
    <w:rsid w:val="007D0A86"/>
    <w:rsid w:val="007E4CF9"/>
    <w:rsid w:val="00862ABC"/>
    <w:rsid w:val="00873F20"/>
    <w:rsid w:val="00896794"/>
    <w:rsid w:val="008A3EB0"/>
    <w:rsid w:val="008B77B4"/>
    <w:rsid w:val="008F7381"/>
    <w:rsid w:val="008F7547"/>
    <w:rsid w:val="00934AC9"/>
    <w:rsid w:val="00961620"/>
    <w:rsid w:val="00963D12"/>
    <w:rsid w:val="009766A6"/>
    <w:rsid w:val="009C6CBC"/>
    <w:rsid w:val="009E7CA2"/>
    <w:rsid w:val="009F1AE6"/>
    <w:rsid w:val="00A37923"/>
    <w:rsid w:val="00A64903"/>
    <w:rsid w:val="00A7720F"/>
    <w:rsid w:val="00AA3D30"/>
    <w:rsid w:val="00AD68BE"/>
    <w:rsid w:val="00AF7EAA"/>
    <w:rsid w:val="00B1198F"/>
    <w:rsid w:val="00B2626F"/>
    <w:rsid w:val="00B70F5C"/>
    <w:rsid w:val="00B900C1"/>
    <w:rsid w:val="00B972BE"/>
    <w:rsid w:val="00BD7F8B"/>
    <w:rsid w:val="00C048EE"/>
    <w:rsid w:val="00C061D8"/>
    <w:rsid w:val="00C12994"/>
    <w:rsid w:val="00C3571D"/>
    <w:rsid w:val="00C42C9F"/>
    <w:rsid w:val="00C44F99"/>
    <w:rsid w:val="00C4553A"/>
    <w:rsid w:val="00C860D7"/>
    <w:rsid w:val="00C926E6"/>
    <w:rsid w:val="00CA3165"/>
    <w:rsid w:val="00CA76B6"/>
    <w:rsid w:val="00CB7E07"/>
    <w:rsid w:val="00CE1A24"/>
    <w:rsid w:val="00CE6089"/>
    <w:rsid w:val="00D13D10"/>
    <w:rsid w:val="00D404BF"/>
    <w:rsid w:val="00D72537"/>
    <w:rsid w:val="00DF247C"/>
    <w:rsid w:val="00DF3D42"/>
    <w:rsid w:val="00E06AD6"/>
    <w:rsid w:val="00E17D16"/>
    <w:rsid w:val="00E41E3E"/>
    <w:rsid w:val="00EA15F3"/>
    <w:rsid w:val="00F125BA"/>
    <w:rsid w:val="00F44B71"/>
    <w:rsid w:val="00F5557F"/>
    <w:rsid w:val="00FB5EA5"/>
    <w:rsid w:val="00FE74A0"/>
    <w:rsid w:val="00FE7648"/>
    <w:rsid w:val="00FF7236"/>
    <w:rsid w:val="018631E5"/>
    <w:rsid w:val="06C266CF"/>
    <w:rsid w:val="0B8226BC"/>
    <w:rsid w:val="0C356C86"/>
    <w:rsid w:val="11690739"/>
    <w:rsid w:val="12D97381"/>
    <w:rsid w:val="13DD6BA9"/>
    <w:rsid w:val="14175ABA"/>
    <w:rsid w:val="1BE63A2C"/>
    <w:rsid w:val="1CD56F2C"/>
    <w:rsid w:val="2D5B49C1"/>
    <w:rsid w:val="38BF0B6B"/>
    <w:rsid w:val="442F0C7E"/>
    <w:rsid w:val="471D1F8C"/>
    <w:rsid w:val="4E231D82"/>
    <w:rsid w:val="4EAD0273"/>
    <w:rsid w:val="4FF066EE"/>
    <w:rsid w:val="50F65FBC"/>
    <w:rsid w:val="52B40681"/>
    <w:rsid w:val="6B885688"/>
    <w:rsid w:val="724A20A2"/>
    <w:rsid w:val="7A651D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华文中宋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751</Words>
  <Characters>760</Characters>
  <Lines>36</Lines>
  <Paragraphs>22</Paragraphs>
  <ScaleCrop>false</ScaleCrop>
  <LinksUpToDate>false</LinksUpToDate>
  <CharactersWithSpaces>1489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2020-03-31T07:01:00Z</dcterms:created>
  <dc:creator>霍廉</dc:creator>
  <cp:lastModifiedBy>Administrator</cp:lastModifiedBy>
  <cp:lastPrinted>2020-08-14T07:44:00Z</cp:lastPrinted>
  <dcterms:modified xsi:type="dcterms:W3CDTF">2020-08-14T07:49:51Z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