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94" w:lineRule="exact"/>
        <w:rPr>
          <w:rFonts w:ascii="Times New Roman" w:hAnsi="Times New Roman" w:eastAsia="黑体"/>
          <w:sz w:val="32"/>
          <w:szCs w:val="32"/>
        </w:rPr>
      </w:pPr>
      <w:r>
        <w:rPr>
          <w:rFonts w:hint="eastAsia" w:ascii="Times New Roman" w:hAnsi="Times New Roman" w:eastAsia="黑体"/>
          <w:sz w:val="32"/>
          <w:szCs w:val="32"/>
        </w:rPr>
        <w:t>附件22</w:t>
      </w:r>
    </w:p>
    <w:p>
      <w:pPr>
        <w:adjustRightInd w:val="0"/>
        <w:snapToGrid w:val="0"/>
        <w:spacing w:line="594"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不合格项目说明</w:t>
      </w:r>
    </w:p>
    <w:p>
      <w:pPr>
        <w:adjustRightInd w:val="0"/>
        <w:snapToGrid w:val="0"/>
        <w:spacing w:line="594" w:lineRule="exact"/>
        <w:jc w:val="center"/>
        <w:rPr>
          <w:rFonts w:ascii="Times New Roman" w:hAnsi="Times New Roman" w:eastAsia="方正小标宋简体"/>
          <w:bCs/>
          <w:sz w:val="44"/>
          <w:szCs w:val="44"/>
        </w:rPr>
      </w:pPr>
      <w:bookmarkStart w:id="2" w:name="_GoBack"/>
      <w:bookmarkEnd w:id="2"/>
    </w:p>
    <w:p>
      <w:pPr>
        <w:pStyle w:val="14"/>
        <w:numPr>
          <w:ilvl w:val="0"/>
          <w:numId w:val="1"/>
        </w:numPr>
        <w:adjustRightInd w:val="0"/>
        <w:snapToGrid w:val="0"/>
        <w:spacing w:line="594" w:lineRule="exact"/>
        <w:ind w:left="0" w:leftChars="0" w:firstLine="640" w:firstLineChars="200"/>
        <w:rPr>
          <w:rFonts w:ascii="Times New Roman" w:hAnsi="Times New Roman" w:eastAsia="方正小标宋简体"/>
          <w:bCs/>
          <w:sz w:val="44"/>
          <w:szCs w:val="44"/>
        </w:rPr>
      </w:pPr>
      <w:r>
        <w:rPr>
          <w:rFonts w:hint="eastAsia" w:ascii="Times New Roman" w:hAnsi="Times New Roman" w:eastAsia="黑体"/>
          <w:color w:val="000000"/>
          <w:sz w:val="32"/>
          <w:szCs w:val="32"/>
        </w:rPr>
        <w:t>脱氢乙酸及其钠盐</w:t>
      </w:r>
    </w:p>
    <w:p>
      <w:pPr>
        <w:pStyle w:val="6"/>
        <w:adjustRightInd w:val="0"/>
        <w:snapToGrid w:val="0"/>
        <w:spacing w:line="594" w:lineRule="exact"/>
        <w:ind w:left="0" w:leftChars="0" w:firstLine="640" w:firstLineChars="200"/>
        <w:rPr>
          <w:rFonts w:eastAsia="仿宋"/>
          <w:color w:val="000000"/>
          <w:sz w:val="32"/>
          <w:szCs w:val="32"/>
        </w:rPr>
      </w:pPr>
      <w:r>
        <w:rPr>
          <w:rFonts w:hint="eastAsia" w:eastAsia="仿宋"/>
          <w:sz w:val="32"/>
          <w:szCs w:val="32"/>
        </w:rPr>
        <w:t>脱氢乙酸及其钠盐作为食品添加剂，广泛用作防腐剂，对霉菌具有较强的抑制作用。</w:t>
      </w:r>
      <w:r>
        <w:rPr>
          <w:rFonts w:hint="eastAsia" w:eastAsia="仿宋"/>
          <w:color w:val="000000"/>
          <w:sz w:val="32"/>
          <w:szCs w:val="32"/>
        </w:rPr>
        <w:t>《食品安全国家标准 食品添加剂使用标准》（GB 2760）规定，</w:t>
      </w:r>
      <w:r>
        <w:rPr>
          <w:rFonts w:eastAsia="仿宋"/>
          <w:color w:val="000000"/>
          <w:sz w:val="32"/>
          <w:szCs w:val="32"/>
        </w:rPr>
        <w:t>糕点</w:t>
      </w:r>
      <w:r>
        <w:rPr>
          <w:rFonts w:hint="eastAsia" w:eastAsia="仿宋"/>
          <w:color w:val="000000"/>
          <w:sz w:val="32"/>
          <w:szCs w:val="32"/>
        </w:rPr>
        <w:t>中脱氢乙酸及其钠盐（以脱氢乙酸计）的最大使用量为0.5</w:t>
      </w:r>
      <w:r>
        <w:rPr>
          <w:rFonts w:eastAsia="仿宋"/>
          <w:color w:val="000000"/>
          <w:sz w:val="32"/>
          <w:szCs w:val="32"/>
        </w:rPr>
        <w:t xml:space="preserve"> g/kg</w:t>
      </w:r>
      <w:r>
        <w:rPr>
          <w:rFonts w:hint="eastAsia" w:eastAsia="仿宋"/>
          <w:color w:val="000000"/>
          <w:sz w:val="32"/>
          <w:szCs w:val="32"/>
        </w:rPr>
        <w:t>。</w:t>
      </w:r>
    </w:p>
    <w:p>
      <w:pPr>
        <w:pStyle w:val="6"/>
        <w:numPr>
          <w:ilvl w:val="0"/>
          <w:numId w:val="1"/>
        </w:numPr>
        <w:adjustRightInd w:val="0"/>
        <w:snapToGrid w:val="0"/>
        <w:spacing w:line="594" w:lineRule="exact"/>
        <w:ind w:left="0" w:leftChars="0" w:firstLine="640" w:firstLineChars="200"/>
        <w:rPr>
          <w:rFonts w:eastAsia="仿宋"/>
          <w:color w:val="000000"/>
          <w:sz w:val="32"/>
          <w:szCs w:val="32"/>
        </w:rPr>
      </w:pPr>
      <w:r>
        <w:rPr>
          <w:rFonts w:hint="eastAsia" w:eastAsia="黑体"/>
          <w:sz w:val="32"/>
          <w:szCs w:val="32"/>
        </w:rPr>
        <w:t>恩诺沙星</w:t>
      </w:r>
    </w:p>
    <w:p>
      <w:pPr>
        <w:pStyle w:val="6"/>
        <w:adjustRightInd w:val="0"/>
        <w:snapToGrid w:val="0"/>
        <w:spacing w:line="594" w:lineRule="exact"/>
        <w:ind w:left="0" w:leftChars="0" w:firstLine="640" w:firstLineChars="200"/>
        <w:rPr>
          <w:rFonts w:eastAsia="仿宋_GB2312"/>
          <w:bCs/>
          <w:sz w:val="32"/>
          <w:szCs w:val="32"/>
        </w:rPr>
      </w:pPr>
      <w:r>
        <w:rPr>
          <w:rFonts w:hint="eastAsia" w:eastAsia="仿宋_GB2312" w:cs="仿宋_GB2312"/>
          <w:sz w:val="32"/>
          <w:szCs w:val="32"/>
        </w:rPr>
        <w:t>恩诺沙星，又名恩氟奎林羧酸，属于氟喹诺酮类药物，是一种化学合成的广谱抑菌剂，用于治疗动物的皮肤感染、呼吸道感染等，是动物专属用药。</w:t>
      </w:r>
      <w:bookmarkStart w:id="0" w:name="OLE_LINK1"/>
      <w:r>
        <w:rPr>
          <w:rFonts w:hint="eastAsia" w:eastAsia="仿宋_GB2312"/>
          <w:bCs/>
          <w:sz w:val="32"/>
          <w:szCs w:val="32"/>
        </w:rPr>
        <w:t>《食品安全国家标准 食品中兽药最大残留限量》（</w:t>
      </w:r>
      <w:r>
        <w:rPr>
          <w:rFonts w:eastAsia="仿宋_GB2312"/>
          <w:bCs/>
          <w:sz w:val="32"/>
          <w:szCs w:val="32"/>
        </w:rPr>
        <w:t>GB 31650</w:t>
      </w:r>
      <w:r>
        <w:rPr>
          <w:rFonts w:hint="eastAsia" w:eastAsia="仿宋_GB2312"/>
          <w:bCs/>
          <w:sz w:val="32"/>
          <w:szCs w:val="32"/>
        </w:rPr>
        <w:t>）</w:t>
      </w:r>
      <w:bookmarkEnd w:id="0"/>
      <w:r>
        <w:rPr>
          <w:rFonts w:hint="eastAsia" w:eastAsia="仿宋_GB2312"/>
          <w:bCs/>
          <w:sz w:val="32"/>
          <w:szCs w:val="32"/>
        </w:rPr>
        <w:t>规定，鱼中恩诺沙星(以恩诺沙星与环丙沙星之和计)应不超过100</w:t>
      </w:r>
      <w:r>
        <w:rPr>
          <w:rFonts w:eastAsia="仿宋_GB2312"/>
          <w:bCs/>
          <w:sz w:val="32"/>
          <w:szCs w:val="32"/>
        </w:rPr>
        <w:t xml:space="preserve"> </w:t>
      </w:r>
      <w:r>
        <w:rPr>
          <w:rFonts w:hint="eastAsia" w:eastAsia="仿宋_GB2312"/>
          <w:bCs/>
          <w:sz w:val="32"/>
          <w:szCs w:val="32"/>
        </w:rPr>
        <w:t>μg/kg；</w:t>
      </w:r>
      <w:r>
        <w:rPr>
          <w:rFonts w:hint="eastAsia" w:eastAsia="仿宋_GB2312" w:cs="仿宋_GB2312"/>
          <w:sz w:val="32"/>
          <w:szCs w:val="32"/>
        </w:rPr>
        <w:t>“家禽（产蛋期禁用）”，即</w:t>
      </w:r>
      <w:r>
        <w:rPr>
          <w:rFonts w:hint="eastAsia" w:eastAsia="仿宋_GB2312" w:cs="Arial"/>
          <w:spacing w:val="-2"/>
          <w:kern w:val="0"/>
          <w:sz w:val="32"/>
          <w:szCs w:val="32"/>
        </w:rPr>
        <w:t>鸡蛋</w:t>
      </w:r>
      <w:r>
        <w:rPr>
          <w:rFonts w:hint="eastAsia" w:eastAsia="仿宋_GB2312" w:cs="仿宋_GB2312"/>
          <w:sz w:val="32"/>
          <w:szCs w:val="32"/>
        </w:rPr>
        <w:t>中不得检出。</w:t>
      </w:r>
    </w:p>
    <w:p>
      <w:pPr>
        <w:pStyle w:val="6"/>
        <w:numPr>
          <w:ilvl w:val="0"/>
          <w:numId w:val="1"/>
        </w:numPr>
        <w:adjustRightInd w:val="0"/>
        <w:snapToGrid w:val="0"/>
        <w:spacing w:line="594" w:lineRule="exact"/>
        <w:ind w:left="0" w:leftChars="0" w:firstLine="640" w:firstLineChars="200"/>
        <w:rPr>
          <w:rFonts w:eastAsia="黑体"/>
          <w:color w:val="000000"/>
          <w:sz w:val="32"/>
          <w:szCs w:val="32"/>
        </w:rPr>
      </w:pPr>
      <w:r>
        <w:rPr>
          <w:rFonts w:hint="eastAsia" w:eastAsia="黑体"/>
          <w:color w:val="000000"/>
          <w:sz w:val="32"/>
          <w:szCs w:val="32"/>
        </w:rPr>
        <w:t>腐霉利</w:t>
      </w:r>
    </w:p>
    <w:p>
      <w:pPr>
        <w:pStyle w:val="6"/>
        <w:adjustRightInd w:val="0"/>
        <w:snapToGrid w:val="0"/>
        <w:spacing w:line="594" w:lineRule="exact"/>
        <w:ind w:left="0" w:leftChars="0" w:firstLine="640" w:firstLineChars="200"/>
        <w:rPr>
          <w:rFonts w:eastAsia="仿宋_GB2312"/>
          <w:bCs/>
          <w:sz w:val="32"/>
          <w:szCs w:val="32"/>
        </w:rPr>
      </w:pPr>
      <w:r>
        <w:rPr>
          <w:rFonts w:hint="eastAsia" w:eastAsia="仿宋_GB2312" w:cs="仿宋"/>
          <w:sz w:val="32"/>
          <w:szCs w:val="32"/>
        </w:rPr>
        <w:t>腐霉利属于低毒性杀菌剂，</w:t>
      </w:r>
      <w:r>
        <w:rPr>
          <w:rFonts w:hint="eastAsia" w:eastAsia="仿宋_GB2312"/>
          <w:sz w:val="32"/>
          <w:szCs w:val="32"/>
        </w:rPr>
        <w:t>主要用于果树、蔬菜作物的灰霉病、菌核病、褐腐病防治。</w:t>
      </w:r>
      <w:r>
        <w:rPr>
          <w:rFonts w:hint="eastAsia" w:eastAsia="仿宋_GB2312"/>
          <w:bCs/>
          <w:sz w:val="32"/>
          <w:szCs w:val="32"/>
        </w:rPr>
        <w:t>《食品安全国家标准 食品中农药最大残留限量》（</w:t>
      </w:r>
      <w:bookmarkStart w:id="1" w:name="OLE_LINK2"/>
      <w:r>
        <w:rPr>
          <w:rFonts w:hint="eastAsia" w:eastAsia="仿宋_GB2312"/>
          <w:bCs/>
          <w:sz w:val="32"/>
          <w:szCs w:val="32"/>
        </w:rPr>
        <w:t>GB 2763</w:t>
      </w:r>
      <w:bookmarkEnd w:id="1"/>
      <w:r>
        <w:rPr>
          <w:rFonts w:hint="eastAsia" w:eastAsia="仿宋_GB2312"/>
          <w:bCs/>
          <w:sz w:val="32"/>
          <w:szCs w:val="32"/>
        </w:rPr>
        <w:t>）规定，韭菜中腐霉利的最大残留限量为0.2 mg/kg。</w:t>
      </w:r>
    </w:p>
    <w:p>
      <w:pPr>
        <w:pStyle w:val="14"/>
        <w:numPr>
          <w:ilvl w:val="0"/>
          <w:numId w:val="1"/>
        </w:numPr>
        <w:adjustRightInd w:val="0"/>
        <w:snapToGrid w:val="0"/>
        <w:spacing w:line="594" w:lineRule="exact"/>
        <w:ind w:left="0" w:leftChars="0"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苯甲酸及其钠盐</w:t>
      </w:r>
    </w:p>
    <w:p>
      <w:pPr>
        <w:adjustRightInd w:val="0"/>
        <w:snapToGrid w:val="0"/>
        <w:spacing w:line="594" w:lineRule="exact"/>
        <w:ind w:left="0" w:leftChars="0" w:firstLine="640" w:firstLineChars="200"/>
        <w:rPr>
          <w:rFonts w:ascii="Times New Roman" w:hAnsi="Times New Roman" w:eastAsia="仿宋" w:cs="仿宋"/>
          <w:sz w:val="32"/>
          <w:szCs w:val="32"/>
        </w:rPr>
      </w:pPr>
      <w:r>
        <w:rPr>
          <w:rFonts w:hint="eastAsia" w:ascii="Times New Roman" w:hAnsi="Times New Roman" w:eastAsia="仿宋" w:cs="仿宋"/>
          <w:color w:val="000000"/>
          <w:sz w:val="32"/>
          <w:szCs w:val="32"/>
        </w:rPr>
        <w:t>苯甲酸及其钠盐是食品工业中常见的防腐剂，对霉菌、酵母和细菌有较好的抑制作用。</w:t>
      </w:r>
      <w:r>
        <w:rPr>
          <w:rFonts w:ascii="Times New Roman" w:hAnsi="Times New Roman" w:eastAsia="仿宋" w:cs="仿宋"/>
          <w:sz w:val="32"/>
          <w:szCs w:val="32"/>
        </w:rPr>
        <w:t>《食品安全国家标准</w:t>
      </w:r>
      <w:r>
        <w:rPr>
          <w:rFonts w:hint="eastAsia" w:ascii="Times New Roman" w:hAnsi="Times New Roman" w:eastAsia="仿宋" w:cs="仿宋"/>
          <w:sz w:val="32"/>
          <w:szCs w:val="32"/>
        </w:rPr>
        <w:t xml:space="preserve"> </w:t>
      </w:r>
      <w:r>
        <w:rPr>
          <w:rFonts w:ascii="Times New Roman" w:hAnsi="Times New Roman" w:eastAsia="仿宋" w:cs="仿宋"/>
          <w:sz w:val="32"/>
          <w:szCs w:val="32"/>
        </w:rPr>
        <w:t>食品添加剂使用标准》（GB 2760）</w:t>
      </w:r>
      <w:r>
        <w:rPr>
          <w:rFonts w:hint="eastAsia" w:ascii="Times New Roman" w:hAnsi="Times New Roman" w:eastAsia="仿宋" w:cs="Times New Roman"/>
          <w:sz w:val="32"/>
          <w:szCs w:val="32"/>
        </w:rPr>
        <w:t>未规定豆腐中允许使用苯甲酸及其钠盐，即表明不得使用苯甲酸及其钠盐</w:t>
      </w:r>
      <w:r>
        <w:rPr>
          <w:rFonts w:hint="eastAsia" w:ascii="Times New Roman" w:hAnsi="Times New Roman" w:eastAsia="仿宋" w:cs="仿宋"/>
          <w:color w:val="000000"/>
          <w:sz w:val="32"/>
          <w:szCs w:val="32"/>
        </w:rPr>
        <w:t>。</w:t>
      </w:r>
    </w:p>
    <w:p>
      <w:pPr>
        <w:pStyle w:val="6"/>
        <w:numPr>
          <w:ilvl w:val="0"/>
          <w:numId w:val="1"/>
        </w:numPr>
        <w:adjustRightInd w:val="0"/>
        <w:snapToGrid w:val="0"/>
        <w:spacing w:line="594" w:lineRule="exact"/>
        <w:ind w:left="0" w:leftChars="0" w:firstLine="640" w:firstLineChars="200"/>
        <w:rPr>
          <w:rFonts w:eastAsia="黑体"/>
          <w:sz w:val="32"/>
          <w:szCs w:val="32"/>
        </w:rPr>
      </w:pPr>
      <w:r>
        <w:rPr>
          <w:rFonts w:hint="eastAsia" w:eastAsia="黑体"/>
          <w:sz w:val="32"/>
          <w:szCs w:val="32"/>
        </w:rPr>
        <w:t>噻虫嗪</w:t>
      </w:r>
    </w:p>
    <w:p>
      <w:pPr>
        <w:pStyle w:val="6"/>
        <w:adjustRightInd w:val="0"/>
        <w:snapToGrid w:val="0"/>
        <w:spacing w:line="594" w:lineRule="exact"/>
        <w:ind w:left="0" w:leftChars="0" w:firstLine="640" w:firstLineChars="200"/>
        <w:rPr>
          <w:rFonts w:eastAsia="仿宋_GB2312"/>
          <w:bCs/>
          <w:sz w:val="32"/>
          <w:szCs w:val="32"/>
        </w:rPr>
      </w:pPr>
      <w:r>
        <w:rPr>
          <w:rFonts w:hint="eastAsia" w:eastAsia="仿宋_GB2312"/>
          <w:bCs/>
          <w:sz w:val="32"/>
          <w:szCs w:val="32"/>
        </w:rPr>
        <w:t>噻虫嗪是一种全新结构的第二代</w:t>
      </w:r>
      <w:r>
        <w:fldChar w:fldCharType="begin"/>
      </w:r>
      <w:r>
        <w:instrText xml:space="preserve">HYPERLINK "https://baike.so.com/doc/6787620-7004227.html" </w:instrText>
      </w:r>
      <w:r>
        <w:fldChar w:fldCharType="separate"/>
      </w:r>
      <w:r>
        <w:rPr>
          <w:rFonts w:hint="eastAsia" w:eastAsia="仿宋_GB2312"/>
          <w:bCs/>
          <w:sz w:val="32"/>
          <w:szCs w:val="32"/>
        </w:rPr>
        <w:t>烟碱</w:t>
      </w:r>
      <w:r>
        <w:fldChar w:fldCharType="end"/>
      </w:r>
      <w:r>
        <w:rPr>
          <w:rFonts w:hint="eastAsia" w:eastAsia="仿宋_GB2312"/>
          <w:bCs/>
          <w:sz w:val="32"/>
          <w:szCs w:val="32"/>
        </w:rPr>
        <w:t>类高效低毒杀虫剂，用于叶面喷雾及土壤灌根处理。其施药后迅速被内吸，并传导到植株各部位，对刺吸式害虫如蚜虫、飞虱、叶蝉、粉虱等有良好的防效。</w:t>
      </w:r>
      <w:r>
        <w:rPr>
          <w:rFonts w:eastAsia="仿宋_GB2312"/>
          <w:bCs/>
          <w:sz w:val="32"/>
          <w:szCs w:val="32"/>
        </w:rPr>
        <w:t>《</w:t>
      </w:r>
      <w:r>
        <w:rPr>
          <w:rFonts w:hint="eastAsia" w:eastAsia="仿宋_GB2312"/>
          <w:bCs/>
          <w:sz w:val="32"/>
          <w:szCs w:val="32"/>
        </w:rPr>
        <w:t>食品安全国家标准 食品中农药最大残留限量</w:t>
      </w:r>
      <w:r>
        <w:rPr>
          <w:rFonts w:eastAsia="仿宋_GB2312"/>
          <w:bCs/>
          <w:sz w:val="32"/>
          <w:szCs w:val="32"/>
        </w:rPr>
        <w:t>》</w:t>
      </w:r>
      <w:r>
        <w:rPr>
          <w:rFonts w:hint="eastAsia" w:eastAsia="仿宋_GB2312"/>
          <w:bCs/>
          <w:sz w:val="32"/>
          <w:szCs w:val="32"/>
        </w:rPr>
        <w:t>（GB 2763）</w:t>
      </w:r>
      <w:r>
        <w:rPr>
          <w:rFonts w:eastAsia="仿宋_GB2312"/>
          <w:bCs/>
          <w:sz w:val="32"/>
          <w:szCs w:val="32"/>
        </w:rPr>
        <w:t>规定，根茎类蔬菜中</w:t>
      </w:r>
      <w:r>
        <w:rPr>
          <w:rFonts w:hint="eastAsia" w:eastAsia="仿宋_GB2312"/>
          <w:bCs/>
          <w:sz w:val="32"/>
          <w:szCs w:val="32"/>
        </w:rPr>
        <w:t>噻虫嗪</w:t>
      </w:r>
      <w:r>
        <w:rPr>
          <w:rFonts w:eastAsia="仿宋_GB2312"/>
          <w:bCs/>
          <w:sz w:val="32"/>
          <w:szCs w:val="32"/>
        </w:rPr>
        <w:t>的最大残留限量为0.3</w:t>
      </w:r>
      <w:r>
        <w:rPr>
          <w:rFonts w:hint="eastAsia" w:eastAsia="仿宋_GB2312"/>
          <w:bCs/>
          <w:sz w:val="32"/>
          <w:szCs w:val="32"/>
        </w:rPr>
        <w:t xml:space="preserve"> </w:t>
      </w:r>
      <w:r>
        <w:rPr>
          <w:rFonts w:eastAsia="仿宋_GB2312"/>
          <w:bCs/>
          <w:sz w:val="32"/>
          <w:szCs w:val="32"/>
        </w:rPr>
        <w:t>mg/kg。</w:t>
      </w:r>
    </w:p>
    <w:p>
      <w:pPr>
        <w:pStyle w:val="6"/>
        <w:numPr>
          <w:ilvl w:val="0"/>
          <w:numId w:val="1"/>
        </w:numPr>
        <w:adjustRightInd w:val="0"/>
        <w:snapToGrid w:val="0"/>
        <w:spacing w:line="594" w:lineRule="exact"/>
        <w:ind w:left="0" w:leftChars="0" w:firstLine="640" w:firstLineChars="200"/>
        <w:rPr>
          <w:rFonts w:eastAsia="黑体"/>
          <w:color w:val="000000"/>
          <w:sz w:val="32"/>
          <w:szCs w:val="32"/>
        </w:rPr>
      </w:pPr>
      <w:r>
        <w:rPr>
          <w:rFonts w:hint="eastAsia" w:eastAsia="黑体" w:cs="仿宋"/>
          <w:color w:val="000000"/>
          <w:sz w:val="32"/>
          <w:szCs w:val="32"/>
        </w:rPr>
        <w:t>大肠菌群</w:t>
      </w:r>
    </w:p>
    <w:p>
      <w:pPr>
        <w:pStyle w:val="6"/>
        <w:adjustRightInd w:val="0"/>
        <w:snapToGrid w:val="0"/>
        <w:spacing w:line="594" w:lineRule="exact"/>
        <w:ind w:left="0" w:leftChars="0" w:firstLine="640" w:firstLineChars="200"/>
        <w:rPr>
          <w:rFonts w:eastAsia="仿宋" w:cs="仿宋"/>
          <w:color w:val="000000"/>
          <w:sz w:val="32"/>
          <w:szCs w:val="32"/>
        </w:rPr>
      </w:pPr>
      <w:r>
        <w:rPr>
          <w:rFonts w:hint="eastAsia" w:eastAsia="仿宋" w:cs="仿宋"/>
          <w:color w:val="000000"/>
          <w:sz w:val="32"/>
          <w:szCs w:val="32"/>
        </w:rPr>
        <w:t>大肠菌群是国内外通用的食品污染常用指示菌之一。食品餐饮具中检出大肠菌群，提示被肠道致病菌污染的可能性较大。《食品安全国家标准 消毒餐（饮）具》（GB 14934）规定消毒餐（饮）具中大肠菌群不得检出。</w:t>
      </w:r>
    </w:p>
    <w:p>
      <w:pPr>
        <w:pStyle w:val="14"/>
        <w:numPr>
          <w:ilvl w:val="0"/>
          <w:numId w:val="1"/>
        </w:numPr>
        <w:adjustRightInd w:val="0"/>
        <w:snapToGrid w:val="0"/>
        <w:spacing w:line="594" w:lineRule="exact"/>
        <w:ind w:left="0" w:leftChars="0"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N-二甲基亚硝胺</w:t>
      </w:r>
    </w:p>
    <w:p>
      <w:pPr>
        <w:adjustRightInd w:val="0"/>
        <w:snapToGrid w:val="0"/>
        <w:spacing w:line="594" w:lineRule="exact"/>
        <w:ind w:left="0" w:leftChars="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kern w:val="0"/>
          <w:sz w:val="32"/>
          <w:szCs w:val="32"/>
        </w:rPr>
        <w:t>N-</w:t>
      </w:r>
      <w:r>
        <w:rPr>
          <w:rFonts w:hint="eastAsia" w:ascii="Times New Roman" w:hAnsi="Times New Roman" w:eastAsia="仿宋_GB2312" w:cs="Times New Roman"/>
          <w:kern w:val="0"/>
          <w:sz w:val="32"/>
          <w:szCs w:val="32"/>
        </w:rPr>
        <w:t>二甲基亚硝胺是</w:t>
      </w:r>
      <w:r>
        <w:rPr>
          <w:rFonts w:ascii="Times New Roman" w:hAnsi="Times New Roman" w:eastAsia="仿宋_GB2312" w:cs="Times New Roman"/>
          <w:kern w:val="0"/>
          <w:sz w:val="32"/>
          <w:szCs w:val="32"/>
        </w:rPr>
        <w:t>N-</w:t>
      </w:r>
      <w:r>
        <w:rPr>
          <w:rFonts w:hint="eastAsia" w:ascii="Times New Roman" w:hAnsi="Times New Roman" w:eastAsia="仿宋_GB2312" w:cs="Times New Roman"/>
          <w:kern w:val="0"/>
          <w:sz w:val="32"/>
          <w:szCs w:val="32"/>
        </w:rPr>
        <w:t>亚硝胺类化合物的一种，可以由其前体物质亚硝酸盐和胺类在适宜的条件下形成，食品中天然存在的</w:t>
      </w:r>
      <w:r>
        <w:rPr>
          <w:rFonts w:ascii="Times New Roman" w:hAnsi="Times New Roman" w:eastAsia="仿宋_GB2312" w:cs="Times New Roman"/>
          <w:kern w:val="0"/>
          <w:sz w:val="32"/>
          <w:szCs w:val="32"/>
        </w:rPr>
        <w:t>N-</w:t>
      </w:r>
      <w:r>
        <w:rPr>
          <w:rFonts w:hint="eastAsia" w:ascii="Times New Roman" w:hAnsi="Times New Roman" w:eastAsia="仿宋_GB2312" w:cs="Times New Roman"/>
          <w:kern w:val="0"/>
          <w:sz w:val="32"/>
          <w:szCs w:val="32"/>
        </w:rPr>
        <w:t>亚硝胺类化合物含量极微。</w:t>
      </w:r>
      <w:r>
        <w:rPr>
          <w:rFonts w:ascii="Times New Roman" w:hAnsi="Times New Roman" w:eastAsia="仿宋_GB2312" w:cs="Times New Roman"/>
          <w:sz w:val="32"/>
          <w:szCs w:val="32"/>
        </w:rPr>
        <w:t>N-</w:t>
      </w:r>
      <w:r>
        <w:rPr>
          <w:rFonts w:ascii="Times New Roman" w:hAnsi="Times New Roman" w:eastAsia="仿宋" w:cs="仿宋"/>
          <w:color w:val="000000"/>
          <w:sz w:val="32"/>
          <w:szCs w:val="32"/>
        </w:rPr>
        <w:t>二甲基亚硝胺是国际公认的毒性较大的污染物，</w:t>
      </w:r>
      <w:r>
        <w:rPr>
          <w:rFonts w:hint="eastAsia" w:ascii="Times New Roman" w:hAnsi="Times New Roman" w:eastAsia="仿宋_GB2312" w:cs="仿宋"/>
          <w:color w:val="000000"/>
          <w:sz w:val="32"/>
          <w:szCs w:val="32"/>
        </w:rPr>
        <w:t>对人体健康存在安全隐患</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《食品安全国家标准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食品中污染物限量》（</w:t>
      </w:r>
      <w:r>
        <w:rPr>
          <w:rFonts w:ascii="Times New Roman" w:hAnsi="Times New Roman" w:eastAsia="仿宋_GB2312" w:cs="Times New Roman"/>
          <w:sz w:val="32"/>
          <w:szCs w:val="32"/>
        </w:rPr>
        <w:t>GB 2762</w:t>
      </w:r>
      <w:r>
        <w:rPr>
          <w:rFonts w:hint="eastAsia" w:ascii="Times New Roman" w:hAnsi="Times New Roman" w:eastAsia="仿宋_GB2312" w:cs="Times New Roman"/>
          <w:sz w:val="32"/>
          <w:szCs w:val="32"/>
        </w:rPr>
        <w:t>）中规定，水产制品（水产品罐头除外）中</w:t>
      </w:r>
      <w:r>
        <w:rPr>
          <w:rFonts w:ascii="Times New Roman" w:hAnsi="Times New Roman" w:eastAsia="仿宋_GB2312" w:cs="Times New Roman"/>
          <w:sz w:val="32"/>
          <w:szCs w:val="32"/>
        </w:rPr>
        <w:t>N-</w:t>
      </w:r>
      <w:r>
        <w:rPr>
          <w:rFonts w:hint="eastAsia" w:ascii="Times New Roman" w:hAnsi="Times New Roman" w:eastAsia="仿宋_GB2312" w:cs="Times New Roman"/>
          <w:sz w:val="32"/>
          <w:szCs w:val="32"/>
        </w:rPr>
        <w:t>二甲基亚硝胺最大限量值为</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μg/kg</w:t>
      </w:r>
      <w:r>
        <w:rPr>
          <w:rFonts w:hint="eastAsia" w:ascii="Times New Roman" w:hAnsi="Times New Roman" w:eastAsia="仿宋_GB2312" w:cs="Times New Roman"/>
          <w:sz w:val="32"/>
          <w:szCs w:val="32"/>
        </w:rPr>
        <w:t>。</w:t>
      </w:r>
    </w:p>
    <w:p>
      <w:pPr>
        <w:pStyle w:val="6"/>
        <w:numPr>
          <w:ilvl w:val="0"/>
          <w:numId w:val="1"/>
        </w:numPr>
        <w:adjustRightInd w:val="0"/>
        <w:snapToGrid w:val="0"/>
        <w:spacing w:line="594" w:lineRule="exact"/>
        <w:ind w:left="0" w:leftChars="0" w:firstLine="640" w:firstLineChars="200"/>
        <w:rPr>
          <w:rFonts w:eastAsia="黑体"/>
          <w:color w:val="000000"/>
          <w:sz w:val="32"/>
          <w:szCs w:val="32"/>
        </w:rPr>
      </w:pPr>
      <w:r>
        <w:rPr>
          <w:rFonts w:eastAsia="黑体"/>
          <w:color w:val="000000"/>
          <w:sz w:val="32"/>
          <w:szCs w:val="32"/>
        </w:rPr>
        <w:t>甲拌磷</w:t>
      </w:r>
    </w:p>
    <w:p>
      <w:pPr>
        <w:adjustRightInd w:val="0"/>
        <w:snapToGrid w:val="0"/>
        <w:spacing w:line="594" w:lineRule="exact"/>
        <w:ind w:left="0" w:leftChars="0"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甲拌磷是一种有机磷类内吸杀虫、杀螨剂。农业部规定蔬菜中</w:t>
      </w:r>
      <w:r>
        <w:rPr>
          <w:rFonts w:hint="eastAsia" w:ascii="Times New Roman" w:hAnsi="Times New Roman" w:eastAsia="仿宋_GB2312" w:cs="Times New Roman"/>
          <w:bCs/>
          <w:sz w:val="32"/>
          <w:szCs w:val="32"/>
        </w:rPr>
        <w:t>禁止</w:t>
      </w:r>
      <w:r>
        <w:rPr>
          <w:rFonts w:ascii="Times New Roman" w:hAnsi="Times New Roman" w:eastAsia="仿宋_GB2312" w:cs="Times New Roman"/>
          <w:bCs/>
          <w:sz w:val="32"/>
          <w:szCs w:val="32"/>
        </w:rPr>
        <w:t>使用农药甲拌磷。《</w:t>
      </w:r>
      <w:r>
        <w:rPr>
          <w:rFonts w:hint="eastAsia" w:ascii="Times New Roman" w:hAnsi="Times New Roman" w:eastAsia="仿宋_GB2312" w:cs="Times New Roman"/>
          <w:bCs/>
          <w:sz w:val="32"/>
          <w:szCs w:val="32"/>
        </w:rPr>
        <w:t>食品安全国家标准 食品中农药最大残留限量</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（GB 2763）</w:t>
      </w:r>
      <w:r>
        <w:rPr>
          <w:rFonts w:ascii="Times New Roman" w:hAnsi="Times New Roman" w:eastAsia="仿宋_GB2312" w:cs="Times New Roman"/>
          <w:bCs/>
          <w:sz w:val="32"/>
          <w:szCs w:val="32"/>
        </w:rPr>
        <w:t>规定，</w:t>
      </w:r>
      <w:r>
        <w:rPr>
          <w:rFonts w:hint="eastAsia" w:ascii="Times New Roman" w:hAnsi="Times New Roman" w:eastAsia="仿宋_GB2312" w:cs="Times New Roman"/>
          <w:bCs/>
          <w:sz w:val="32"/>
          <w:szCs w:val="32"/>
        </w:rPr>
        <w:t>叶菜类蔬菜</w:t>
      </w:r>
      <w:r>
        <w:rPr>
          <w:rFonts w:ascii="Times New Roman" w:hAnsi="Times New Roman" w:eastAsia="仿宋_GB2312" w:cs="Times New Roman"/>
          <w:bCs/>
          <w:sz w:val="32"/>
          <w:szCs w:val="32"/>
        </w:rPr>
        <w:t>中甲拌磷的最大残留限量为0.01</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mg/kg。</w:t>
      </w:r>
    </w:p>
    <w:p>
      <w:pPr>
        <w:pStyle w:val="6"/>
        <w:numPr>
          <w:ilvl w:val="0"/>
          <w:numId w:val="1"/>
        </w:numPr>
        <w:adjustRightInd w:val="0"/>
        <w:snapToGrid w:val="0"/>
        <w:spacing w:line="594" w:lineRule="exact"/>
        <w:ind w:left="0" w:leftChars="0" w:firstLine="640" w:firstLineChars="200"/>
        <w:rPr>
          <w:rFonts w:eastAsia="黑体"/>
          <w:color w:val="000000"/>
          <w:sz w:val="32"/>
          <w:szCs w:val="32"/>
        </w:rPr>
      </w:pPr>
      <w:r>
        <w:rPr>
          <w:rFonts w:hint="eastAsia" w:eastAsia="黑体"/>
          <w:color w:val="000000"/>
          <w:sz w:val="32"/>
          <w:szCs w:val="32"/>
        </w:rPr>
        <w:t>铅</w:t>
      </w:r>
    </w:p>
    <w:p>
      <w:pPr>
        <w:widowControl/>
        <w:shd w:val="clear" w:color="auto" w:fill="FFFFFF"/>
        <w:adjustRightInd w:val="0"/>
        <w:snapToGrid w:val="0"/>
        <w:spacing w:line="594" w:lineRule="exact"/>
        <w:ind w:left="0" w:leftChars="0" w:firstLine="640" w:firstLineChars="200"/>
        <w:rPr>
          <w:rFonts w:ascii="Times New Roman" w:hAnsi="Times New Roman" w:eastAsia="宋体" w:cs="Courier New"/>
          <w:kern w:val="0"/>
          <w:sz w:val="19"/>
          <w:szCs w:val="19"/>
        </w:rPr>
      </w:pPr>
      <w:r>
        <w:rPr>
          <w:rFonts w:hint="eastAsia" w:ascii="Times New Roman" w:hAnsi="Times New Roman" w:eastAsia="仿宋_GB2312" w:cs="Times New Roman"/>
          <w:sz w:val="32"/>
          <w:szCs w:val="32"/>
        </w:rPr>
        <w:t>铅属于重金属污染物指标。</w:t>
      </w:r>
      <w:r>
        <w:rPr>
          <w:rFonts w:hint="eastAsia" w:ascii="Times New Roman" w:hAnsi="Times New Roman" w:eastAsia="仿宋" w:cs="仿宋"/>
          <w:sz w:val="32"/>
          <w:szCs w:val="32"/>
        </w:rPr>
        <w:t>《食品安全国家标准 食品中污染物限量》（GB 2762）规定，</w:t>
      </w:r>
      <w:r>
        <w:rPr>
          <w:rFonts w:ascii="Times New Roman" w:hAnsi="Times New Roman" w:eastAsia="仿宋" w:cs="仿宋"/>
          <w:sz w:val="32"/>
          <w:szCs w:val="32"/>
        </w:rPr>
        <w:t>限量指标对制品有要求的情况下</w:t>
      </w:r>
      <w:r>
        <w:rPr>
          <w:rFonts w:hint="eastAsia" w:ascii="Times New Roman" w:hAnsi="Times New Roman" w:eastAsia="仿宋" w:cs="仿宋"/>
          <w:sz w:val="32"/>
          <w:szCs w:val="32"/>
        </w:rPr>
        <w:t>，</w:t>
      </w:r>
      <w:r>
        <w:rPr>
          <w:rFonts w:ascii="Times New Roman" w:hAnsi="Times New Roman" w:eastAsia="仿宋" w:cs="仿宋"/>
          <w:sz w:val="32"/>
          <w:szCs w:val="32"/>
        </w:rPr>
        <w:t>其中干制品中污染物限量以相应新鲜食品中污染物限量结合其脱水率或浓缩率折算</w:t>
      </w:r>
      <w:r>
        <w:rPr>
          <w:rFonts w:hint="eastAsia" w:ascii="Times New Roman" w:hAnsi="Times New Roman" w:eastAsia="仿宋" w:cs="仿宋"/>
          <w:sz w:val="32"/>
          <w:szCs w:val="32"/>
        </w:rPr>
        <w:t>。</w:t>
      </w:r>
      <w:r>
        <w:rPr>
          <w:rFonts w:ascii="Times New Roman" w:hAnsi="Times New Roman" w:eastAsia="仿宋" w:cs="仿宋"/>
          <w:sz w:val="32"/>
          <w:szCs w:val="32"/>
        </w:rPr>
        <w:t>脱水率或浓缩率可通过对食品的分析、生产者提供的信息以及其他可获得的数据信息等确定</w:t>
      </w:r>
      <w:r>
        <w:rPr>
          <w:rFonts w:hint="eastAsia" w:ascii="Times New Roman" w:hAnsi="Times New Roman" w:eastAsia="仿宋" w:cs="仿宋"/>
          <w:sz w:val="32"/>
          <w:szCs w:val="32"/>
        </w:rPr>
        <w:t>；新鲜蔬菜中铅（</w:t>
      </w:r>
      <w:r>
        <w:rPr>
          <w:rFonts w:ascii="Times New Roman" w:hAnsi="Times New Roman" w:eastAsia="仿宋" w:cs="仿宋"/>
          <w:sz w:val="32"/>
          <w:szCs w:val="32"/>
        </w:rPr>
        <w:t>以Pb计</w:t>
      </w:r>
      <w:r>
        <w:rPr>
          <w:rFonts w:hint="eastAsia" w:ascii="Times New Roman" w:hAnsi="Times New Roman" w:eastAsia="仿宋" w:cs="仿宋"/>
          <w:sz w:val="32"/>
          <w:szCs w:val="32"/>
        </w:rPr>
        <w:t>）的限量</w:t>
      </w:r>
      <w:r>
        <w:rPr>
          <w:rFonts w:ascii="Times New Roman" w:hAnsi="Times New Roman" w:eastAsia="仿宋" w:cs="仿宋"/>
          <w:sz w:val="32"/>
          <w:szCs w:val="32"/>
        </w:rPr>
        <w:t>为0.1</w:t>
      </w:r>
      <w:r>
        <w:rPr>
          <w:rFonts w:hint="eastAsia" w:ascii="Times New Roman" w:hAnsi="Times New Roman" w:eastAsia="仿宋" w:cs="仿宋"/>
          <w:sz w:val="32"/>
          <w:szCs w:val="32"/>
        </w:rPr>
        <w:t xml:space="preserve"> mg/kg，</w:t>
      </w:r>
      <w:r>
        <w:rPr>
          <w:rFonts w:ascii="Times New Roman" w:hAnsi="Times New Roman" w:eastAsia="仿宋" w:cs="仿宋"/>
          <w:sz w:val="32"/>
          <w:szCs w:val="32"/>
        </w:rPr>
        <w:t>折算</w:t>
      </w:r>
      <w:r>
        <w:rPr>
          <w:rFonts w:hint="eastAsia" w:ascii="Times New Roman" w:hAnsi="Times New Roman" w:eastAsia="仿宋" w:cs="仿宋"/>
          <w:sz w:val="32"/>
          <w:szCs w:val="32"/>
        </w:rPr>
        <w:t>得</w:t>
      </w:r>
      <w:r>
        <w:rPr>
          <w:rFonts w:ascii="Times New Roman" w:hAnsi="Times New Roman" w:eastAsia="仿宋" w:cs="仿宋"/>
          <w:sz w:val="32"/>
          <w:szCs w:val="32"/>
        </w:rPr>
        <w:t>到</w:t>
      </w:r>
      <w:r>
        <w:rPr>
          <w:rFonts w:hint="eastAsia" w:ascii="Times New Roman" w:hAnsi="Times New Roman" w:eastAsia="仿宋" w:cs="仿宋"/>
          <w:sz w:val="32"/>
          <w:szCs w:val="32"/>
        </w:rPr>
        <w:t>所测干黄花菜样品铅（</w:t>
      </w:r>
      <w:r>
        <w:rPr>
          <w:rFonts w:ascii="Times New Roman" w:hAnsi="Times New Roman" w:eastAsia="仿宋" w:cs="仿宋"/>
          <w:sz w:val="32"/>
          <w:szCs w:val="32"/>
        </w:rPr>
        <w:t>以Pb计</w:t>
      </w:r>
      <w:r>
        <w:rPr>
          <w:rFonts w:hint="eastAsia" w:ascii="Times New Roman" w:hAnsi="Times New Roman" w:eastAsia="仿宋" w:cs="仿宋"/>
          <w:sz w:val="32"/>
          <w:szCs w:val="32"/>
        </w:rPr>
        <w:t>）的</w:t>
      </w:r>
      <w:r>
        <w:rPr>
          <w:rFonts w:ascii="Times New Roman" w:hAnsi="Times New Roman" w:eastAsia="仿宋" w:cs="仿宋"/>
          <w:sz w:val="32"/>
          <w:szCs w:val="32"/>
        </w:rPr>
        <w:t>限量为</w:t>
      </w:r>
      <w:r>
        <w:rPr>
          <w:rFonts w:hint="eastAsia" w:ascii="Times New Roman" w:hAnsi="Times New Roman" w:eastAsia="仿宋" w:cs="仿宋"/>
          <w:sz w:val="32"/>
          <w:szCs w:val="32"/>
        </w:rPr>
        <w:t>0.14 mg/kg。</w:t>
      </w:r>
    </w:p>
    <w:p>
      <w:pPr>
        <w:pStyle w:val="6"/>
        <w:numPr>
          <w:ilvl w:val="0"/>
          <w:numId w:val="1"/>
        </w:numPr>
        <w:adjustRightInd w:val="0"/>
        <w:snapToGrid w:val="0"/>
        <w:spacing w:line="594" w:lineRule="exact"/>
        <w:ind w:left="0" w:leftChars="0" w:firstLine="640" w:firstLineChars="200"/>
        <w:rPr>
          <w:rFonts w:eastAsia="黑体"/>
          <w:color w:val="000000"/>
          <w:sz w:val="32"/>
          <w:szCs w:val="32"/>
        </w:rPr>
      </w:pPr>
      <w:r>
        <w:rPr>
          <w:rFonts w:eastAsia="黑体"/>
          <w:color w:val="000000"/>
          <w:sz w:val="32"/>
          <w:szCs w:val="32"/>
        </w:rPr>
        <w:t>6-苄基腺嘌呤</w:t>
      </w:r>
      <w:r>
        <w:rPr>
          <w:rFonts w:hint="eastAsia" w:eastAsia="黑体"/>
          <w:color w:val="000000"/>
          <w:sz w:val="32"/>
          <w:szCs w:val="32"/>
        </w:rPr>
        <w:t>（</w:t>
      </w:r>
      <w:r>
        <w:rPr>
          <w:rFonts w:eastAsia="黑体"/>
          <w:color w:val="000000"/>
          <w:sz w:val="32"/>
          <w:szCs w:val="32"/>
        </w:rPr>
        <w:t>6-BA</w:t>
      </w:r>
      <w:r>
        <w:rPr>
          <w:rFonts w:hint="eastAsia" w:eastAsia="黑体"/>
          <w:color w:val="000000"/>
          <w:sz w:val="32"/>
          <w:szCs w:val="32"/>
        </w:rPr>
        <w:t>）</w:t>
      </w:r>
    </w:p>
    <w:p>
      <w:pPr>
        <w:pStyle w:val="6"/>
        <w:adjustRightInd w:val="0"/>
        <w:snapToGrid w:val="0"/>
        <w:spacing w:line="594" w:lineRule="exact"/>
        <w:ind w:left="0" w:leftChars="0" w:firstLine="640" w:firstLineChars="200"/>
        <w:rPr>
          <w:rFonts w:eastAsia="仿宋_GB2312" w:cs="黑体"/>
          <w:sz w:val="32"/>
          <w:szCs w:val="32"/>
        </w:rPr>
      </w:pPr>
      <w:r>
        <w:rPr>
          <w:rFonts w:eastAsia="仿宋_GB2312" w:cs="黑体"/>
          <w:sz w:val="32"/>
          <w:szCs w:val="32"/>
        </w:rPr>
        <w:t>6-苄基腺嘌呤</w:t>
      </w:r>
      <w:r>
        <w:rPr>
          <w:rFonts w:hint="eastAsia" w:eastAsia="仿宋_GB2312" w:cs="黑体"/>
          <w:sz w:val="32"/>
          <w:szCs w:val="32"/>
        </w:rPr>
        <w:t>（</w:t>
      </w:r>
      <w:r>
        <w:rPr>
          <w:rFonts w:eastAsia="仿宋_GB2312"/>
          <w:sz w:val="32"/>
          <w:szCs w:val="32"/>
        </w:rPr>
        <w:t>6-BA</w:t>
      </w:r>
      <w:r>
        <w:rPr>
          <w:rFonts w:hint="eastAsia" w:eastAsia="仿宋_GB2312" w:cs="黑体"/>
          <w:sz w:val="32"/>
          <w:szCs w:val="32"/>
        </w:rPr>
        <w:t>）</w:t>
      </w:r>
      <w:r>
        <w:rPr>
          <w:rFonts w:eastAsia="仿宋_GB2312" w:cs="黑体"/>
          <w:sz w:val="32"/>
          <w:szCs w:val="32"/>
        </w:rPr>
        <w:t>是植物生长调节剂。主要用于防止落花落果、抑制豆类生根，并能调节植物株内激素的平衡。但由于其对人体有一定积累毒性，《国家食品药品监督管理总局、农业部、国家卫生和计划生育委员会关于豆芽生产过程中禁止使用6-苄基腺嘌呤等物质的公告》（2015年第11号）规定豆芽生产经营过程中禁止使用6-苄基腺嘌呤。</w:t>
      </w:r>
    </w:p>
    <w:p>
      <w:pPr>
        <w:pStyle w:val="6"/>
        <w:numPr>
          <w:ilvl w:val="0"/>
          <w:numId w:val="1"/>
        </w:numPr>
        <w:adjustRightInd w:val="0"/>
        <w:snapToGrid w:val="0"/>
        <w:spacing w:line="594" w:lineRule="exact"/>
        <w:ind w:left="0" w:leftChars="0" w:firstLine="640" w:firstLineChars="200"/>
        <w:rPr>
          <w:rFonts w:eastAsia="黑体" w:cs="仿宋"/>
          <w:sz w:val="32"/>
          <w:szCs w:val="32"/>
        </w:rPr>
      </w:pPr>
      <w:r>
        <w:rPr>
          <w:rFonts w:hint="eastAsia" w:eastAsia="黑体" w:cs="仿宋"/>
          <w:sz w:val="32"/>
          <w:szCs w:val="32"/>
        </w:rPr>
        <w:t>镉</w:t>
      </w:r>
    </w:p>
    <w:p>
      <w:pPr>
        <w:widowControl/>
        <w:shd w:val="clear" w:color="auto" w:fill="FFFFFF"/>
        <w:adjustRightInd w:val="0"/>
        <w:snapToGrid w:val="0"/>
        <w:spacing w:line="594" w:lineRule="exact"/>
        <w:ind w:left="0" w:leftChars="0" w:firstLine="640" w:firstLineChars="200"/>
        <w:rPr>
          <w:rFonts w:ascii="Times New Roman" w:hAnsi="Times New Roman" w:eastAsia="宋体" w:cs="Courier New"/>
          <w:kern w:val="0"/>
          <w:sz w:val="19"/>
          <w:szCs w:val="19"/>
        </w:rPr>
      </w:pPr>
      <w:r>
        <w:rPr>
          <w:rFonts w:hint="eastAsia" w:ascii="Times New Roman" w:hAnsi="Times New Roman" w:eastAsia="仿宋_GB2312" w:cs="仿宋"/>
          <w:sz w:val="32"/>
          <w:szCs w:val="32"/>
        </w:rPr>
        <w:t>镉属于重金属污染物指标，联合国环境规划署（DNFP）和国际职业卫生重金属委员会将镉列入重点研究的环境污染物，世界卫生组织（WHO）则将其作为优先研究的食品污染物。《食品安全国家标准 食品中污染物限量》（GB 2762）规定，鲜、冻水产动物甲壳类中镉（</w:t>
      </w:r>
      <w:r>
        <w:rPr>
          <w:rFonts w:ascii="Times New Roman" w:hAnsi="Times New Roman" w:eastAsia="仿宋_GB2312" w:cs="仿宋"/>
          <w:sz w:val="32"/>
          <w:szCs w:val="32"/>
        </w:rPr>
        <w:t>以Cd计</w:t>
      </w:r>
      <w:r>
        <w:rPr>
          <w:rFonts w:hint="eastAsia" w:ascii="Times New Roman" w:hAnsi="Times New Roman" w:eastAsia="仿宋_GB2312" w:cs="仿宋"/>
          <w:sz w:val="32"/>
          <w:szCs w:val="32"/>
        </w:rPr>
        <w:t>）应不超过0.5 mg/kg。</w:t>
      </w:r>
    </w:p>
    <w:p>
      <w:pPr>
        <w:adjustRightInd w:val="0"/>
        <w:snapToGrid w:val="0"/>
        <w:spacing w:line="594" w:lineRule="exact"/>
        <w:ind w:left="640" w:firstLine="640" w:firstLineChars="200"/>
        <w:textAlignment w:val="baseline"/>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60590754">
    <w:nsid w:val="68F07BA2"/>
    <w:multiLevelType w:val="multilevel"/>
    <w:tmpl w:val="68F07BA2"/>
    <w:lvl w:ilvl="0" w:tentative="1">
      <w:start w:val="1"/>
      <w:numFmt w:val="chineseCountingThousand"/>
      <w:suff w:val="nothing"/>
      <w:lvlText w:val="%1、"/>
      <w:lvlJc w:val="left"/>
      <w:pPr>
        <w:ind w:left="400" w:hanging="400"/>
      </w:pPr>
      <w:rPr>
        <w:rFonts w:hint="eastAsia" w:ascii="黑体" w:hAnsi="黑体" w:eastAsia="黑体"/>
        <w:sz w:val="32"/>
        <w:szCs w:val="3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7605907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AWvmYQeIOdAskHL+QWa8goRxsAk=" w:salt="+HFzhAf5lwp9PQ1vBtWqv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C7045"/>
    <w:rsid w:val="00023709"/>
    <w:rsid w:val="0005073A"/>
    <w:rsid w:val="000535D5"/>
    <w:rsid w:val="00057874"/>
    <w:rsid w:val="00082C9C"/>
    <w:rsid w:val="00097363"/>
    <w:rsid w:val="000A0EB8"/>
    <w:rsid w:val="000A2EEF"/>
    <w:rsid w:val="000B3F19"/>
    <w:rsid w:val="000C3C92"/>
    <w:rsid w:val="000F7D55"/>
    <w:rsid w:val="00111413"/>
    <w:rsid w:val="00115D71"/>
    <w:rsid w:val="00127AAF"/>
    <w:rsid w:val="00127DA6"/>
    <w:rsid w:val="00135FFF"/>
    <w:rsid w:val="00147590"/>
    <w:rsid w:val="00164B2E"/>
    <w:rsid w:val="0016657F"/>
    <w:rsid w:val="001668D4"/>
    <w:rsid w:val="00176F93"/>
    <w:rsid w:val="001B4234"/>
    <w:rsid w:val="001C03E8"/>
    <w:rsid w:val="001C084C"/>
    <w:rsid w:val="001E5287"/>
    <w:rsid w:val="00203CEF"/>
    <w:rsid w:val="00210759"/>
    <w:rsid w:val="00217A41"/>
    <w:rsid w:val="002209C3"/>
    <w:rsid w:val="00227C98"/>
    <w:rsid w:val="002334F0"/>
    <w:rsid w:val="00234A21"/>
    <w:rsid w:val="00275FB1"/>
    <w:rsid w:val="00284B89"/>
    <w:rsid w:val="00287106"/>
    <w:rsid w:val="002A1BE7"/>
    <w:rsid w:val="002B5A26"/>
    <w:rsid w:val="002B6275"/>
    <w:rsid w:val="002C042D"/>
    <w:rsid w:val="002D4079"/>
    <w:rsid w:val="002F1403"/>
    <w:rsid w:val="0030790F"/>
    <w:rsid w:val="0031045E"/>
    <w:rsid w:val="003126FE"/>
    <w:rsid w:val="00320337"/>
    <w:rsid w:val="00335654"/>
    <w:rsid w:val="00360F88"/>
    <w:rsid w:val="0037335B"/>
    <w:rsid w:val="00385653"/>
    <w:rsid w:val="003B0507"/>
    <w:rsid w:val="003C635B"/>
    <w:rsid w:val="003E574A"/>
    <w:rsid w:val="003E72D2"/>
    <w:rsid w:val="004012A2"/>
    <w:rsid w:val="00430E21"/>
    <w:rsid w:val="00446771"/>
    <w:rsid w:val="0045595D"/>
    <w:rsid w:val="004663E3"/>
    <w:rsid w:val="00475C35"/>
    <w:rsid w:val="00482672"/>
    <w:rsid w:val="00490F04"/>
    <w:rsid w:val="00495F06"/>
    <w:rsid w:val="004A7B13"/>
    <w:rsid w:val="004E173E"/>
    <w:rsid w:val="00507310"/>
    <w:rsid w:val="00524DAE"/>
    <w:rsid w:val="005437A0"/>
    <w:rsid w:val="005524CE"/>
    <w:rsid w:val="00557B9A"/>
    <w:rsid w:val="005706F8"/>
    <w:rsid w:val="00580A7E"/>
    <w:rsid w:val="00585877"/>
    <w:rsid w:val="005965A2"/>
    <w:rsid w:val="005A532E"/>
    <w:rsid w:val="005C3B9C"/>
    <w:rsid w:val="005E26BC"/>
    <w:rsid w:val="005E4129"/>
    <w:rsid w:val="005E7EC6"/>
    <w:rsid w:val="005F2748"/>
    <w:rsid w:val="005F2ABB"/>
    <w:rsid w:val="006044FC"/>
    <w:rsid w:val="00651845"/>
    <w:rsid w:val="00651F47"/>
    <w:rsid w:val="0065262F"/>
    <w:rsid w:val="00660E64"/>
    <w:rsid w:val="00683B4A"/>
    <w:rsid w:val="00683E6C"/>
    <w:rsid w:val="00686D3D"/>
    <w:rsid w:val="006F0BB7"/>
    <w:rsid w:val="006F73C9"/>
    <w:rsid w:val="007046E5"/>
    <w:rsid w:val="0071132B"/>
    <w:rsid w:val="00737048"/>
    <w:rsid w:val="007442C1"/>
    <w:rsid w:val="00757AB9"/>
    <w:rsid w:val="00762757"/>
    <w:rsid w:val="0076723A"/>
    <w:rsid w:val="007771CD"/>
    <w:rsid w:val="00795191"/>
    <w:rsid w:val="007955BC"/>
    <w:rsid w:val="007A3347"/>
    <w:rsid w:val="007A6867"/>
    <w:rsid w:val="007D6E6C"/>
    <w:rsid w:val="00827383"/>
    <w:rsid w:val="00830ABC"/>
    <w:rsid w:val="00853C2D"/>
    <w:rsid w:val="00877733"/>
    <w:rsid w:val="008C2B4D"/>
    <w:rsid w:val="008D6B44"/>
    <w:rsid w:val="008E3D28"/>
    <w:rsid w:val="00903A9D"/>
    <w:rsid w:val="00911DEC"/>
    <w:rsid w:val="00916DDB"/>
    <w:rsid w:val="00923D48"/>
    <w:rsid w:val="0093237C"/>
    <w:rsid w:val="00941AB8"/>
    <w:rsid w:val="00943892"/>
    <w:rsid w:val="00952C4A"/>
    <w:rsid w:val="00953E43"/>
    <w:rsid w:val="00984FED"/>
    <w:rsid w:val="00993836"/>
    <w:rsid w:val="009C7045"/>
    <w:rsid w:val="009F676A"/>
    <w:rsid w:val="00A007B4"/>
    <w:rsid w:val="00A07DBD"/>
    <w:rsid w:val="00A40680"/>
    <w:rsid w:val="00A412CB"/>
    <w:rsid w:val="00A85D79"/>
    <w:rsid w:val="00A9410C"/>
    <w:rsid w:val="00A96358"/>
    <w:rsid w:val="00AB52C9"/>
    <w:rsid w:val="00AD3262"/>
    <w:rsid w:val="00B16DD3"/>
    <w:rsid w:val="00B44103"/>
    <w:rsid w:val="00B65241"/>
    <w:rsid w:val="00B71B43"/>
    <w:rsid w:val="00B84DDD"/>
    <w:rsid w:val="00B87DF6"/>
    <w:rsid w:val="00BA7A5C"/>
    <w:rsid w:val="00BC6C8C"/>
    <w:rsid w:val="00BD1DC5"/>
    <w:rsid w:val="00BD36C9"/>
    <w:rsid w:val="00C34001"/>
    <w:rsid w:val="00C550A7"/>
    <w:rsid w:val="00C66AB4"/>
    <w:rsid w:val="00C71A94"/>
    <w:rsid w:val="00C91D58"/>
    <w:rsid w:val="00C92465"/>
    <w:rsid w:val="00C92AC2"/>
    <w:rsid w:val="00C97F56"/>
    <w:rsid w:val="00CA542D"/>
    <w:rsid w:val="00CA6E01"/>
    <w:rsid w:val="00CC4DEC"/>
    <w:rsid w:val="00CE074F"/>
    <w:rsid w:val="00D04E67"/>
    <w:rsid w:val="00D0763D"/>
    <w:rsid w:val="00D10243"/>
    <w:rsid w:val="00D564E6"/>
    <w:rsid w:val="00D6074B"/>
    <w:rsid w:val="00D67F5E"/>
    <w:rsid w:val="00D70BCE"/>
    <w:rsid w:val="00D70DCF"/>
    <w:rsid w:val="00D8701C"/>
    <w:rsid w:val="00D951B4"/>
    <w:rsid w:val="00DA1484"/>
    <w:rsid w:val="00DC2436"/>
    <w:rsid w:val="00DE3228"/>
    <w:rsid w:val="00E224EE"/>
    <w:rsid w:val="00E32844"/>
    <w:rsid w:val="00E6267A"/>
    <w:rsid w:val="00E67BA4"/>
    <w:rsid w:val="00E67F3B"/>
    <w:rsid w:val="00E84511"/>
    <w:rsid w:val="00E904E9"/>
    <w:rsid w:val="00EB4DC3"/>
    <w:rsid w:val="00EB5053"/>
    <w:rsid w:val="00EB6E9F"/>
    <w:rsid w:val="00EE3B7B"/>
    <w:rsid w:val="00EF4A43"/>
    <w:rsid w:val="00F04F8B"/>
    <w:rsid w:val="00F76C16"/>
    <w:rsid w:val="00F97CA3"/>
    <w:rsid w:val="00FA014A"/>
    <w:rsid w:val="00FA5E0E"/>
    <w:rsid w:val="00FB56AD"/>
    <w:rsid w:val="00FE0B0A"/>
    <w:rsid w:val="014C578F"/>
    <w:rsid w:val="017B63F9"/>
    <w:rsid w:val="03311F28"/>
    <w:rsid w:val="05B5126E"/>
    <w:rsid w:val="07306B3F"/>
    <w:rsid w:val="07AE2006"/>
    <w:rsid w:val="09776334"/>
    <w:rsid w:val="0AB3614A"/>
    <w:rsid w:val="0B346493"/>
    <w:rsid w:val="0C8239E8"/>
    <w:rsid w:val="13515910"/>
    <w:rsid w:val="14BC6CC4"/>
    <w:rsid w:val="15F1007E"/>
    <w:rsid w:val="16D45825"/>
    <w:rsid w:val="176820C2"/>
    <w:rsid w:val="1775494C"/>
    <w:rsid w:val="1831126E"/>
    <w:rsid w:val="196020A2"/>
    <w:rsid w:val="19DF14C5"/>
    <w:rsid w:val="1A527109"/>
    <w:rsid w:val="1C2C6E58"/>
    <w:rsid w:val="1DA16D31"/>
    <w:rsid w:val="1F5E7E5E"/>
    <w:rsid w:val="1FC77B05"/>
    <w:rsid w:val="20827181"/>
    <w:rsid w:val="225C3C81"/>
    <w:rsid w:val="23E97F38"/>
    <w:rsid w:val="248E1426"/>
    <w:rsid w:val="25A94EE1"/>
    <w:rsid w:val="25BD6579"/>
    <w:rsid w:val="281026FA"/>
    <w:rsid w:val="299E2E0B"/>
    <w:rsid w:val="29FC4125"/>
    <w:rsid w:val="2A9E1780"/>
    <w:rsid w:val="2CB00818"/>
    <w:rsid w:val="2CC24A7A"/>
    <w:rsid w:val="2CD101F4"/>
    <w:rsid w:val="30C330FA"/>
    <w:rsid w:val="31290156"/>
    <w:rsid w:val="31847A9C"/>
    <w:rsid w:val="32C0209F"/>
    <w:rsid w:val="333B066B"/>
    <w:rsid w:val="33B77259"/>
    <w:rsid w:val="33C53B6B"/>
    <w:rsid w:val="34540E35"/>
    <w:rsid w:val="346B466B"/>
    <w:rsid w:val="37761B90"/>
    <w:rsid w:val="380D2FFA"/>
    <w:rsid w:val="39997C19"/>
    <w:rsid w:val="3A44715B"/>
    <w:rsid w:val="3CBC0BA6"/>
    <w:rsid w:val="3E2A1862"/>
    <w:rsid w:val="3E565C74"/>
    <w:rsid w:val="418A341C"/>
    <w:rsid w:val="423B545E"/>
    <w:rsid w:val="43647A48"/>
    <w:rsid w:val="439A2AC1"/>
    <w:rsid w:val="442B37CC"/>
    <w:rsid w:val="45323801"/>
    <w:rsid w:val="465F0FDF"/>
    <w:rsid w:val="470537DA"/>
    <w:rsid w:val="475F2464"/>
    <w:rsid w:val="49F133DD"/>
    <w:rsid w:val="4A754998"/>
    <w:rsid w:val="4B0F4C04"/>
    <w:rsid w:val="4BA13A50"/>
    <w:rsid w:val="4BB3766A"/>
    <w:rsid w:val="4D0714C7"/>
    <w:rsid w:val="51473EA7"/>
    <w:rsid w:val="515C3EEB"/>
    <w:rsid w:val="53D91CC8"/>
    <w:rsid w:val="540C2895"/>
    <w:rsid w:val="544C1EB9"/>
    <w:rsid w:val="54744797"/>
    <w:rsid w:val="5616109A"/>
    <w:rsid w:val="56D62CEE"/>
    <w:rsid w:val="57772CF1"/>
    <w:rsid w:val="58030A90"/>
    <w:rsid w:val="59790A4D"/>
    <w:rsid w:val="5C527CCF"/>
    <w:rsid w:val="5C6C6636"/>
    <w:rsid w:val="5D0578A1"/>
    <w:rsid w:val="5DD57AC0"/>
    <w:rsid w:val="5E5F4684"/>
    <w:rsid w:val="5F9D21F6"/>
    <w:rsid w:val="60C1101C"/>
    <w:rsid w:val="614F2A42"/>
    <w:rsid w:val="61FD7005"/>
    <w:rsid w:val="62830167"/>
    <w:rsid w:val="645402A0"/>
    <w:rsid w:val="64B01203"/>
    <w:rsid w:val="676638DA"/>
    <w:rsid w:val="67A975C4"/>
    <w:rsid w:val="68117148"/>
    <w:rsid w:val="684E6F14"/>
    <w:rsid w:val="68C60301"/>
    <w:rsid w:val="68FA22E2"/>
    <w:rsid w:val="69CC38F9"/>
    <w:rsid w:val="69EB3B55"/>
    <w:rsid w:val="6A58142C"/>
    <w:rsid w:val="6B0075F0"/>
    <w:rsid w:val="6B88737F"/>
    <w:rsid w:val="6D17077E"/>
    <w:rsid w:val="6D90487D"/>
    <w:rsid w:val="6DEC0CF9"/>
    <w:rsid w:val="6E8B49E8"/>
    <w:rsid w:val="6EC828CB"/>
    <w:rsid w:val="70771DBB"/>
    <w:rsid w:val="709B67CD"/>
    <w:rsid w:val="72AF7E56"/>
    <w:rsid w:val="74210BA7"/>
    <w:rsid w:val="74BE04FC"/>
    <w:rsid w:val="755B23BF"/>
    <w:rsid w:val="75ED0473"/>
    <w:rsid w:val="77504EE4"/>
    <w:rsid w:val="78003728"/>
    <w:rsid w:val="7807013D"/>
    <w:rsid w:val="78997A7C"/>
    <w:rsid w:val="7930047B"/>
    <w:rsid w:val="798C2E03"/>
    <w:rsid w:val="7AFA66CF"/>
    <w:rsid w:val="7B0559CF"/>
    <w:rsid w:val="7C7452C5"/>
    <w:rsid w:val="7E8258AE"/>
    <w:rsid w:val="7EB83BAF"/>
    <w:rsid w:val="7F240109"/>
    <w:rsid w:val="7FD56A8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annotation text"/>
    <w:basedOn w:val="1"/>
    <w:unhideWhenUsed/>
    <w:qFormat/>
    <w:uiPriority w:val="99"/>
    <w:pPr>
      <w:jc w:val="left"/>
    </w:p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Times New Roman" w:hAnsi="Times New Roman" w:eastAsia="宋体" w:cs="Times New Roman"/>
      <w:sz w:val="24"/>
    </w:rPr>
  </w:style>
  <w:style w:type="character" w:styleId="8">
    <w:name w:val="Hyperlink"/>
    <w:basedOn w:val="7"/>
    <w:unhideWhenUsed/>
    <w:qFormat/>
    <w:uiPriority w:val="99"/>
    <w:rPr>
      <w:color w:val="0000FF"/>
      <w:u w:val="single"/>
    </w:rPr>
  </w:style>
  <w:style w:type="paragraph" w:customStyle="1" w:styleId="10">
    <w:name w:val="p0"/>
    <w:basedOn w:val="1"/>
    <w:qFormat/>
    <w:uiPriority w:val="0"/>
    <w:pPr>
      <w:widowControl/>
    </w:pPr>
    <w:rPr>
      <w:rFonts w:cs="宋体"/>
      <w:kern w:val="0"/>
      <w:szCs w:val="21"/>
    </w:rPr>
  </w:style>
  <w:style w:type="paragraph" w:customStyle="1" w:styleId="11">
    <w:name w:val="列出段落1"/>
    <w:basedOn w:val="1"/>
    <w:qFormat/>
    <w:uiPriority w:val="34"/>
    <w:pPr>
      <w:ind w:firstLine="420" w:firstLineChars="200"/>
    </w:pPr>
  </w:style>
  <w:style w:type="paragraph" w:customStyle="1" w:styleId="12">
    <w:name w:val="列出段落2"/>
    <w:basedOn w:val="1"/>
    <w:unhideWhenUsed/>
    <w:qFormat/>
    <w:uiPriority w:val="99"/>
    <w:pPr>
      <w:ind w:firstLine="420" w:firstLineChars="200"/>
    </w:pPr>
  </w:style>
  <w:style w:type="paragraph" w:customStyle="1" w:styleId="13">
    <w:name w:val="列出段落3"/>
    <w:basedOn w:val="1"/>
    <w:qFormat/>
    <w:uiPriority w:val="99"/>
    <w:pPr>
      <w:ind w:firstLine="420" w:firstLineChars="200"/>
    </w:pPr>
  </w:style>
  <w:style w:type="paragraph" w:customStyle="1" w:styleId="14">
    <w:name w:val="List Paragraph"/>
    <w:basedOn w:val="1"/>
    <w:qFormat/>
    <w:uiPriority w:val="34"/>
    <w:pPr>
      <w:ind w:firstLine="420" w:firstLineChars="200"/>
    </w:pPr>
    <w:rPr>
      <w:rFonts w:ascii="Calibri" w:hAnsi="Calibri" w:eastAsia="宋体" w:cs="黑体"/>
    </w:rPr>
  </w:style>
  <w:style w:type="character" w:customStyle="1" w:styleId="15">
    <w:name w:val="页眉 Char"/>
    <w:basedOn w:val="7"/>
    <w:link w:val="5"/>
    <w:qFormat/>
    <w:uiPriority w:val="99"/>
    <w:rPr>
      <w:sz w:val="18"/>
      <w:szCs w:val="18"/>
    </w:rPr>
  </w:style>
  <w:style w:type="character" w:customStyle="1" w:styleId="16">
    <w:name w:val="页脚 Char"/>
    <w:basedOn w:val="7"/>
    <w:link w:val="4"/>
    <w:qFormat/>
    <w:uiPriority w:val="99"/>
    <w:rPr>
      <w:sz w:val="18"/>
      <w:szCs w:val="18"/>
    </w:rPr>
  </w:style>
  <w:style w:type="character" w:customStyle="1" w:styleId="17">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4</Pages>
  <Words>243</Words>
  <Characters>1386</Characters>
  <Lines>11</Lines>
  <Paragraphs>3</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2020-04-28T06:06:00Z</dcterms:created>
  <dc:creator>lenovo</dc:creator>
  <cp:lastModifiedBy>董廷俊</cp:lastModifiedBy>
  <dcterms:modified xsi:type="dcterms:W3CDTF">2020-08-27T09:53:08Z</dcterms:modified>
  <dc:title>附件22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